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3BE34C41" w:rsidR="00301255" w:rsidRPr="00D7683E" w:rsidRDefault="00301255" w:rsidP="00A62C35">
            <w:pPr>
              <w:pStyle w:val="SyllabusHeading2"/>
              <w:spacing w:before="120"/>
              <w:rPr>
                <w:color w:val="FFFFFF" w:themeColor="background1"/>
                <w:sz w:val="24"/>
                <w:szCs w:val="24"/>
              </w:rPr>
            </w:pPr>
            <w:r w:rsidRPr="00D7683E">
              <w:rPr>
                <w:color w:val="FFFFFF" w:themeColor="background1"/>
                <w:sz w:val="24"/>
                <w:szCs w:val="24"/>
              </w:rPr>
              <w:t>Instructor</w:t>
            </w:r>
            <w:r w:rsidR="00E3693A" w:rsidRPr="00D7683E">
              <w:rPr>
                <w:color w:val="FFFFFF" w:themeColor="background1"/>
                <w:sz w:val="24"/>
                <w:szCs w:val="24"/>
              </w:rPr>
              <w:t>:</w:t>
            </w:r>
            <w:r w:rsidR="00D7683E">
              <w:rPr>
                <w:color w:val="FFFFFF" w:themeColor="background1"/>
                <w:sz w:val="24"/>
                <w:szCs w:val="24"/>
              </w:rPr>
              <w:t xml:space="preserve"> Kyle Kaczmarick</w:t>
            </w:r>
          </w:p>
          <w:p w14:paraId="5FC5EDF9" w14:textId="014FA562"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Class Times:</w:t>
            </w:r>
            <w:r w:rsidR="00B879F9">
              <w:rPr>
                <w:color w:val="FFFFFF" w:themeColor="background1"/>
                <w:sz w:val="24"/>
                <w:szCs w:val="24"/>
              </w:rPr>
              <w:t xml:space="preserve"> </w:t>
            </w:r>
            <w:r w:rsidR="00FD2EA4">
              <w:rPr>
                <w:color w:val="FFFFFF" w:themeColor="background1"/>
                <w:sz w:val="24"/>
                <w:szCs w:val="24"/>
              </w:rPr>
              <w:t>MWF, 11am to 11:50am, MATT 114</w:t>
            </w:r>
          </w:p>
          <w:p w14:paraId="47475C52" w14:textId="535B9DE5"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Email:</w:t>
            </w:r>
            <w:r w:rsidR="00D7683E">
              <w:rPr>
                <w:color w:val="FFFFFF" w:themeColor="background1"/>
                <w:sz w:val="24"/>
                <w:szCs w:val="24"/>
              </w:rPr>
              <w:t xml:space="preserve"> Kyle.Kaczmarick@unt.edu</w:t>
            </w:r>
          </w:p>
          <w:p w14:paraId="17ADA117" w14:textId="6A6A30D8"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Office Hours:</w:t>
            </w:r>
            <w:r w:rsidR="00D7683E">
              <w:rPr>
                <w:color w:val="FFFFFF" w:themeColor="background1"/>
                <w:sz w:val="24"/>
                <w:szCs w:val="24"/>
              </w:rPr>
              <w:t xml:space="preserve"> Wednesdays, 8am to 11am</w:t>
            </w:r>
          </w:p>
          <w:p w14:paraId="7B09A706" w14:textId="61A15B2D" w:rsidR="00301255" w:rsidRPr="003C1F32" w:rsidRDefault="00301255" w:rsidP="00301255">
            <w:pPr>
              <w:pStyle w:val="SyllabusHeading2"/>
            </w:pPr>
            <w:r w:rsidRPr="00D7683E">
              <w:rPr>
                <w:color w:val="FFFFFF" w:themeColor="background1"/>
                <w:sz w:val="24"/>
                <w:szCs w:val="24"/>
              </w:rPr>
              <w:t>Office Location:</w:t>
            </w:r>
            <w:r w:rsidR="00D7683E">
              <w:rPr>
                <w:color w:val="FFFFFF" w:themeColor="background1"/>
                <w:sz w:val="24"/>
                <w:szCs w:val="24"/>
              </w:rPr>
              <w:t xml:space="preserve"> out in the open on the 3</w:t>
            </w:r>
            <w:r w:rsidR="00D7683E" w:rsidRPr="00D7683E">
              <w:rPr>
                <w:color w:val="FFFFFF" w:themeColor="background1"/>
                <w:sz w:val="24"/>
                <w:szCs w:val="24"/>
                <w:vertAlign w:val="superscript"/>
              </w:rPr>
              <w:t>rd</w:t>
            </w:r>
            <w:r w:rsidR="00D7683E">
              <w:rPr>
                <w:color w:val="FFFFFF" w:themeColor="background1"/>
                <w:sz w:val="24"/>
                <w:szCs w:val="24"/>
              </w:rPr>
              <w:t xml:space="preserve"> Floor of Willis Library</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73172B66" w:rsidR="00104634" w:rsidRPr="003C1F32" w:rsidRDefault="00104634" w:rsidP="00104634">
      <w:r w:rsidRPr="003C1F32">
        <w:t>In order to focus your research, this course will be themed around a topic chosen by your instructor</w:t>
      </w:r>
      <w:r w:rsidR="00CD6580">
        <w:t xml:space="preserve"> (our Spring 2026 theme will concern </w:t>
      </w:r>
      <w:r w:rsidR="00CD6580" w:rsidRPr="005A5F1E">
        <w:rPr>
          <w:color w:val="47D459" w:themeColor="accent3" w:themeTint="99"/>
        </w:rPr>
        <w:t>ART/CREATIVITY/AESTHETICS</w:t>
      </w:r>
      <w:r w:rsidR="00CD6580">
        <w:t>—!)</w:t>
      </w:r>
      <w:r w:rsidRPr="003C1F32">
        <w:t xml:space="preserve"> For the first few weeks, we will read in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1595821" w:rsidR="007159A0" w:rsidRPr="007159A0" w:rsidRDefault="00FC3F1A" w:rsidP="00FC3F1A">
            <w:pPr>
              <w:numPr>
                <w:ilvl w:val="0"/>
                <w:numId w:val="11"/>
              </w:numPr>
              <w:rPr>
                <w:rFonts w:eastAsiaTheme="minorEastAsia"/>
              </w:rPr>
            </w:pPr>
            <w:r w:rsidRPr="00FC3F1A">
              <w:rPr>
                <w:rFonts w:eastAsiaTheme="minorEastAsia"/>
              </w:rPr>
              <w:t>This unit focuses on reading sources for information and insight, as well as formulating a specific research question around an issue you want to write about and explore</w:t>
            </w:r>
            <w:r w:rsidR="00CD6580">
              <w:rPr>
                <w:rFonts w:eastAsiaTheme="minorEastAsia"/>
              </w:rPr>
              <w:t xml:space="preserve"> which concerns ART/CREATIVITY/AESTHETICS</w:t>
            </w:r>
            <w:r w:rsidRPr="00FC3F1A">
              <w:rPr>
                <w:rFonts w:eastAsiaTheme="minorEastAsia"/>
              </w:rPr>
              <w:t xml:space="preserv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3CDCC1B3" w:rsidR="007159A0" w:rsidRPr="00D7683E" w:rsidRDefault="00D7683E" w:rsidP="007159A0">
            <w:pPr>
              <w:rPr>
                <w:rFonts w:eastAsiaTheme="minorEastAsia"/>
                <w:color w:val="000000" w:themeColor="text1"/>
                <w:highlight w:val="yellow"/>
              </w:rPr>
            </w:pPr>
            <w:r w:rsidRPr="0072597A">
              <w:rPr>
                <w:rFonts w:eastAsiaTheme="minorEastAsia"/>
                <w:color w:val="000000" w:themeColor="text1"/>
              </w:rPr>
              <w:t>2/1</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5E1A4D7D" w:rsidR="007159A0" w:rsidRPr="007159A0" w:rsidRDefault="00D7683E" w:rsidP="007159A0">
            <w:pPr>
              <w:rPr>
                <w:rFonts w:eastAsiaTheme="minorEastAsia"/>
                <w:highlight w:val="yellow"/>
              </w:rPr>
            </w:pPr>
            <w:r w:rsidRPr="0072597A">
              <w:rPr>
                <w:rFonts w:eastAsiaTheme="minorEastAsia"/>
              </w:rPr>
              <w:t>3/1</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0C45557E"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w:t>
            </w:r>
            <w:r w:rsidR="00910EAC">
              <w:rPr>
                <w:rFonts w:eastAsiaTheme="minorEastAsia"/>
              </w:rPr>
              <w:t>a rough draft.</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55E32E9C" w:rsidR="007159A0" w:rsidRPr="007159A0" w:rsidRDefault="00D7683E" w:rsidP="007159A0">
            <w:pPr>
              <w:rPr>
                <w:rFonts w:eastAsiaTheme="minorEastAsia"/>
                <w:highlight w:val="yellow"/>
              </w:rPr>
            </w:pPr>
            <w:r w:rsidRPr="0072597A">
              <w:rPr>
                <w:rFonts w:eastAsiaTheme="minorEastAsia"/>
              </w:rPr>
              <w:t>4/5</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lastRenderedPageBreak/>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r w:rsidRPr="00FC3F1A">
              <w:rPr>
                <w:rFonts w:eastAsiaTheme="minorEastAsia"/>
              </w:rPr>
              <w:t>You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3D23BC0F" w:rsidR="007159A0" w:rsidRPr="007159A0" w:rsidRDefault="0072597A" w:rsidP="007159A0">
            <w:pPr>
              <w:rPr>
                <w:rFonts w:eastAsiaTheme="minorEastAsia"/>
              </w:rPr>
            </w:pPr>
            <w:r>
              <w:rPr>
                <w:rFonts w:eastAsiaTheme="minorEastAsia"/>
              </w:rPr>
              <w:t>4/26</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0332380D"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w:t>
            </w:r>
            <w:r w:rsidR="00910EAC">
              <w:rPr>
                <w:rFonts w:eastAsiaTheme="minorEastAsia"/>
              </w:rPr>
              <w:t xml:space="preserve">genre, </w:t>
            </w:r>
            <w:r w:rsidRPr="00234A63">
              <w:rPr>
                <w:rFonts w:eastAsiaTheme="minorEastAsia"/>
              </w:rPr>
              <w:t xml:space="preserve">audience, purpose, and context. Remixing is an activity that helps writers develop new strategies, such as using </w:t>
            </w:r>
            <w:r w:rsidR="00910EAC">
              <w:rPr>
                <w:rFonts w:eastAsiaTheme="minorEastAsia"/>
              </w:rPr>
              <w:t xml:space="preserve">different media, </w:t>
            </w:r>
            <w:r w:rsidRPr="00234A63">
              <w:rPr>
                <w:rFonts w:eastAsiaTheme="minorEastAsia"/>
              </w:rPr>
              <w:t>multimodal writing or “everyday” language, to reach audiences beyond the form of the traditional academic essay.</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6142D8A0" w:rsidR="00FC3F1A" w:rsidRPr="005B2ACC" w:rsidRDefault="0072597A" w:rsidP="007159A0">
            <w:pPr>
              <w:rPr>
                <w:rFonts w:eastAsiaTheme="minorEastAsia"/>
                <w:highlight w:val="yellow"/>
              </w:rPr>
            </w:pPr>
            <w:r w:rsidRPr="0072597A">
              <w:rPr>
                <w:rFonts w:eastAsiaTheme="minorEastAsia"/>
              </w:rPr>
              <w:t>5/3</w:t>
            </w:r>
          </w:p>
        </w:tc>
      </w:tr>
      <w:tr w:rsidR="007159A0" w:rsidRPr="007159A0" w14:paraId="7DC5F766" w14:textId="77777777" w:rsidTr="00F76320">
        <w:tc>
          <w:tcPr>
            <w:tcW w:w="3179" w:type="pct"/>
            <w:shd w:val="clear" w:color="auto" w:fill="FFFFFF" w:themeFill="background1"/>
          </w:tcPr>
          <w:p w14:paraId="29B1B89C" w14:textId="0A6FB104" w:rsidR="007159A0" w:rsidRPr="007159A0" w:rsidRDefault="006F2A5A" w:rsidP="007159A0">
            <w:pPr>
              <w:rPr>
                <w:rFonts w:eastAsiaTheme="minorEastAsia"/>
              </w:rPr>
            </w:pPr>
            <w:r>
              <w:rPr>
                <w:rFonts w:eastAsiaTheme="minorEastAsia"/>
              </w:rPr>
              <w:t>Discussions</w:t>
            </w:r>
          </w:p>
          <w:p w14:paraId="22040374" w14:textId="4BE0D603" w:rsidR="007159A0" w:rsidRPr="007159A0" w:rsidRDefault="00061C1F" w:rsidP="007159A0">
            <w:pPr>
              <w:numPr>
                <w:ilvl w:val="0"/>
                <w:numId w:val="11"/>
              </w:numPr>
              <w:rPr>
                <w:rFonts w:eastAsiaTheme="minorEastAsia"/>
              </w:rPr>
            </w:pPr>
            <w:r>
              <w:rPr>
                <w:rFonts w:eastAsiaTheme="minorEastAsia"/>
              </w:rPr>
              <w:t>Posted through Canvas</w:t>
            </w:r>
            <w:r w:rsidR="001375E5">
              <w:rPr>
                <w:rFonts w:eastAsiaTheme="minorEastAsia"/>
              </w:rPr>
              <w:t xml:space="preserve"> on our DISCUSSIONS page</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2D1346BC" w:rsidR="007159A0" w:rsidRPr="007159A0" w:rsidRDefault="007159A0" w:rsidP="007159A0">
            <w:pPr>
              <w:rPr>
                <w:rFonts w:eastAsiaTheme="minorEastAsia"/>
              </w:rPr>
            </w:pP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49301977" w:rsidR="008B4B75" w:rsidRPr="008B4B75" w:rsidRDefault="008B4B75" w:rsidP="008B4B75">
      <w:r w:rsidRPr="0072597A">
        <w:t>I encourage you to monitor your score and review feedback posted on Canvas; However, Canvas’s gradebook is not always accurate. Some grades such as attendance</w:t>
      </w:r>
      <w:r w:rsidR="0072597A" w:rsidRPr="0072597A">
        <w:t xml:space="preserve"> </w:t>
      </w:r>
      <w:r w:rsidRPr="0072597A">
        <w:t xml:space="preserve">are not incorporated until </w:t>
      </w:r>
      <w:r w:rsidRPr="0072597A">
        <w:rPr>
          <w:i/>
          <w:iCs/>
        </w:rPr>
        <w:t>after</w:t>
      </w:r>
      <w:r w:rsidRPr="0072597A">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lastRenderedPageBreak/>
        <w:t>Feedback</w:t>
      </w:r>
    </w:p>
    <w:p w14:paraId="76F89EE2" w14:textId="3C8FCFBD" w:rsidR="008B4B75" w:rsidRPr="008B4B75" w:rsidRDefault="008B4B75" w:rsidP="008B4B75">
      <w:r w:rsidRPr="005A5F1E">
        <w:t xml:space="preserve">I strive to return all graded work promptly. For shorter assignments and discussions, I will generally post grades/feedback within </w:t>
      </w:r>
      <w:r w:rsidR="00B879F9" w:rsidRPr="005A5F1E">
        <w:t>two weeks</w:t>
      </w:r>
      <w:r w:rsidRPr="005A5F1E">
        <w:t xml:space="preserve"> of the due date. For the larger projects, I aim for </w:t>
      </w:r>
      <w:r w:rsidR="00B879F9" w:rsidRPr="005A5F1E">
        <w:t>two to three weeks</w:t>
      </w:r>
      <w:r w:rsidRPr="005A5F1E">
        <w:t>, but with the rise in cheating and plagiarism, it occasionally takes</w:t>
      </w:r>
      <w:r w:rsidR="005A5F1E" w:rsidRPr="005A5F1E">
        <w:t xml:space="preserve"> a little</w:t>
      </w:r>
      <w:r w:rsidRPr="005A5F1E">
        <w:t xml:space="preserve"> longer to finish grading a set of papers. If it has been longer than the times mentioned, please feel free to ask me when to expect the grades and feedback.</w:t>
      </w:r>
    </w:p>
    <w:p w14:paraId="3AF43FF5" w14:textId="77777777" w:rsidR="008B4B75" w:rsidRPr="008B4B75" w:rsidRDefault="008B4B75" w:rsidP="008B4B75">
      <w:pPr>
        <w:pStyle w:val="SyllabusHeading2"/>
      </w:pPr>
      <w:r w:rsidRPr="008B4B75">
        <w:t>Student Hours</w:t>
      </w:r>
    </w:p>
    <w:p w14:paraId="47467D95" w14:textId="68EB7C91" w:rsidR="008B4B75" w:rsidRPr="008B4B75" w:rsidRDefault="005A5F1E" w:rsidP="008B4B75">
      <w:r w:rsidRPr="005A5F1E">
        <w:t>For my office hours</w:t>
      </w:r>
      <w:r w:rsidR="008B4B75" w:rsidRPr="005A5F1E">
        <w:t>,</w:t>
      </w:r>
      <w:r w:rsidRPr="005A5F1E">
        <w:t xml:space="preserve"> I will be camped out in the Willis Library, on the 3</w:t>
      </w:r>
      <w:r w:rsidRPr="005A5F1E">
        <w:rPr>
          <w:vertAlign w:val="superscript"/>
        </w:rPr>
        <w:t>rd</w:t>
      </w:r>
      <w:r w:rsidRPr="005A5F1E">
        <w:t xml:space="preserve"> floor, where all the books are (I don’t have/want an actual office); you’ll see me, I’m easy to find in a crowd.</w:t>
      </w:r>
      <w:r w:rsidR="001375E5">
        <w:t xml:space="preserve"> If you don’t see me, check the ART or LITERATURE aisles.</w:t>
      </w:r>
      <w:r w:rsidRPr="005A5F1E">
        <w:t xml:space="preserve"> </w:t>
      </w:r>
      <w:r w:rsidR="008B4B75" w:rsidRPr="005A5F1E">
        <w:t>I encourage you to make an appointment to ensure you get time to meet with me</w:t>
      </w:r>
      <w:r w:rsidRPr="005A5F1E">
        <w:t>, and also with an appointment I can specify the exact table/chair I’ll be at, ready for our appointment</w:t>
      </w:r>
      <w:r w:rsidR="008B4B75" w:rsidRPr="005A5F1E">
        <w:t>.</w:t>
      </w:r>
      <w:r w:rsidRPr="005A5F1E">
        <w:t xml:space="preserve"> Or show up whenever you like and search me out on the 3</w:t>
      </w:r>
      <w:r w:rsidRPr="005A5F1E">
        <w:rPr>
          <w:vertAlign w:val="superscript"/>
        </w:rPr>
        <w:t>rd</w:t>
      </w:r>
      <w:r w:rsidRPr="005A5F1E">
        <w:t xml:space="preserve"> floor!</w:t>
      </w:r>
      <w:r w:rsidR="008B4B75" w:rsidRPr="005A5F1E">
        <w:t xml:space="preserve"> Feel free to use my office hours as often as you'd like to chat with me, review an assignment, or discuss any questions/concerns you have. It's been my experience that a quick conversation is the most effective way to resolve any confusion</w:t>
      </w:r>
      <w:r w:rsidRPr="005A5F1E">
        <w:t xml:space="preserve"> rather than email/canvas</w:t>
      </w:r>
      <w:r w:rsidR="008B4B75" w:rsidRPr="005A5F1E">
        <w:t>.</w:t>
      </w:r>
      <w:r w:rsidR="008B4B75" w:rsidRPr="008B4B75">
        <w:t> </w:t>
      </w:r>
    </w:p>
    <w:p w14:paraId="764CA653" w14:textId="77777777" w:rsidR="008B4B75" w:rsidRPr="008B4B75" w:rsidRDefault="008B4B75" w:rsidP="008B4B75">
      <w:pPr>
        <w:pStyle w:val="SyllabusHeading2"/>
      </w:pPr>
      <w:r w:rsidRPr="008B4B75">
        <w:t xml:space="preserve">Email </w:t>
      </w:r>
    </w:p>
    <w:p w14:paraId="7595BF40" w14:textId="6AC80580" w:rsidR="008B4B75" w:rsidRPr="005A5F1E" w:rsidRDefault="008B4B75" w:rsidP="008B4B75">
      <w:r w:rsidRPr="005A5F1E">
        <w:t>I will respond to all official correspondence addressed to my UNT email (</w:t>
      </w:r>
      <w:r w:rsidR="005A5F1E" w:rsidRPr="005A5F1E">
        <w:t xml:space="preserve">kyle.kaczmarick@unt.edu) </w:t>
      </w:r>
      <w:r w:rsidRPr="005A5F1E">
        <w:t xml:space="preserve">in person or via email </w:t>
      </w:r>
      <w:r w:rsidR="005A5F1E" w:rsidRPr="005A5F1E">
        <w:t>as soon as possible</w:t>
      </w:r>
      <w:r w:rsidRPr="005A5F1E">
        <w:rPr>
          <w:i/>
          <w:iCs/>
        </w:rPr>
        <w:t>.</w:t>
      </w:r>
      <w:r w:rsidRPr="005A5F1E">
        <w:rPr>
          <w:b/>
          <w:bCs/>
          <w:i/>
          <w:iCs/>
        </w:rPr>
        <w:t xml:space="preserve"> </w:t>
      </w:r>
      <w:r w:rsidRPr="005A5F1E">
        <w:t>All other communication methods—Canvas Messenger, assignment comments, personal emails, physical letters, etc.—</w:t>
      </w:r>
      <w:r w:rsidRPr="005A5F1E">
        <w:rPr>
          <w:i/>
          <w:iCs/>
          <w:u w:val="single"/>
        </w:rPr>
        <w:t>are</w:t>
      </w:r>
      <w:r w:rsidRPr="005A5F1E">
        <w:t xml:space="preserve"> </w:t>
      </w:r>
      <w:r w:rsidRPr="005A5F1E">
        <w:rPr>
          <w:i/>
          <w:iCs/>
          <w:u w:val="single"/>
        </w:rPr>
        <w:t>unreliable</w:t>
      </w:r>
      <w:r w:rsidRPr="005A5F1E">
        <w:t xml:space="preserve"> ways to contact me. I cannot guarantee that I will see your message on other platforms within any specific time frame, if ever.</w:t>
      </w:r>
      <w:r w:rsidR="005A5F1E" w:rsidRPr="005A5F1E">
        <w:t xml:space="preserve"> Best bet: send me an email AND see me after class/office hours to discuss anything you need of me.</w:t>
      </w:r>
      <w:r w:rsidRPr="005A5F1E">
        <w:t xml:space="preserve"> </w:t>
      </w:r>
    </w:p>
    <w:p w14:paraId="2E2507F5" w14:textId="3D77CCCA" w:rsidR="008B4B75" w:rsidRPr="008B4B75" w:rsidRDefault="008B4B75" w:rsidP="008B4B75">
      <w:r w:rsidRPr="005A5F1E">
        <w:t>It is your responsibility to check your UNT email during your ‘business’ hours each day to ensure you do not miss any time-sensitive information.</w:t>
      </w:r>
      <w:r w:rsidR="005A5F1E">
        <w:t xml:space="preserve"> It’s also good practice to check canvas as well, especially our ANNOUNCMENTS. </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19"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3DE9063E" w14:textId="77777777" w:rsidR="008B4B75" w:rsidRPr="00B50B99" w:rsidRDefault="008B4B75" w:rsidP="008B4B75">
      <w:pPr>
        <w:pStyle w:val="SyllabusHeading2"/>
      </w:pPr>
      <w:r w:rsidRPr="00B50B99">
        <w:t>FYW Program Attendance Guidelines (3x/week class):</w:t>
      </w:r>
    </w:p>
    <w:p w14:paraId="2FA151C4" w14:textId="77777777" w:rsidR="008B4B75" w:rsidRPr="00B50B99" w:rsidRDefault="008B4B75" w:rsidP="008B4B75">
      <w:pPr>
        <w:pStyle w:val="SyllabusList"/>
      </w:pPr>
      <w:r w:rsidRPr="00B50B99">
        <w:lastRenderedPageBreak/>
        <w:t>Per university policy, missing more than 20% of classes results in automatic failure, regardless of assignment grades.</w:t>
      </w:r>
    </w:p>
    <w:p w14:paraId="5ACA8C7E" w14:textId="77777777" w:rsidR="008B4B75" w:rsidRPr="00B50B99" w:rsidRDefault="008B4B75" w:rsidP="008B4B75">
      <w:pPr>
        <w:pStyle w:val="SyllabusList"/>
      </w:pPr>
      <w:r w:rsidRPr="00B50B99">
        <w:t>Attendance will be taken during every class period.</w:t>
      </w:r>
    </w:p>
    <w:p w14:paraId="277C91C5" w14:textId="77777777" w:rsidR="008B4B75" w:rsidRPr="00B50B99" w:rsidRDefault="008B4B75" w:rsidP="008B4B75">
      <w:pPr>
        <w:pStyle w:val="SyllabusList"/>
      </w:pPr>
      <w:r w:rsidRPr="00B50B99">
        <w:t>With every absence, your roll call grade will drop.</w:t>
      </w:r>
    </w:p>
    <w:p w14:paraId="68453CAB" w14:textId="77777777" w:rsidR="008B4B75" w:rsidRPr="00B50B99" w:rsidRDefault="008B4B75" w:rsidP="008B4B75">
      <w:pPr>
        <w:pStyle w:val="SyllabusList"/>
      </w:pPr>
      <w:r w:rsidRPr="00B50B99">
        <w:t>At 10 unexcused absences, you cannot pass the course.</w:t>
      </w:r>
    </w:p>
    <w:p w14:paraId="433569ED" w14:textId="13E24FB3" w:rsidR="008B4B75" w:rsidRPr="00B50B99" w:rsidRDefault="008B4B75" w:rsidP="008B4B75">
      <w:pPr>
        <w:pStyle w:val="SyllabusList"/>
      </w:pPr>
      <w:r w:rsidRPr="00B50B99">
        <w:t>Excused absences are at your instructor’s discretion—stay in communication</w:t>
      </w:r>
      <w:r w:rsidR="00B50B99">
        <w:t>!</w:t>
      </w:r>
    </w:p>
    <w:p w14:paraId="732D81F6" w14:textId="77777777" w:rsidR="008B4B75" w:rsidRPr="008B4B75" w:rsidRDefault="008B4B75" w:rsidP="008B4B75">
      <w:pPr>
        <w:pStyle w:val="SyllabusHeading2"/>
      </w:pPr>
      <w:r w:rsidRPr="008B4B75">
        <w:t>Excused Absences</w:t>
      </w:r>
    </w:p>
    <w:p w14:paraId="33DFA48B" w14:textId="45BF5B26" w:rsidR="008B4B75" w:rsidRPr="008B4B75" w:rsidRDefault="008B4B75" w:rsidP="008B4B75">
      <w:r w:rsidRPr="008B4B75">
        <w:t xml:space="preserve">Absences for the following reasons are considered excusable by the university based on </w:t>
      </w:r>
      <w:hyperlink r:id="rId20" w:history="1">
        <w:r w:rsidRPr="008B4B75">
          <w:rPr>
            <w:color w:val="467886" w:themeColor="hyperlink"/>
            <w:u w:val="single"/>
          </w:rPr>
          <w:t>UNT policy 6.039</w:t>
        </w:r>
      </w:hyperlink>
      <w:r w:rsidRPr="008B4B75">
        <w:t xml:space="preserve">, but you must obtain a note from the </w:t>
      </w:r>
      <w:hyperlink r:id="rId21"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B50B99">
        <w:t xml:space="preserve">least </w:t>
      </w:r>
      <w:r w:rsidR="00B50B99">
        <w:t xml:space="preserve">a week’s </w:t>
      </w:r>
      <w:r w:rsidRPr="008B4B75">
        <w:t>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1B7672">
        <w:t xml:space="preserve">You are responsible for finding out what you missed. </w:t>
      </w:r>
      <w:r w:rsidRPr="001B7672">
        <w:rPr>
          <w:i/>
          <w:iCs/>
        </w:rPr>
        <w:t>Before</w:t>
      </w:r>
      <w:r w:rsidRPr="001B7672">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00C47059" w:rsidR="008B4B75" w:rsidRPr="008B4B75" w:rsidRDefault="001B7672" w:rsidP="008B4B75">
      <w:pPr>
        <w:rPr>
          <w:i/>
          <w:iCs/>
        </w:rPr>
      </w:pPr>
      <w:r>
        <w:t>Zero</w:t>
      </w:r>
      <w:r w:rsidR="000D4AD3">
        <w:t xml:space="preserve"> for a grade</w:t>
      </w:r>
      <w:r>
        <w:t xml:space="preserve">. </w:t>
      </w:r>
      <w:r w:rsidR="000D4AD3">
        <w:t>See below concerning late work.</w:t>
      </w:r>
    </w:p>
    <w:p w14:paraId="38AE7600" w14:textId="77777777" w:rsidR="008B4B75" w:rsidRPr="008B4B75" w:rsidRDefault="008B4B75" w:rsidP="008B4B75">
      <w:pPr>
        <w:pStyle w:val="Scheduleheadings"/>
      </w:pPr>
      <w:r w:rsidRPr="008B4B75">
        <w:t>Late Work</w:t>
      </w:r>
    </w:p>
    <w:p w14:paraId="17F1B226" w14:textId="4CA774E6" w:rsidR="008B4B75" w:rsidRPr="008B4B75" w:rsidRDefault="001B7672" w:rsidP="008B4B75">
      <w:r>
        <w:t>I will only accept late submissions f</w:t>
      </w:r>
      <w:r w:rsidR="00B6073F">
        <w:t>or</w:t>
      </w:r>
      <w:r>
        <w:t xml:space="preserve"> the major assignments. Anything more than 6 hours and less than a week late will received an automatic 15-point deduction; anything over a week late will automatically be graded as a 70 or lower!</w:t>
      </w:r>
    </w:p>
    <w:p w14:paraId="2E4C0E9C" w14:textId="08750A28" w:rsidR="008B4B75" w:rsidRPr="008B4B75" w:rsidRDefault="008B4B75" w:rsidP="008B4B75">
      <w:r w:rsidRPr="001B7672">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w:t>
      </w:r>
      <w:r w:rsidR="001B7672">
        <w:t xml:space="preserve"> (MAKE SURE ALL MAJOR ASSIGNMENTS ARE SUBMITTED AS A WORD DOCUMENT OR PDF)</w:t>
      </w:r>
      <w:r w:rsidRPr="001B7672">
        <w:t>. Additionally, showing “last edited date” metadata does not qualify to remove the penalization based on any technological ‘catastrophe’ that impeded your submission.</w:t>
      </w:r>
    </w:p>
    <w:p w14:paraId="36D92FFE" w14:textId="77777777" w:rsidR="008B4B75" w:rsidRPr="001B7672" w:rsidRDefault="008B4B75" w:rsidP="008B4B75">
      <w:pPr>
        <w:rPr>
          <w:b/>
          <w:bCs/>
          <w:color w:val="275317" w:themeColor="accent6" w:themeShade="80"/>
        </w:rPr>
      </w:pPr>
      <w:r w:rsidRPr="001B7672">
        <w:rPr>
          <w:b/>
          <w:bCs/>
          <w:color w:val="275317" w:themeColor="accent6" w:themeShade="80"/>
        </w:rPr>
        <w:t>Extensions</w:t>
      </w:r>
    </w:p>
    <w:p w14:paraId="4512FB64" w14:textId="484E9B04" w:rsidR="008B4B75" w:rsidRPr="008B4B75" w:rsidRDefault="001B7672" w:rsidP="008B4B75">
      <w:pPr>
        <w:rPr>
          <w:bCs/>
        </w:rPr>
      </w:pPr>
      <w:r w:rsidRPr="001B7672">
        <w:rPr>
          <w:bCs/>
        </w:rPr>
        <w:t>Only if you provide an adequate reason AND ask for the extension</w:t>
      </w:r>
      <w:r>
        <w:rPr>
          <w:bCs/>
        </w:rPr>
        <w:t xml:space="preserve"> at least</w:t>
      </w:r>
      <w:r w:rsidRPr="001B7672">
        <w:rPr>
          <w:bCs/>
        </w:rPr>
        <w:t xml:space="preserve"> 24 hours before the due date</w:t>
      </w:r>
      <w:r w:rsidR="008B4B75" w:rsidRPr="001B7672">
        <w:rPr>
          <w:bCs/>
        </w:rPr>
        <w:t>.</w:t>
      </w:r>
      <w:r w:rsidR="008B4B75"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lastRenderedPageBreak/>
        <w:t xml:space="preserve">According to </w:t>
      </w:r>
      <w:hyperlink r:id="rId22"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3"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1B7672">
        <w:rPr>
          <w:b/>
          <w:bCs/>
        </w:rPr>
        <w:t>Additionally, the use of any generative AI writing tools is prohibited in this class.</w:t>
      </w:r>
      <w:r w:rsidRPr="001B7672">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1B7672">
        <w:rPr>
          <w:i/>
          <w:iCs/>
        </w:rPr>
        <w:t>Any</w:t>
      </w:r>
      <w:r w:rsidRPr="001B7672">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4"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5"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lastRenderedPageBreak/>
        <w:t xml:space="preserve">Technical Assistance: </w:t>
      </w:r>
    </w:p>
    <w:p w14:paraId="33421305" w14:textId="77777777" w:rsidR="008B4B75" w:rsidRPr="008B4B75" w:rsidRDefault="008B4B75" w:rsidP="008B4B75">
      <w:pPr>
        <w:spacing w:after="0"/>
      </w:pPr>
      <w:hyperlink r:id="rId26"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7"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r w:rsidRPr="008B4B75">
        <w:t>Email:WritingCenter@unt.edu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5FC2D6C2"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r w:rsidR="00B6073F">
              <w:rPr>
                <w:color w:val="FFFFFF" w:themeColor="background1"/>
                <w:sz w:val="16"/>
              </w:rPr>
              <w:t>. This schedule does not include all our smaller grades, which you will find weekly on our modules.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478F0DAD" w:rsidR="0037067C" w:rsidRPr="005E2B6B" w:rsidRDefault="00B6073F" w:rsidP="00226D9E">
            <w:pPr>
              <w:spacing w:after="0"/>
              <w:jc w:val="center"/>
              <w:rPr>
                <w:b/>
                <w:bCs/>
                <w:color w:val="FFFFFF" w:themeColor="background1"/>
                <w:sz w:val="22"/>
                <w:szCs w:val="22"/>
              </w:rPr>
            </w:pPr>
            <w:r>
              <w:rPr>
                <w:b/>
                <w:bCs/>
                <w:color w:val="FFFFFF" w:themeColor="background1"/>
                <w:sz w:val="22"/>
                <w:szCs w:val="22"/>
              </w:rPr>
              <w:t xml:space="preserve">MAJOR </w:t>
            </w:r>
            <w:r w:rsidR="0037067C"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555FA7DC" w:rsidR="0037067C" w:rsidRPr="007F063A" w:rsidRDefault="0037067C" w:rsidP="00D7683E">
            <w:pPr>
              <w:spacing w:after="0"/>
              <w:ind w:left="360"/>
              <w:jc w:val="left"/>
            </w:pP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3D85C019" w14:textId="3A832CEF" w:rsidR="0037067C" w:rsidRPr="007F063A" w:rsidRDefault="0037067C" w:rsidP="00D7683E">
            <w:pPr>
              <w:spacing w:after="0"/>
              <w:ind w:left="360"/>
              <w:jc w:val="left"/>
            </w:pP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3800CA" w:rsidR="003E31C3" w:rsidRPr="007F063A" w:rsidRDefault="003E31C3" w:rsidP="00D7683E">
            <w:pPr>
              <w:spacing w:after="0"/>
              <w:jc w:val="left"/>
            </w:pP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3A41CFD1" w14:textId="5400CED4" w:rsidR="0037067C" w:rsidRPr="007F063A" w:rsidRDefault="0037067C" w:rsidP="00D7683E">
            <w:pPr>
              <w:spacing w:after="0"/>
              <w:ind w:left="360"/>
              <w:jc w:val="left"/>
            </w:pP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4E3FF5F4" w14:textId="077FFC5A" w:rsidR="0037067C" w:rsidRPr="007F063A" w:rsidRDefault="0037067C" w:rsidP="00D7683E">
            <w:pPr>
              <w:spacing w:after="0"/>
              <w:ind w:left="360"/>
              <w:jc w:val="left"/>
            </w:pP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55863363" w14:textId="6CCF9B73" w:rsidR="0037067C" w:rsidRPr="007F063A" w:rsidRDefault="0037067C" w:rsidP="0072597A">
            <w:pPr>
              <w:spacing w:after="0"/>
              <w:ind w:left="360"/>
              <w:jc w:val="left"/>
            </w:pP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4534125D" w14:textId="2D028989" w:rsidR="0037067C" w:rsidRPr="00D10D08" w:rsidRDefault="0037067C" w:rsidP="0072597A">
            <w:pPr>
              <w:spacing w:after="0"/>
              <w:ind w:left="360"/>
              <w:jc w:val="left"/>
            </w:pP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6646E354" w14:textId="46FE835E" w:rsidR="00032AD9" w:rsidRPr="00D10D08" w:rsidRDefault="00032AD9" w:rsidP="0072597A">
            <w:pPr>
              <w:spacing w:after="0"/>
              <w:ind w:left="360"/>
              <w:jc w:val="left"/>
            </w:pP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608E40A0" w14:textId="738B6DC1" w:rsidR="00032AD9" w:rsidRPr="00D10D08" w:rsidRDefault="00032AD9" w:rsidP="0072597A">
            <w:pPr>
              <w:spacing w:after="0"/>
              <w:ind w:left="360"/>
              <w:jc w:val="left"/>
            </w:pP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4E624A9F" w:rsidR="00032AD9" w:rsidRPr="00D10D08" w:rsidRDefault="0072597A" w:rsidP="00032AD9">
            <w:pPr>
              <w:numPr>
                <w:ilvl w:val="0"/>
                <w:numId w:val="13"/>
              </w:numPr>
              <w:spacing w:after="0"/>
              <w:ind w:left="360"/>
              <w:jc w:val="left"/>
              <w:rPr>
                <w:b/>
                <w:bCs/>
              </w:rPr>
            </w:pPr>
            <w:r>
              <w:rPr>
                <w:b/>
                <w:bCs/>
              </w:rPr>
              <w:t xml:space="preserve">MA 3 </w:t>
            </w:r>
            <w:r w:rsidR="00032AD9"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4DC7AF09" w14:textId="0E1C55C6" w:rsidR="00032AD9" w:rsidRPr="00D10D08" w:rsidRDefault="00032AD9" w:rsidP="0072597A">
            <w:pPr>
              <w:spacing w:after="0"/>
              <w:ind w:left="360"/>
              <w:jc w:val="left"/>
            </w:pP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4423A0EE" w14:textId="25822D9B" w:rsidR="00032AD9" w:rsidRPr="00D10D08" w:rsidRDefault="00032AD9" w:rsidP="0072597A">
            <w:pPr>
              <w:spacing w:after="0"/>
              <w:ind w:left="360"/>
              <w:jc w:val="left"/>
            </w:pP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0CD4C57D" w:rsidR="00032AD9" w:rsidRPr="00D10D08" w:rsidRDefault="0072597A" w:rsidP="00032AD9">
            <w:pPr>
              <w:numPr>
                <w:ilvl w:val="0"/>
                <w:numId w:val="14"/>
              </w:numPr>
              <w:spacing w:after="0"/>
              <w:ind w:left="360"/>
              <w:jc w:val="left"/>
            </w:pPr>
            <w:r>
              <w:rPr>
                <w:b/>
                <w:bCs/>
              </w:rPr>
              <w:t xml:space="preserve">MA 4 </w:t>
            </w:r>
            <w:r w:rsidR="00032AD9"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71716024" w:rsidR="00A71B84" w:rsidRPr="00D10D08" w:rsidRDefault="0072597A" w:rsidP="00A71B84">
            <w:pPr>
              <w:numPr>
                <w:ilvl w:val="0"/>
                <w:numId w:val="14"/>
              </w:numPr>
              <w:spacing w:after="0"/>
              <w:ind w:left="360"/>
              <w:jc w:val="left"/>
            </w:pPr>
            <w:r>
              <w:rPr>
                <w:b/>
                <w:bCs/>
              </w:rPr>
              <w:t xml:space="preserve">MA 5 </w:t>
            </w:r>
            <w:r w:rsidR="00A71B84"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DA2D" w14:textId="77777777" w:rsidR="00FC2DBE" w:rsidRDefault="00FC2DBE" w:rsidP="00104634">
      <w:r>
        <w:separator/>
      </w:r>
    </w:p>
  </w:endnote>
  <w:endnote w:type="continuationSeparator" w:id="0">
    <w:p w14:paraId="16A56A3B" w14:textId="77777777" w:rsidR="00FC2DBE" w:rsidRDefault="00FC2DBE"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52147DC"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910EAC">
      <w:t>ENGL 1320 - 0</w:t>
    </w:r>
    <w:r w:rsidR="00FD2EA4">
      <w:t>28</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A32E" w14:textId="77777777" w:rsidR="00FC2DBE" w:rsidRDefault="00FC2DBE" w:rsidP="00104634">
      <w:r>
        <w:separator/>
      </w:r>
    </w:p>
  </w:footnote>
  <w:footnote w:type="continuationSeparator" w:id="0">
    <w:p w14:paraId="26FF946E" w14:textId="77777777" w:rsidR="00FC2DBE" w:rsidRDefault="00FC2DBE"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61C1F"/>
    <w:rsid w:val="000846BF"/>
    <w:rsid w:val="00090E72"/>
    <w:rsid w:val="00094A53"/>
    <w:rsid w:val="000A0CAA"/>
    <w:rsid w:val="000A593E"/>
    <w:rsid w:val="000B73EF"/>
    <w:rsid w:val="000C0931"/>
    <w:rsid w:val="000C10EA"/>
    <w:rsid w:val="000C40B9"/>
    <w:rsid w:val="000C649A"/>
    <w:rsid w:val="000D4AD3"/>
    <w:rsid w:val="000F0587"/>
    <w:rsid w:val="000F4AE9"/>
    <w:rsid w:val="00104634"/>
    <w:rsid w:val="001101C3"/>
    <w:rsid w:val="001375E5"/>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B7672"/>
    <w:rsid w:val="001C5237"/>
    <w:rsid w:val="001D0391"/>
    <w:rsid w:val="001D1130"/>
    <w:rsid w:val="001D2477"/>
    <w:rsid w:val="001E072B"/>
    <w:rsid w:val="001F133A"/>
    <w:rsid w:val="001F6D02"/>
    <w:rsid w:val="00202567"/>
    <w:rsid w:val="00226D9E"/>
    <w:rsid w:val="00234A63"/>
    <w:rsid w:val="00234FA1"/>
    <w:rsid w:val="002450E9"/>
    <w:rsid w:val="002512D3"/>
    <w:rsid w:val="00253671"/>
    <w:rsid w:val="0025588C"/>
    <w:rsid w:val="00255A5F"/>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3039F"/>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A5F1E"/>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2597A"/>
    <w:rsid w:val="00747DB3"/>
    <w:rsid w:val="00757E9C"/>
    <w:rsid w:val="007675C7"/>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10EAC"/>
    <w:rsid w:val="009218C8"/>
    <w:rsid w:val="009405E1"/>
    <w:rsid w:val="00946B95"/>
    <w:rsid w:val="0096436C"/>
    <w:rsid w:val="00981768"/>
    <w:rsid w:val="009857CD"/>
    <w:rsid w:val="00985F44"/>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50B99"/>
    <w:rsid w:val="00B6073F"/>
    <w:rsid w:val="00B616D3"/>
    <w:rsid w:val="00B66EF9"/>
    <w:rsid w:val="00B82802"/>
    <w:rsid w:val="00B83CF8"/>
    <w:rsid w:val="00B852E4"/>
    <w:rsid w:val="00B879F9"/>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D003E"/>
    <w:rsid w:val="00CD6580"/>
    <w:rsid w:val="00CD686F"/>
    <w:rsid w:val="00CE7D95"/>
    <w:rsid w:val="00CF329C"/>
    <w:rsid w:val="00D039A6"/>
    <w:rsid w:val="00D10D08"/>
    <w:rsid w:val="00D13340"/>
    <w:rsid w:val="00D24617"/>
    <w:rsid w:val="00D262F0"/>
    <w:rsid w:val="00D33B11"/>
    <w:rsid w:val="00D4429A"/>
    <w:rsid w:val="00D7683E"/>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2DBE"/>
    <w:rsid w:val="00FC3F1A"/>
    <w:rsid w:val="00FC5B23"/>
    <w:rsid w:val="00FC63D7"/>
    <w:rsid w:val="00FD2EA4"/>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aits.unt.edu/support/index.html" TargetMode="External"/><Relationship Id="rId3" Type="http://schemas.openxmlformats.org/officeDocument/2006/relationships/customXml" Target="../customXml/item3.xml"/><Relationship Id="rId21" Type="http://schemas.openxmlformats.org/officeDocument/2006/relationships/hyperlink" Target="https://studentaffairs.unt.edu/dean-of-students/about-us/faq.html"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studentaffairs.unt.edu/dean-of-students/conduct/index.html" TargetMode="Externa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policy.unt.edu/policy/06-03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policy/07-012" TargetMode="Externa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vpaa.unt.edu/ss/integrity/index.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licy.unt.edu/policy/06-03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sites/policy.unt.edu/files/06.003%20Student%20Academic%20Integrity.pdf" TargetMode="External"/><Relationship Id="rId27" Type="http://schemas.openxmlformats.org/officeDocument/2006/relationships/hyperlink" Target="https://writingcenter.unt.ed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9</Pages>
  <Words>3797</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Kyle Kaczmarick</cp:lastModifiedBy>
  <cp:revision>18</cp:revision>
  <dcterms:created xsi:type="dcterms:W3CDTF">2025-12-11T21:21:00Z</dcterms:created>
  <dcterms:modified xsi:type="dcterms:W3CDTF">2026-01-11T21:08:00Z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