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EDBB" w14:textId="77777777" w:rsidR="00FD28CE" w:rsidRDefault="0094726E">
      <w:pPr>
        <w:spacing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6615C6" w14:textId="77777777" w:rsidR="00F93DBB" w:rsidRDefault="0094726E" w:rsidP="00F93DBB">
      <w:pPr>
        <w:spacing w:line="200" w:lineRule="exact"/>
        <w:rPr>
          <w:rFonts w:ascii="Times New Roman" w:eastAsia="Times New Roman" w:hAnsi="Times New Roman"/>
          <w:sz w:val="24"/>
        </w:rPr>
      </w:pPr>
      <w:r>
        <w:rPr>
          <w:rFonts w:ascii="Times New Roman" w:eastAsia="Times New Roman" w:hAnsi="Times New Roman" w:cs="Times New Roman"/>
          <w:sz w:val="24"/>
          <w:szCs w:val="24"/>
        </w:rPr>
        <w:t xml:space="preserve"> </w:t>
      </w:r>
      <w:bookmarkStart w:id="0" w:name="page1"/>
      <w:bookmarkEnd w:id="0"/>
      <w:r w:rsidR="00F93DBB">
        <w:rPr>
          <w:noProof/>
          <w:lang w:val="en-US"/>
        </w:rPr>
        <w:drawing>
          <wp:anchor distT="0" distB="0" distL="114300" distR="114300" simplePos="0" relativeHeight="251659264" behindDoc="1" locked="0" layoutInCell="1" allowOverlap="1" wp14:anchorId="41291B5B" wp14:editId="610B5530">
            <wp:simplePos x="0" y="0"/>
            <wp:positionH relativeFrom="page">
              <wp:posOffset>2057400</wp:posOffset>
            </wp:positionH>
            <wp:positionV relativeFrom="page">
              <wp:posOffset>800100</wp:posOffset>
            </wp:positionV>
            <wp:extent cx="3705860" cy="5232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860" cy="523240"/>
                    </a:xfrm>
                    <a:prstGeom prst="rect">
                      <a:avLst/>
                    </a:prstGeom>
                    <a:noFill/>
                  </pic:spPr>
                </pic:pic>
              </a:graphicData>
            </a:graphic>
            <wp14:sizeRelH relativeFrom="page">
              <wp14:pctWidth>0</wp14:pctWidth>
            </wp14:sizeRelH>
            <wp14:sizeRelV relativeFrom="page">
              <wp14:pctHeight>0</wp14:pctHeight>
            </wp14:sizeRelV>
          </wp:anchor>
        </w:drawing>
      </w:r>
    </w:p>
    <w:p w14:paraId="595E03B3" w14:textId="77777777" w:rsidR="00F93DBB" w:rsidRDefault="00F93DBB" w:rsidP="00F93DBB">
      <w:pPr>
        <w:spacing w:line="200" w:lineRule="exact"/>
        <w:rPr>
          <w:rFonts w:ascii="Times New Roman" w:eastAsia="Times New Roman" w:hAnsi="Times New Roman"/>
          <w:sz w:val="24"/>
        </w:rPr>
      </w:pPr>
    </w:p>
    <w:p w14:paraId="06C0E1C4" w14:textId="77777777" w:rsidR="00F93DBB" w:rsidRDefault="00F93DBB" w:rsidP="00F93DBB">
      <w:pPr>
        <w:spacing w:line="28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83"/>
        <w:gridCol w:w="2880"/>
        <w:gridCol w:w="3640"/>
      </w:tblGrid>
      <w:tr w:rsidR="00F93DBB" w14:paraId="0CE17FD8" w14:textId="77777777" w:rsidTr="00A6421F">
        <w:trPr>
          <w:trHeight w:val="270"/>
        </w:trPr>
        <w:tc>
          <w:tcPr>
            <w:tcW w:w="1883" w:type="dxa"/>
            <w:shd w:val="clear" w:color="auto" w:fill="auto"/>
            <w:vAlign w:val="bottom"/>
          </w:tcPr>
          <w:p w14:paraId="30A1D9B8" w14:textId="77777777" w:rsidR="00F93DBB" w:rsidRDefault="00F93DBB" w:rsidP="00A6421F">
            <w:pPr>
              <w:spacing w:line="0" w:lineRule="atLeast"/>
              <w:rPr>
                <w:rFonts w:ascii="Times New Roman" w:eastAsia="Times New Roman" w:hAnsi="Times New Roman"/>
                <w:sz w:val="23"/>
              </w:rPr>
            </w:pPr>
          </w:p>
        </w:tc>
        <w:tc>
          <w:tcPr>
            <w:tcW w:w="6520" w:type="dxa"/>
            <w:gridSpan w:val="2"/>
            <w:shd w:val="clear" w:color="auto" w:fill="auto"/>
            <w:vAlign w:val="bottom"/>
          </w:tcPr>
          <w:p w14:paraId="4C2A468D" w14:textId="77777777" w:rsidR="00F93DBB" w:rsidRDefault="00F93DBB" w:rsidP="00F93DBB">
            <w:pPr>
              <w:spacing w:line="0" w:lineRule="atLeast"/>
              <w:rPr>
                <w:rFonts w:ascii="Century Gothic" w:eastAsia="Century Gothic" w:hAnsi="Century Gothic"/>
                <w:b/>
                <w:w w:val="99"/>
              </w:rPr>
            </w:pPr>
            <w:r>
              <w:rPr>
                <w:rFonts w:ascii="Century Gothic" w:eastAsia="Century Gothic" w:hAnsi="Century Gothic"/>
                <w:b/>
                <w:w w:val="99"/>
              </w:rPr>
              <w:t>EDCI 4060 Content Area Reading in Secondary Schools</w:t>
            </w:r>
          </w:p>
        </w:tc>
      </w:tr>
      <w:tr w:rsidR="00F93DBB" w14:paraId="5EA044EF" w14:textId="77777777" w:rsidTr="00A6421F">
        <w:trPr>
          <w:trHeight w:val="274"/>
        </w:trPr>
        <w:tc>
          <w:tcPr>
            <w:tcW w:w="1883" w:type="dxa"/>
            <w:shd w:val="clear" w:color="auto" w:fill="auto"/>
            <w:vAlign w:val="bottom"/>
          </w:tcPr>
          <w:p w14:paraId="41F2352B" w14:textId="77777777" w:rsidR="00F93DBB" w:rsidRDefault="00F93DBB" w:rsidP="00A6421F">
            <w:pPr>
              <w:spacing w:line="0" w:lineRule="atLeast"/>
              <w:rPr>
                <w:rFonts w:ascii="Times New Roman" w:eastAsia="Times New Roman" w:hAnsi="Times New Roman"/>
                <w:sz w:val="23"/>
              </w:rPr>
            </w:pPr>
          </w:p>
        </w:tc>
        <w:tc>
          <w:tcPr>
            <w:tcW w:w="2880" w:type="dxa"/>
            <w:shd w:val="clear" w:color="auto" w:fill="auto"/>
            <w:vAlign w:val="bottom"/>
          </w:tcPr>
          <w:p w14:paraId="03EE9934" w14:textId="77777777" w:rsidR="00F93DBB" w:rsidRDefault="00F93DBB" w:rsidP="00A6421F">
            <w:pPr>
              <w:spacing w:line="0" w:lineRule="atLeast"/>
              <w:rPr>
                <w:rFonts w:ascii="Times New Roman" w:eastAsia="Times New Roman" w:hAnsi="Times New Roman"/>
                <w:sz w:val="23"/>
              </w:rPr>
            </w:pPr>
          </w:p>
        </w:tc>
        <w:tc>
          <w:tcPr>
            <w:tcW w:w="3640" w:type="dxa"/>
            <w:shd w:val="clear" w:color="auto" w:fill="auto"/>
            <w:vAlign w:val="bottom"/>
          </w:tcPr>
          <w:p w14:paraId="7378068D" w14:textId="77777777" w:rsidR="00F93DBB" w:rsidRDefault="00F93DBB" w:rsidP="00F93DBB">
            <w:pPr>
              <w:spacing w:line="0" w:lineRule="atLeast"/>
              <w:ind w:right="2088"/>
              <w:rPr>
                <w:rFonts w:ascii="Century Gothic" w:eastAsia="Century Gothic" w:hAnsi="Century Gothic"/>
                <w:b/>
                <w:w w:val="98"/>
              </w:rPr>
            </w:pPr>
          </w:p>
        </w:tc>
      </w:tr>
      <w:tr w:rsidR="00F93DBB" w:rsidRPr="0088318F" w14:paraId="20BD7E3C" w14:textId="77777777" w:rsidTr="00A6421F">
        <w:trPr>
          <w:trHeight w:val="537"/>
        </w:trPr>
        <w:tc>
          <w:tcPr>
            <w:tcW w:w="1883" w:type="dxa"/>
            <w:shd w:val="clear" w:color="auto" w:fill="auto"/>
            <w:vAlign w:val="bottom"/>
          </w:tcPr>
          <w:p w14:paraId="45816C73" w14:textId="77777777" w:rsidR="00F93DBB" w:rsidRPr="0088318F" w:rsidRDefault="00F93DBB" w:rsidP="00A6421F">
            <w:pPr>
              <w:spacing w:line="0" w:lineRule="atLeast"/>
              <w:rPr>
                <w:rFonts w:ascii="Century Gothic" w:eastAsia="Century Gothic" w:hAnsi="Century Gothic"/>
                <w:b/>
              </w:rPr>
            </w:pPr>
            <w:r w:rsidRPr="0088318F">
              <w:rPr>
                <w:rFonts w:ascii="Century Gothic" w:eastAsia="Century Gothic" w:hAnsi="Century Gothic"/>
                <w:b/>
              </w:rPr>
              <w:t>Instructor:</w:t>
            </w:r>
          </w:p>
        </w:tc>
        <w:tc>
          <w:tcPr>
            <w:tcW w:w="6520" w:type="dxa"/>
            <w:gridSpan w:val="2"/>
            <w:shd w:val="clear" w:color="auto" w:fill="auto"/>
            <w:vAlign w:val="bottom"/>
          </w:tcPr>
          <w:p w14:paraId="112A59A3" w14:textId="467B93D9" w:rsidR="00F93DBB" w:rsidRPr="0088318F" w:rsidRDefault="00651E5B" w:rsidP="00A6421F">
            <w:pPr>
              <w:spacing w:line="0" w:lineRule="atLeast"/>
              <w:ind w:left="4" w:hanging="4"/>
              <w:rPr>
                <w:rFonts w:ascii="Century Gothic" w:eastAsia="Century Gothic" w:hAnsi="Century Gothic"/>
              </w:rPr>
            </w:pPr>
            <w:r>
              <w:rPr>
                <w:rFonts w:ascii="Century Gothic" w:eastAsia="Century Gothic" w:hAnsi="Century Gothic"/>
              </w:rPr>
              <w:t>Krystle Brom M.Ed.</w:t>
            </w:r>
          </w:p>
        </w:tc>
      </w:tr>
      <w:tr w:rsidR="00F93DBB" w:rsidRPr="0088318F" w14:paraId="42B1872C" w14:textId="77777777" w:rsidTr="00A6421F">
        <w:trPr>
          <w:trHeight w:val="269"/>
        </w:trPr>
        <w:tc>
          <w:tcPr>
            <w:tcW w:w="1883" w:type="dxa"/>
            <w:shd w:val="clear" w:color="auto" w:fill="auto"/>
            <w:vAlign w:val="bottom"/>
          </w:tcPr>
          <w:p w14:paraId="20A08A3B" w14:textId="77777777" w:rsidR="00F93DBB" w:rsidRPr="0088318F" w:rsidRDefault="00F93DBB" w:rsidP="00A6421F">
            <w:pPr>
              <w:spacing w:line="0" w:lineRule="atLeast"/>
              <w:rPr>
                <w:rFonts w:ascii="Century Gothic" w:eastAsia="Century Gothic" w:hAnsi="Century Gothic"/>
                <w:b/>
              </w:rPr>
            </w:pPr>
            <w:r w:rsidRPr="0088318F">
              <w:rPr>
                <w:rFonts w:ascii="Century Gothic" w:eastAsia="Century Gothic" w:hAnsi="Century Gothic"/>
                <w:b/>
              </w:rPr>
              <w:t>Class Location:</w:t>
            </w:r>
          </w:p>
        </w:tc>
        <w:tc>
          <w:tcPr>
            <w:tcW w:w="6520" w:type="dxa"/>
            <w:gridSpan w:val="2"/>
            <w:shd w:val="clear" w:color="auto" w:fill="auto"/>
            <w:vAlign w:val="bottom"/>
          </w:tcPr>
          <w:p w14:paraId="49E3C962" w14:textId="392F23F9" w:rsidR="00F93DBB" w:rsidRPr="0088318F" w:rsidRDefault="00357B9F" w:rsidP="00A6421F">
            <w:pPr>
              <w:spacing w:line="0" w:lineRule="atLeast"/>
              <w:rPr>
                <w:rFonts w:ascii="Century Gothic" w:eastAsia="Century Gothic" w:hAnsi="Century Gothic"/>
              </w:rPr>
            </w:pPr>
            <w:r>
              <w:rPr>
                <w:rFonts w:ascii="Century Gothic" w:eastAsia="Century Gothic" w:hAnsi="Century Gothic"/>
              </w:rPr>
              <w:t xml:space="preserve">Asynchronous </w:t>
            </w:r>
            <w:r w:rsidR="00F93DBB" w:rsidRPr="0088318F">
              <w:rPr>
                <w:rFonts w:ascii="Century Gothic" w:eastAsia="Century Gothic" w:hAnsi="Century Gothic"/>
              </w:rPr>
              <w:t>Online</w:t>
            </w:r>
          </w:p>
        </w:tc>
      </w:tr>
      <w:tr w:rsidR="00F93DBB" w:rsidRPr="0088318F" w14:paraId="4E25E823" w14:textId="77777777" w:rsidTr="00A6421F">
        <w:trPr>
          <w:trHeight w:val="271"/>
        </w:trPr>
        <w:tc>
          <w:tcPr>
            <w:tcW w:w="1883" w:type="dxa"/>
            <w:shd w:val="clear" w:color="auto" w:fill="auto"/>
            <w:vAlign w:val="bottom"/>
          </w:tcPr>
          <w:p w14:paraId="2F9B8345" w14:textId="77777777" w:rsidR="00F93DBB" w:rsidRPr="005D73DC" w:rsidRDefault="00F93DBB" w:rsidP="00A6421F">
            <w:pPr>
              <w:spacing w:line="0" w:lineRule="atLeast"/>
              <w:rPr>
                <w:rFonts w:ascii="Century Gothic" w:eastAsia="Century Gothic" w:hAnsi="Century Gothic"/>
                <w:b/>
              </w:rPr>
            </w:pPr>
            <w:r w:rsidRPr="005D73DC">
              <w:rPr>
                <w:rFonts w:ascii="Century Gothic" w:eastAsia="Century Gothic" w:hAnsi="Century Gothic"/>
                <w:b/>
              </w:rPr>
              <w:t>Office:</w:t>
            </w:r>
          </w:p>
        </w:tc>
        <w:tc>
          <w:tcPr>
            <w:tcW w:w="6520" w:type="dxa"/>
            <w:gridSpan w:val="2"/>
            <w:shd w:val="clear" w:color="auto" w:fill="auto"/>
            <w:vAlign w:val="bottom"/>
          </w:tcPr>
          <w:p w14:paraId="7C07B133" w14:textId="0A3F1A5B" w:rsidR="00F93DBB" w:rsidRPr="005D73DC" w:rsidRDefault="005D73DC" w:rsidP="00A6421F">
            <w:pPr>
              <w:spacing w:line="0" w:lineRule="atLeast"/>
              <w:rPr>
                <w:rFonts w:ascii="Century Gothic" w:eastAsia="Century Gothic" w:hAnsi="Century Gothic"/>
              </w:rPr>
            </w:pPr>
            <w:r w:rsidRPr="005D73DC">
              <w:rPr>
                <w:rFonts w:ascii="Century Gothic" w:eastAsia="Century Gothic" w:hAnsi="Century Gothic"/>
              </w:rPr>
              <w:t>Remote</w:t>
            </w:r>
          </w:p>
        </w:tc>
      </w:tr>
      <w:tr w:rsidR="00F93DBB" w:rsidRPr="0088318F" w14:paraId="4B045C30" w14:textId="77777777" w:rsidTr="00A6421F">
        <w:trPr>
          <w:trHeight w:val="266"/>
        </w:trPr>
        <w:tc>
          <w:tcPr>
            <w:tcW w:w="1883" w:type="dxa"/>
            <w:shd w:val="clear" w:color="auto" w:fill="auto"/>
            <w:vAlign w:val="bottom"/>
          </w:tcPr>
          <w:p w14:paraId="1F47753D" w14:textId="77777777" w:rsidR="00F93DBB" w:rsidRPr="0088318F" w:rsidRDefault="00F93DBB" w:rsidP="00A6421F">
            <w:pPr>
              <w:spacing w:line="267" w:lineRule="exact"/>
              <w:rPr>
                <w:rFonts w:ascii="Century Gothic" w:eastAsia="Century Gothic" w:hAnsi="Century Gothic"/>
                <w:b/>
              </w:rPr>
            </w:pPr>
            <w:r w:rsidRPr="0088318F">
              <w:rPr>
                <w:rFonts w:ascii="Century Gothic" w:eastAsia="Century Gothic" w:hAnsi="Century Gothic"/>
                <w:b/>
              </w:rPr>
              <w:t>Office Hours:</w:t>
            </w:r>
          </w:p>
        </w:tc>
        <w:tc>
          <w:tcPr>
            <w:tcW w:w="6520" w:type="dxa"/>
            <w:gridSpan w:val="2"/>
            <w:shd w:val="clear" w:color="auto" w:fill="auto"/>
            <w:vAlign w:val="bottom"/>
          </w:tcPr>
          <w:p w14:paraId="13695591" w14:textId="3C86AB2B" w:rsidR="00F93DBB" w:rsidRPr="00651E5B" w:rsidRDefault="00F93DBB" w:rsidP="00A6421F">
            <w:pPr>
              <w:spacing w:line="267" w:lineRule="exact"/>
              <w:rPr>
                <w:rFonts w:ascii="Century Gothic" w:eastAsia="Century Gothic" w:hAnsi="Century Gothic"/>
                <w:highlight w:val="yellow"/>
              </w:rPr>
            </w:pPr>
            <w:r w:rsidRPr="005D73DC">
              <w:rPr>
                <w:rFonts w:ascii="Century Gothic" w:eastAsia="Century Gothic" w:hAnsi="Century Gothic"/>
              </w:rPr>
              <w:t xml:space="preserve">Tu/Th 8-11am, by appointment </w:t>
            </w:r>
            <w:bookmarkStart w:id="1" w:name="_GoBack"/>
            <w:bookmarkEnd w:id="1"/>
            <w:r w:rsidR="005D73DC" w:rsidRPr="005D73DC">
              <w:rPr>
                <w:rFonts w:ascii="Century Gothic" w:eastAsia="Century Gothic" w:hAnsi="Century Gothic"/>
              </w:rPr>
              <w:t>(Zoom)</w:t>
            </w:r>
          </w:p>
        </w:tc>
      </w:tr>
      <w:tr w:rsidR="00F93DBB" w:rsidRPr="00AB245D" w14:paraId="7A1CC2A4" w14:textId="77777777" w:rsidTr="00A6421F">
        <w:trPr>
          <w:trHeight w:val="266"/>
        </w:trPr>
        <w:tc>
          <w:tcPr>
            <w:tcW w:w="1883" w:type="dxa"/>
            <w:shd w:val="clear" w:color="auto" w:fill="auto"/>
            <w:vAlign w:val="bottom"/>
          </w:tcPr>
          <w:p w14:paraId="01518657" w14:textId="77777777" w:rsidR="00F93DBB" w:rsidRPr="0088318F" w:rsidRDefault="00F93DBB" w:rsidP="00A6421F">
            <w:pPr>
              <w:spacing w:line="267" w:lineRule="exact"/>
              <w:rPr>
                <w:rFonts w:ascii="Century Gothic" w:eastAsia="Century Gothic" w:hAnsi="Century Gothic"/>
                <w:b/>
              </w:rPr>
            </w:pPr>
            <w:r w:rsidRPr="0088318F">
              <w:rPr>
                <w:rFonts w:ascii="Century Gothic" w:eastAsia="Century Gothic" w:hAnsi="Century Gothic"/>
                <w:b/>
              </w:rPr>
              <w:t xml:space="preserve">Communication:  </w:t>
            </w:r>
          </w:p>
        </w:tc>
        <w:tc>
          <w:tcPr>
            <w:tcW w:w="6520" w:type="dxa"/>
            <w:gridSpan w:val="2"/>
            <w:shd w:val="clear" w:color="auto" w:fill="auto"/>
            <w:vAlign w:val="bottom"/>
          </w:tcPr>
          <w:p w14:paraId="2F9B7679" w14:textId="56852661" w:rsidR="00F93DBB" w:rsidRPr="00AB245D" w:rsidRDefault="00F93DBB" w:rsidP="00A6421F">
            <w:pPr>
              <w:spacing w:line="267" w:lineRule="exact"/>
              <w:rPr>
                <w:rFonts w:ascii="Century Gothic" w:eastAsia="Century Gothic" w:hAnsi="Century Gothic"/>
              </w:rPr>
            </w:pPr>
            <w:r w:rsidRPr="0088318F">
              <w:rPr>
                <w:rFonts w:ascii="Century Gothic" w:eastAsia="Century Gothic" w:hAnsi="Century Gothic"/>
              </w:rPr>
              <w:t xml:space="preserve">Canvas Message, Email if urgent, </w:t>
            </w:r>
            <w:hyperlink r:id="rId8" w:history="1">
              <w:r w:rsidR="00651E5B" w:rsidRPr="00AC02D2">
                <w:rPr>
                  <w:rStyle w:val="Hyperlink"/>
                  <w:rFonts w:ascii="Century Gothic" w:eastAsia="Century Gothic" w:hAnsi="Century Gothic"/>
                </w:rPr>
                <w:t>krystle.brom@unt.edu</w:t>
              </w:r>
            </w:hyperlink>
            <w:r>
              <w:rPr>
                <w:rFonts w:ascii="Century Gothic" w:eastAsia="Century Gothic" w:hAnsi="Century Gothic"/>
              </w:rPr>
              <w:t xml:space="preserve"> </w:t>
            </w:r>
          </w:p>
        </w:tc>
      </w:tr>
    </w:tbl>
    <w:p w14:paraId="3C640C3F" w14:textId="77777777" w:rsidR="00FD28CE" w:rsidRDefault="0094726E">
      <w:pPr>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369617" w14:textId="77777777" w:rsidR="00FD28CE" w:rsidRDefault="0094726E">
      <w:pPr>
        <w:rPr>
          <w:b/>
        </w:rPr>
      </w:pPr>
      <w:r>
        <w:rPr>
          <w:b/>
        </w:rPr>
        <w:t>Required Text</w:t>
      </w:r>
    </w:p>
    <w:p w14:paraId="7A28DBF3" w14:textId="169D9040" w:rsidR="00FD28CE" w:rsidRDefault="0094726E">
      <w:pPr>
        <w:spacing w:line="297" w:lineRule="auto"/>
      </w:pPr>
      <w:r>
        <w:t>Gillis, V. R., Bog</w:t>
      </w:r>
      <w:r w:rsidR="00D53446">
        <w:t xml:space="preserve">gs, G., &amp; </w:t>
      </w:r>
      <w:proofErr w:type="spellStart"/>
      <w:r w:rsidR="00D53446">
        <w:t>Alvermann</w:t>
      </w:r>
      <w:proofErr w:type="spellEnd"/>
      <w:r w:rsidR="00D53446">
        <w:t>, D. E. (2017</w:t>
      </w:r>
      <w:r>
        <w:t>).</w:t>
      </w:r>
      <w:r>
        <w:rPr>
          <w:i/>
        </w:rPr>
        <w:t xml:space="preserve"> Content area reading and literacy: Succeeding in today’s diverse classrooms</w:t>
      </w:r>
      <w:r>
        <w:t xml:space="preserve"> (8</w:t>
      </w:r>
      <w:r>
        <w:rPr>
          <w:vertAlign w:val="superscript"/>
        </w:rPr>
        <w:t>th</w:t>
      </w:r>
      <w:r w:rsidR="00522519">
        <w:t xml:space="preserve"> Ed.). Boston, MA: </w:t>
      </w:r>
      <w:r>
        <w:t>Pearson.</w:t>
      </w:r>
    </w:p>
    <w:p w14:paraId="0C8AF330" w14:textId="5948549B" w:rsidR="00FD28CE" w:rsidRDefault="0094726E">
      <w:pPr>
        <w:numPr>
          <w:ilvl w:val="1"/>
          <w:numId w:val="1"/>
        </w:numPr>
        <w:spacing w:line="297" w:lineRule="auto"/>
      </w:pPr>
      <w:r>
        <w:t>Other readings</w:t>
      </w:r>
      <w:r w:rsidR="00522519">
        <w:t xml:space="preserve"> in Canvas</w:t>
      </w:r>
      <w:r>
        <w:t xml:space="preserve"> (chapters, journal</w:t>
      </w:r>
      <w:r w:rsidR="00F93DBB">
        <w:t xml:space="preserve"> articles</w:t>
      </w:r>
      <w:r>
        <w:t xml:space="preserve">, websites) </w:t>
      </w:r>
    </w:p>
    <w:p w14:paraId="49A0404B" w14:textId="77777777" w:rsidR="00FD28CE" w:rsidRDefault="0094726E">
      <w:pPr>
        <w:rPr>
          <w:b/>
        </w:rPr>
      </w:pPr>
      <w:r>
        <w:rPr>
          <w:b/>
        </w:rPr>
        <w:t xml:space="preserve"> </w:t>
      </w:r>
    </w:p>
    <w:p w14:paraId="23CF5E81" w14:textId="77777777" w:rsidR="00FD28CE" w:rsidRDefault="0094726E">
      <w:pPr>
        <w:rPr>
          <w:b/>
        </w:rPr>
      </w:pPr>
      <w:r>
        <w:rPr>
          <w:b/>
        </w:rPr>
        <w:t>Course Description</w:t>
      </w:r>
    </w:p>
    <w:p w14:paraId="65694BDC" w14:textId="77777777" w:rsidR="00FD28CE" w:rsidRDefault="0094726E">
      <w:r>
        <w:t>This course was designed to help middle and secondary teacher education</w:t>
      </w:r>
      <w:r>
        <w:rPr>
          <w:b/>
        </w:rPr>
        <w:t xml:space="preserve"> </w:t>
      </w:r>
      <w:r>
        <w:t>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learners, and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14:paraId="13901E53" w14:textId="77777777" w:rsidR="00FD28CE" w:rsidRDefault="0094726E">
      <w:pPr>
        <w:spacing w:line="29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E8231B" w14:textId="77777777" w:rsidR="00FD28CE" w:rsidRPr="00F93DBB" w:rsidRDefault="0094726E" w:rsidP="00F93DBB">
      <w:pPr>
        <w:rPr>
          <w:b/>
        </w:rPr>
      </w:pPr>
      <w:r>
        <w:rPr>
          <w:b/>
        </w:rPr>
        <w:t>Technical Requirements</w:t>
      </w:r>
    </w:p>
    <w:p w14:paraId="56978B30" w14:textId="77777777" w:rsidR="00FD28CE" w:rsidRDefault="0094726E">
      <w:pPr>
        <w:rPr>
          <w:color w:val="1155CC"/>
          <w:u w:val="single"/>
        </w:rPr>
      </w:pPr>
      <w:r>
        <w:t xml:space="preserve">Hardware and software necessary to use Canvas: </w:t>
      </w:r>
      <w:hyperlink r:id="rId9">
        <w:r>
          <w:rPr>
            <w:color w:val="1155CC"/>
            <w:u w:val="single"/>
          </w:rPr>
          <w:t>http://ithelp.unt.ed</w:t>
        </w:r>
      </w:hyperlink>
    </w:p>
    <w:p w14:paraId="0EC39C1D" w14:textId="77777777" w:rsidR="00FD28CE" w:rsidRDefault="0094726E">
      <w:pPr>
        <w:spacing w:line="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48B8B0" w14:textId="77777777" w:rsidR="00FD28CE" w:rsidRDefault="0094726E">
      <w:pPr>
        <w:rPr>
          <w:color w:val="0000FF"/>
          <w:u w:val="single"/>
        </w:rPr>
      </w:pPr>
      <w:r>
        <w:t xml:space="preserve">Computer and Internet Literacy: </w:t>
      </w:r>
      <w:hyperlink r:id="rId10">
        <w:r>
          <w:rPr>
            <w:color w:val="0000FF"/>
            <w:u w:val="single"/>
          </w:rPr>
          <w:t>http://clt.odu.edu/oso/index.php?src=pe_comp_lit</w:t>
        </w:r>
      </w:hyperlink>
    </w:p>
    <w:p w14:paraId="5DE1FB99" w14:textId="77777777" w:rsidR="00FD28CE" w:rsidRDefault="0094726E">
      <w:pPr>
        <w:ind w:right="4360"/>
        <w:rPr>
          <w:color w:val="0000FF"/>
          <w:u w:val="single"/>
        </w:rPr>
      </w:pPr>
      <w:r>
        <w:t xml:space="preserve">Internet Access with </w:t>
      </w:r>
      <w:hyperlink r:id="rId11">
        <w:r>
          <w:rPr>
            <w:color w:val="0000FF"/>
            <w:u w:val="single"/>
          </w:rPr>
          <w:t>compatible web browser</w:t>
        </w:r>
      </w:hyperlink>
    </w:p>
    <w:p w14:paraId="4B0E719E" w14:textId="6D505DD7" w:rsidR="009E36AD" w:rsidRPr="009E36AD" w:rsidRDefault="009E36AD" w:rsidP="009E36AD">
      <w:pPr>
        <w:rPr>
          <w:rFonts w:ascii="Times New Roman" w:eastAsia="Times New Roman" w:hAnsi="Times New Roman" w:cs="Times New Roman"/>
        </w:rPr>
      </w:pPr>
      <w:r w:rsidRPr="009E36AD">
        <w:rPr>
          <w:rFonts w:eastAsia="Times New Roman"/>
          <w:color w:val="3D3D3D"/>
          <w:shd w:val="clear" w:color="auto" w:fill="FFFFFF"/>
          <w:lang w:val="en-US"/>
        </w:rPr>
        <w:t>Download Microsoft Office for free from UNT</w:t>
      </w:r>
      <w:r>
        <w:rPr>
          <w:rFonts w:ascii="Times New Roman" w:eastAsia="Times New Roman" w:hAnsi="Times New Roman" w:cs="Times New Roman"/>
        </w:rPr>
        <w:t xml:space="preserve"> </w:t>
      </w:r>
      <w:hyperlink r:id="rId12" w:history="1">
        <w:r w:rsidRPr="004D39A2">
          <w:rPr>
            <w:rStyle w:val="Hyperlink"/>
            <w:rFonts w:ascii="Times New Roman" w:eastAsia="Times New Roman" w:hAnsi="Times New Roman" w:cs="Times New Roman"/>
          </w:rPr>
          <w:t>https://it.unt.edu/installoffice365%20</w:t>
        </w:r>
      </w:hyperlink>
      <w:r>
        <w:rPr>
          <w:rFonts w:ascii="Times New Roman" w:eastAsia="Times New Roman" w:hAnsi="Times New Roman" w:cs="Times New Roman"/>
        </w:rPr>
        <w:t xml:space="preserve"> </w:t>
      </w:r>
    </w:p>
    <w:p w14:paraId="75FB1CAE" w14:textId="248ADF13" w:rsidR="00FD28CE" w:rsidRDefault="00FD28CE">
      <w:pPr>
        <w:spacing w:line="1" w:lineRule="auto"/>
      </w:pPr>
    </w:p>
    <w:p w14:paraId="66CEBF39" w14:textId="77777777" w:rsidR="009E36AD" w:rsidRDefault="009E36AD">
      <w:pPr>
        <w:spacing w:line="1" w:lineRule="auto"/>
      </w:pPr>
    </w:p>
    <w:p w14:paraId="44B595BB" w14:textId="77777777" w:rsidR="009E36AD" w:rsidRDefault="009E36AD">
      <w:pPr>
        <w:spacing w:line="1" w:lineRule="auto"/>
        <w:rPr>
          <w:rFonts w:ascii="Times New Roman" w:eastAsia="Times New Roman" w:hAnsi="Times New Roman" w:cs="Times New Roman"/>
        </w:rPr>
      </w:pPr>
    </w:p>
    <w:p w14:paraId="3D882736" w14:textId="77777777" w:rsidR="00FD28CE" w:rsidRDefault="0094726E">
      <w:pPr>
        <w:ind w:right="1660"/>
      </w:pPr>
      <w:r>
        <w:t xml:space="preserve">If you need assistance with technical issues, contact the UNT Student Help Desk. Email: </w:t>
      </w:r>
      <w:r>
        <w:rPr>
          <w:color w:val="0000FF"/>
        </w:rPr>
        <w:t>helpdesk@unt.edu</w:t>
      </w:r>
      <w:r>
        <w:t xml:space="preserve"> Phone: 940-565-2324</w:t>
      </w:r>
    </w:p>
    <w:p w14:paraId="2B5520F4" w14:textId="6BB50839" w:rsidR="00FD28CE" w:rsidRDefault="0094726E">
      <w:pPr>
        <w:ind w:right="1660"/>
      </w:pPr>
      <w:r>
        <w:t xml:space="preserve">If you need assistance with </w:t>
      </w:r>
      <w:proofErr w:type="spellStart"/>
      <w:r>
        <w:t>Foliotek</w:t>
      </w:r>
      <w:proofErr w:type="spellEnd"/>
      <w:r>
        <w:t xml:space="preserve">, contact </w:t>
      </w:r>
      <w:hyperlink r:id="rId13" w:history="1">
        <w:r w:rsidR="00944E8D" w:rsidRPr="00D51B03">
          <w:rPr>
            <w:rStyle w:val="Hyperlink"/>
          </w:rPr>
          <w:t>alyssa.armstrong@unt.edu</w:t>
        </w:r>
      </w:hyperlink>
      <w:r w:rsidR="00944E8D">
        <w:t xml:space="preserve"> </w:t>
      </w:r>
    </w:p>
    <w:p w14:paraId="7BDDFE6A" w14:textId="77777777" w:rsidR="00FD28CE" w:rsidRDefault="00FD28CE"/>
    <w:p w14:paraId="3E2A2D04" w14:textId="77777777" w:rsidR="00357B9F" w:rsidRDefault="00357B9F" w:rsidP="00F93DBB">
      <w:pPr>
        <w:rPr>
          <w:b/>
        </w:rPr>
      </w:pPr>
    </w:p>
    <w:p w14:paraId="75C43370" w14:textId="77777777" w:rsidR="00357B9F" w:rsidRDefault="00357B9F" w:rsidP="00F93DBB">
      <w:pPr>
        <w:rPr>
          <w:b/>
        </w:rPr>
      </w:pPr>
    </w:p>
    <w:p w14:paraId="3198CE8D" w14:textId="20DA34A5" w:rsidR="005872DE" w:rsidRPr="00F93DBB" w:rsidRDefault="0094726E" w:rsidP="005872DE">
      <w:pPr>
        <w:rPr>
          <w:b/>
        </w:rPr>
      </w:pPr>
      <w:r>
        <w:rPr>
          <w:b/>
        </w:rPr>
        <w:lastRenderedPageBreak/>
        <w:t>Course Objectives</w:t>
      </w:r>
    </w:p>
    <w:p w14:paraId="4E38D81B" w14:textId="77777777" w:rsidR="005872DE" w:rsidRPr="00980FC2" w:rsidRDefault="005872DE" w:rsidP="005872DE">
      <w:pPr>
        <w:spacing w:line="240" w:lineRule="auto"/>
        <w:ind w:left="820" w:right="200" w:hanging="360"/>
      </w:pPr>
      <w:r w:rsidRPr="00980FC2">
        <w:t>1.</w:t>
      </w:r>
      <w:r w:rsidRPr="00980FC2">
        <w:rPr>
          <w:rFonts w:ascii="Times New Roman" w:eastAsia="Times New Roman" w:hAnsi="Times New Roman" w:cs="Times New Roman"/>
          <w:sz w:val="14"/>
          <w:szCs w:val="14"/>
        </w:rPr>
        <w:t xml:space="preserve">     </w:t>
      </w:r>
      <w:r w:rsidRPr="00980FC2">
        <w:t>Appreciate the value of an informed and reflective mindset about one’s instructional decision-making.</w:t>
      </w:r>
    </w:p>
    <w:p w14:paraId="75C75853" w14:textId="77777777" w:rsidR="005872DE" w:rsidRPr="00980FC2" w:rsidRDefault="005872DE" w:rsidP="005872DE">
      <w:pPr>
        <w:ind w:left="820" w:right="780" w:hanging="360"/>
      </w:pPr>
      <w:r w:rsidRPr="00980FC2">
        <w:t>2.</w:t>
      </w:r>
      <w:r w:rsidRPr="00980FC2">
        <w:rPr>
          <w:rFonts w:ascii="Times New Roman" w:eastAsia="Times New Roman" w:hAnsi="Times New Roman" w:cs="Times New Roman"/>
          <w:sz w:val="14"/>
          <w:szCs w:val="14"/>
        </w:rPr>
        <w:t xml:space="preserve">     </w:t>
      </w:r>
      <w:r w:rsidRPr="00980FC2">
        <w:t>Recognize and describe the impact of students’ cognitive and metacognitive processing on thinking and learning.</w:t>
      </w:r>
    </w:p>
    <w:p w14:paraId="7B946428" w14:textId="77777777" w:rsidR="005872DE" w:rsidRPr="00980FC2" w:rsidRDefault="005872DE" w:rsidP="005872DE">
      <w:pPr>
        <w:ind w:left="820" w:right="340" w:hanging="360"/>
      </w:pPr>
      <w:r w:rsidRPr="00980FC2">
        <w:t>3.</w:t>
      </w:r>
      <w:r w:rsidRPr="00980FC2">
        <w:rPr>
          <w:rFonts w:ascii="Times New Roman" w:eastAsia="Times New Roman" w:hAnsi="Times New Roman" w:cs="Times New Roman"/>
          <w:sz w:val="14"/>
          <w:szCs w:val="14"/>
        </w:rPr>
        <w:t xml:space="preserve">     </w:t>
      </w:r>
      <w:r w:rsidRPr="00980FC2">
        <w:t>Explain and apply to instructional decision-making an understanding of how reader, text, and context factors interact to affect the construction of meaning.</w:t>
      </w:r>
    </w:p>
    <w:p w14:paraId="06D3440D" w14:textId="77777777" w:rsidR="005872DE" w:rsidRPr="00980FC2" w:rsidRDefault="005872DE" w:rsidP="005872DE">
      <w:pPr>
        <w:spacing w:line="235" w:lineRule="auto"/>
        <w:ind w:left="820" w:hanging="360"/>
        <w:rPr>
          <w:i/>
          <w:iCs/>
        </w:rPr>
      </w:pPr>
      <w:r w:rsidRPr="00980FC2">
        <w:t>4.</w:t>
      </w:r>
      <w:r w:rsidRPr="00980FC2">
        <w:rPr>
          <w:rFonts w:ascii="Times New Roman" w:eastAsia="Times New Roman" w:hAnsi="Times New Roman" w:cs="Times New Roman"/>
          <w:sz w:val="14"/>
          <w:szCs w:val="14"/>
        </w:rPr>
        <w:t xml:space="preserve">     </w:t>
      </w:r>
      <w:r w:rsidRPr="00980FC2">
        <w:t>Delineate the distinctions among Basic literacy, Intermediate Literacy, Disciplinary Literacy, and Critical Literacy</w:t>
      </w:r>
      <w:r w:rsidRPr="00980FC2">
        <w:rPr>
          <w:i/>
          <w:iCs/>
        </w:rPr>
        <w:t xml:space="preserve">. </w:t>
      </w:r>
    </w:p>
    <w:p w14:paraId="71E66164" w14:textId="77777777" w:rsidR="005872DE" w:rsidRPr="00980FC2" w:rsidRDefault="005872DE" w:rsidP="005872DE">
      <w:pPr>
        <w:spacing w:line="4" w:lineRule="auto"/>
      </w:pPr>
      <w:r w:rsidRPr="00980FC2">
        <w:t xml:space="preserve"> </w:t>
      </w:r>
    </w:p>
    <w:p w14:paraId="2E331BC9" w14:textId="77777777" w:rsidR="005872DE" w:rsidRPr="00980FC2" w:rsidRDefault="005872DE" w:rsidP="005872DE">
      <w:pPr>
        <w:spacing w:line="247" w:lineRule="auto"/>
        <w:ind w:left="820" w:right="520" w:hanging="360"/>
        <w:rPr>
          <w:sz w:val="21"/>
          <w:szCs w:val="21"/>
        </w:rPr>
      </w:pPr>
      <w:r w:rsidRPr="00980FC2">
        <w:rPr>
          <w:sz w:val="21"/>
          <w:szCs w:val="21"/>
        </w:rPr>
        <w:t>5.</w:t>
      </w:r>
      <w:r w:rsidRPr="00980FC2">
        <w:rPr>
          <w:rFonts w:ascii="Times New Roman" w:eastAsia="Times New Roman" w:hAnsi="Times New Roman" w:cs="Times New Roman"/>
          <w:sz w:val="14"/>
          <w:szCs w:val="14"/>
        </w:rPr>
        <w:t xml:space="preserve">    </w:t>
      </w:r>
      <w:r w:rsidRPr="00980FC2">
        <w:rPr>
          <w:sz w:val="21"/>
          <w:szCs w:val="21"/>
        </w:rPr>
        <w:t>Develop strategies to use to modify instructional approaches based on student abilities, needs, interests, and cultural characteristics (to include language differences), narrowing the gap between students’ readiness to learn and the teacher’s instructional goals.</w:t>
      </w:r>
    </w:p>
    <w:p w14:paraId="79BDBB91" w14:textId="77777777" w:rsidR="005872DE" w:rsidRPr="00980FC2" w:rsidRDefault="005872DE" w:rsidP="005872DE">
      <w:pPr>
        <w:spacing w:line="1" w:lineRule="auto"/>
        <w:rPr>
          <w:sz w:val="21"/>
          <w:szCs w:val="21"/>
        </w:rPr>
      </w:pPr>
      <w:r w:rsidRPr="00980FC2">
        <w:rPr>
          <w:sz w:val="21"/>
          <w:szCs w:val="21"/>
        </w:rPr>
        <w:t xml:space="preserve"> </w:t>
      </w:r>
    </w:p>
    <w:p w14:paraId="7ED1A9CD" w14:textId="77777777" w:rsidR="005872DE" w:rsidRPr="00980FC2" w:rsidRDefault="005872DE" w:rsidP="005872DE">
      <w:pPr>
        <w:ind w:left="820" w:right="340" w:hanging="360"/>
      </w:pPr>
      <w:r w:rsidRPr="00980FC2">
        <w:t>6.</w:t>
      </w:r>
      <w:r w:rsidRPr="00980FC2">
        <w:rPr>
          <w:rFonts w:ascii="Times New Roman" w:eastAsia="Times New Roman" w:hAnsi="Times New Roman" w:cs="Times New Roman"/>
          <w:sz w:val="14"/>
          <w:szCs w:val="14"/>
        </w:rPr>
        <w:t xml:space="preserve">     </w:t>
      </w:r>
      <w:r w:rsidRPr="00980FC2">
        <w:t xml:space="preserve">Incorporate content literacy strategies into instruction with the goal of creating self-regulated, independent and </w:t>
      </w:r>
      <w:r w:rsidRPr="00980FC2">
        <w:rPr>
          <w:i/>
          <w:iCs/>
        </w:rPr>
        <w:t>engaged</w:t>
      </w:r>
      <w:r w:rsidRPr="00980FC2">
        <w:t xml:space="preserve"> learners.</w:t>
      </w:r>
    </w:p>
    <w:p w14:paraId="4C6C0EB0" w14:textId="77777777" w:rsidR="005872DE" w:rsidRPr="00980FC2" w:rsidRDefault="005872DE" w:rsidP="005872DE">
      <w:pPr>
        <w:ind w:left="820" w:right="340" w:hanging="360"/>
      </w:pPr>
      <w:r w:rsidRPr="00980FC2">
        <w:t xml:space="preserve">7.   </w:t>
      </w:r>
      <w:r w:rsidRPr="00980FC2">
        <w:rPr>
          <w:rFonts w:ascii="Times New Roman" w:eastAsia="Times New Roman" w:hAnsi="Times New Roman" w:cs="Times New Roman"/>
          <w:sz w:val="14"/>
          <w:szCs w:val="14"/>
        </w:rPr>
        <w:t xml:space="preserve"> </w:t>
      </w:r>
      <w:r w:rsidRPr="00980FC2">
        <w:t>Plan instruction which facilitates and scaffolds students' learning from text.</w:t>
      </w:r>
    </w:p>
    <w:p w14:paraId="687C6175" w14:textId="77777777" w:rsidR="005872DE" w:rsidRPr="00980FC2" w:rsidRDefault="005872DE" w:rsidP="005872DE">
      <w:pPr>
        <w:spacing w:line="4" w:lineRule="auto"/>
      </w:pPr>
      <w:r w:rsidRPr="00980FC2">
        <w:t xml:space="preserve"> </w:t>
      </w:r>
    </w:p>
    <w:p w14:paraId="06B3B873" w14:textId="77777777" w:rsidR="005872DE" w:rsidRPr="00980FC2" w:rsidRDefault="005872DE" w:rsidP="005872DE">
      <w:pPr>
        <w:ind w:left="820" w:hanging="360"/>
      </w:pPr>
      <w:r w:rsidRPr="00980FC2">
        <w:t>8.</w:t>
      </w:r>
      <w:r w:rsidRPr="00980FC2">
        <w:rPr>
          <w:rFonts w:ascii="Times New Roman" w:eastAsia="Times New Roman" w:hAnsi="Times New Roman" w:cs="Times New Roman"/>
          <w:sz w:val="14"/>
          <w:szCs w:val="14"/>
        </w:rPr>
        <w:t xml:space="preserve">     </w:t>
      </w:r>
      <w:r w:rsidRPr="00980FC2">
        <w:t xml:space="preserve">Develop an awareness of anti-biased and anti-racist instructional resources and strategies and approaches for implementing such.   </w:t>
      </w:r>
    </w:p>
    <w:p w14:paraId="37B7B951" w14:textId="77777777" w:rsidR="005872DE" w:rsidRPr="00980FC2" w:rsidRDefault="005872DE" w:rsidP="005872DE">
      <w:pPr>
        <w:ind w:left="820" w:right="740" w:hanging="360"/>
      </w:pPr>
      <w:r w:rsidRPr="00980FC2">
        <w:t>9.</w:t>
      </w:r>
      <w:r w:rsidRPr="00980FC2">
        <w:rPr>
          <w:rFonts w:ascii="Times New Roman" w:eastAsia="Times New Roman" w:hAnsi="Times New Roman" w:cs="Times New Roman"/>
          <w:sz w:val="14"/>
          <w:szCs w:val="14"/>
        </w:rPr>
        <w:t xml:space="preserve">     </w:t>
      </w:r>
      <w:r w:rsidRPr="00980FC2">
        <w:t>Identify professional literature, technology resources, and literature created to engage young people related to being literate in his/her specific content area.</w:t>
      </w:r>
    </w:p>
    <w:p w14:paraId="1E4D3258" w14:textId="77777777" w:rsidR="005872DE" w:rsidRPr="00980FC2" w:rsidRDefault="005872DE" w:rsidP="005872DE">
      <w:pPr>
        <w:ind w:left="820" w:right="780" w:hanging="360"/>
      </w:pPr>
      <w:r w:rsidRPr="00980FC2">
        <w:t>10.</w:t>
      </w:r>
      <w:r w:rsidRPr="00980FC2">
        <w:rPr>
          <w:rFonts w:ascii="Times New Roman" w:eastAsia="Times New Roman" w:hAnsi="Times New Roman" w:cs="Times New Roman"/>
          <w:sz w:val="14"/>
          <w:szCs w:val="14"/>
        </w:rPr>
        <w:t xml:space="preserve">  </w:t>
      </w:r>
      <w:r w:rsidRPr="00980FC2">
        <w:t>Choose and teach content vocabulary in ways that increase concept development and independent vocabulary learning.</w:t>
      </w:r>
    </w:p>
    <w:p w14:paraId="12910C40" w14:textId="77777777" w:rsidR="005872DE" w:rsidRPr="00980FC2" w:rsidRDefault="005872DE" w:rsidP="005872DE">
      <w:pPr>
        <w:spacing w:line="1" w:lineRule="auto"/>
      </w:pPr>
      <w:r w:rsidRPr="00980FC2">
        <w:t xml:space="preserve"> </w:t>
      </w:r>
    </w:p>
    <w:p w14:paraId="618FA227" w14:textId="77777777" w:rsidR="005872DE" w:rsidRPr="00980FC2" w:rsidRDefault="005872DE" w:rsidP="005872DE">
      <w:pPr>
        <w:spacing w:line="235" w:lineRule="auto"/>
        <w:ind w:left="820" w:hanging="360"/>
      </w:pPr>
      <w:r w:rsidRPr="00980FC2">
        <w:t>11.</w:t>
      </w:r>
      <w:r w:rsidRPr="00980FC2">
        <w:rPr>
          <w:rFonts w:ascii="Times New Roman" w:eastAsia="Times New Roman" w:hAnsi="Times New Roman" w:cs="Times New Roman"/>
          <w:sz w:val="14"/>
          <w:szCs w:val="14"/>
        </w:rPr>
        <w:t xml:space="preserve">  </w:t>
      </w:r>
      <w:r w:rsidRPr="00980FC2">
        <w:t>Recognize the need for and beginning ways to support students with exceptionalities in the content classroom.</w:t>
      </w:r>
    </w:p>
    <w:p w14:paraId="5E4CA721" w14:textId="77777777" w:rsidR="005872DE" w:rsidRPr="00980FC2" w:rsidRDefault="005872DE" w:rsidP="005872DE">
      <w:pPr>
        <w:spacing w:line="4" w:lineRule="auto"/>
      </w:pPr>
      <w:r w:rsidRPr="00980FC2">
        <w:t xml:space="preserve"> </w:t>
      </w:r>
    </w:p>
    <w:p w14:paraId="3DB48B95" w14:textId="77777777" w:rsidR="005872DE" w:rsidRDefault="005872DE" w:rsidP="005872DE">
      <w:pPr>
        <w:spacing w:line="237" w:lineRule="auto"/>
        <w:ind w:left="820" w:hanging="360"/>
      </w:pPr>
      <w:r w:rsidRPr="00980FC2">
        <w:t>12.</w:t>
      </w:r>
      <w:r w:rsidRPr="00980FC2">
        <w:rPr>
          <w:rFonts w:ascii="Times New Roman" w:eastAsia="Times New Roman" w:hAnsi="Times New Roman" w:cs="Times New Roman"/>
          <w:sz w:val="14"/>
          <w:szCs w:val="14"/>
        </w:rPr>
        <w:t xml:space="preserve">  </w:t>
      </w:r>
      <w:r w:rsidRPr="00980FC2">
        <w:t>Purposefully choose and incorporate selected content literacy and disciplinary literacy strategies into his/her instructional-decision making, drawing from diverse modalities that are most aligned with specific areas.</w:t>
      </w:r>
    </w:p>
    <w:p w14:paraId="7EE22170" w14:textId="5E6A5DAE" w:rsidR="00FD28CE" w:rsidRPr="00CB5F1C" w:rsidRDefault="0094726E" w:rsidP="005872DE">
      <w:pPr>
        <w:spacing w:line="240" w:lineRule="auto"/>
        <w:ind w:left="820" w:right="200" w:hanging="360"/>
        <w:rPr>
          <w:rFonts w:ascii="Times New Roman" w:eastAsia="Times New Roman" w:hAnsi="Times New Roman" w:cs="Times New Roman"/>
        </w:rPr>
      </w:pPr>
      <w:r>
        <w:rPr>
          <w:rFonts w:ascii="Times New Roman" w:eastAsia="Times New Roman" w:hAnsi="Times New Roman" w:cs="Times New Roman"/>
        </w:rPr>
        <w:t xml:space="preserve"> </w:t>
      </w:r>
    </w:p>
    <w:p w14:paraId="4429B734" w14:textId="4F12AE29" w:rsidR="00FD28CE" w:rsidRDefault="00522519">
      <w:pPr>
        <w:spacing w:line="213" w:lineRule="auto"/>
        <w:rPr>
          <w:b/>
        </w:rPr>
      </w:pPr>
      <w:proofErr w:type="spellStart"/>
      <w:r>
        <w:rPr>
          <w:b/>
        </w:rPr>
        <w:t>Foliotek</w:t>
      </w:r>
      <w:proofErr w:type="spellEnd"/>
      <w:r>
        <w:rPr>
          <w:b/>
        </w:rPr>
        <w:t xml:space="preserve"> e-Portfolio</w:t>
      </w:r>
    </w:p>
    <w:p w14:paraId="0F6626ED" w14:textId="77777777" w:rsidR="00FD28CE" w:rsidRDefault="0094726E">
      <w:pPr>
        <w:spacing w:line="213" w:lineRule="auto"/>
        <w:rPr>
          <w:b/>
        </w:rPr>
      </w:pPr>
      <w:r>
        <w:rPr>
          <w:b/>
        </w:rPr>
        <w:t xml:space="preserve"> </w:t>
      </w:r>
    </w:p>
    <w:p w14:paraId="471E196A" w14:textId="3821E4DC" w:rsidR="00F93DBB" w:rsidRDefault="0094726E">
      <w:pPr>
        <w:spacing w:line="213" w:lineRule="auto"/>
        <w:rPr>
          <w:color w:val="1155CC"/>
          <w:u w:val="single"/>
        </w:rPr>
      </w:pP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evidences/evaluations as required. </w:t>
      </w:r>
      <w:r>
        <w:rPr>
          <w:i/>
          <w:color w:val="FF0000"/>
        </w:rPr>
        <w:t xml:space="preserve">This course requires assignment(s) to be uploaded and graded in </w:t>
      </w:r>
      <w:proofErr w:type="spellStart"/>
      <w:r>
        <w:rPr>
          <w:i/>
          <w:color w:val="FF0000"/>
        </w:rPr>
        <w:t>Foliotek</w:t>
      </w:r>
      <w:proofErr w:type="spellEnd"/>
      <w:r>
        <w:rPr>
          <w:i/>
        </w:rPr>
        <w:t>.</w:t>
      </w:r>
      <w:r w:rsidR="00522519">
        <w:rPr>
          <w:i/>
        </w:rPr>
        <w:t xml:space="preserve"> </w:t>
      </w:r>
      <w:r w:rsidR="00522519" w:rsidRPr="00522519">
        <w:rPr>
          <w:i/>
          <w:color w:val="FF0000"/>
        </w:rPr>
        <w:t xml:space="preserve">You will upload to </w:t>
      </w:r>
      <w:proofErr w:type="spellStart"/>
      <w:r w:rsidR="00522519" w:rsidRPr="00522519">
        <w:rPr>
          <w:i/>
          <w:color w:val="FF0000"/>
        </w:rPr>
        <w:t>Foliotek</w:t>
      </w:r>
      <w:proofErr w:type="spellEnd"/>
      <w:r w:rsidR="00522519" w:rsidRPr="00522519">
        <w:rPr>
          <w:i/>
          <w:color w:val="FF0000"/>
        </w:rPr>
        <w:t xml:space="preserve"> directly from your Canvas assignment page by clicking on the load button at the bottom of the </w:t>
      </w:r>
      <w:r w:rsidR="00D30070">
        <w:rPr>
          <w:i/>
          <w:color w:val="FF0000"/>
        </w:rPr>
        <w:t xml:space="preserve">assignment </w:t>
      </w:r>
      <w:r w:rsidR="00522519" w:rsidRPr="00522519">
        <w:rPr>
          <w:i/>
          <w:color w:val="FF0000"/>
        </w:rPr>
        <w:t>page.</w:t>
      </w:r>
      <w:r w:rsidRPr="00522519">
        <w:rPr>
          <w:i/>
          <w:color w:val="FF0000"/>
        </w:rPr>
        <w:t xml:space="preserve">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(free) program portfolio that aligns with their degree plan. Registration codes and tutorials can be found here: </w:t>
      </w:r>
      <w:hyperlink r:id="rId14">
        <w:r>
          <w:rPr>
            <w:color w:val="1155CC"/>
            <w:u w:val="single"/>
          </w:rPr>
          <w:t>https://coe.unt.edu/educator-preparation-office/foliotek</w:t>
        </w:r>
      </w:hyperlink>
      <w:r w:rsidR="00522519">
        <w:rPr>
          <w:color w:val="1155CC"/>
          <w:u w:val="single"/>
        </w:rPr>
        <w:br w:type="page"/>
      </w:r>
    </w:p>
    <w:tbl>
      <w:tblPr>
        <w:tblW w:w="10630" w:type="dxa"/>
        <w:tblInd w:w="-460" w:type="dxa"/>
        <w:tblLayout w:type="fixed"/>
        <w:tblCellMar>
          <w:left w:w="0" w:type="dxa"/>
          <w:right w:w="0" w:type="dxa"/>
        </w:tblCellMar>
        <w:tblLook w:val="0000" w:firstRow="0" w:lastRow="0" w:firstColumn="0" w:lastColumn="0" w:noHBand="0" w:noVBand="0"/>
      </w:tblPr>
      <w:tblGrid>
        <w:gridCol w:w="9934"/>
        <w:gridCol w:w="56"/>
        <w:gridCol w:w="640"/>
      </w:tblGrid>
      <w:tr w:rsidR="00F93DBB" w14:paraId="30BADDDE" w14:textId="77777777" w:rsidTr="00137DA3">
        <w:trPr>
          <w:trHeight w:val="410"/>
        </w:trPr>
        <w:tc>
          <w:tcPr>
            <w:tcW w:w="9934" w:type="dxa"/>
            <w:tcBorders>
              <w:top w:val="single" w:sz="8" w:space="0" w:color="auto"/>
              <w:left w:val="single" w:sz="8" w:space="0" w:color="auto"/>
              <w:right w:val="single" w:sz="8" w:space="0" w:color="auto"/>
            </w:tcBorders>
            <w:shd w:val="clear" w:color="auto" w:fill="BFBFBF"/>
            <w:vAlign w:val="bottom"/>
          </w:tcPr>
          <w:p w14:paraId="13B505B9" w14:textId="77777777" w:rsidR="00F93DBB" w:rsidRDefault="00F93DBB" w:rsidP="00A6421F">
            <w:pPr>
              <w:ind w:left="3720"/>
              <w:rPr>
                <w:rFonts w:ascii="Century Gothic" w:eastAsia="Century Gothic" w:hAnsi="Century Gothic"/>
                <w:b/>
              </w:rPr>
            </w:pPr>
            <w:r>
              <w:rPr>
                <w:rFonts w:ascii="Century Gothic" w:eastAsia="Century Gothic" w:hAnsi="Century Gothic"/>
                <w:b/>
              </w:rPr>
              <w:lastRenderedPageBreak/>
              <w:t>REQUIRED ASSIGNMENTS</w:t>
            </w:r>
          </w:p>
          <w:p w14:paraId="22A936CB" w14:textId="4229C5B4" w:rsidR="00F93DBB" w:rsidRDefault="00F93DBB" w:rsidP="0085211A">
            <w:pPr>
              <w:rPr>
                <w:rFonts w:ascii="Century Gothic" w:eastAsia="Century Gothic" w:hAnsi="Century Gothic"/>
                <w:b/>
              </w:rPr>
            </w:pPr>
            <w:r>
              <w:rPr>
                <w:rFonts w:ascii="Century Gothic" w:eastAsia="Century Gothic" w:hAnsi="Century Gothic"/>
                <w:b/>
              </w:rPr>
              <w:t xml:space="preserve"> *Subject to change          </w:t>
            </w:r>
            <w:r w:rsidR="0085211A">
              <w:rPr>
                <w:rFonts w:ascii="Century Gothic" w:eastAsia="Century Gothic" w:hAnsi="Century Gothic"/>
                <w:b/>
              </w:rPr>
              <w:t xml:space="preserve">       **Grades are weighted </w:t>
            </w:r>
            <w:r>
              <w:rPr>
                <w:rFonts w:ascii="Century Gothic" w:eastAsia="Century Gothic" w:hAnsi="Century Gothic"/>
                <w:b/>
              </w:rPr>
              <w:t>by assignment group</w:t>
            </w:r>
          </w:p>
        </w:tc>
        <w:tc>
          <w:tcPr>
            <w:tcW w:w="56" w:type="dxa"/>
            <w:tcBorders>
              <w:top w:val="single" w:sz="8" w:space="0" w:color="auto"/>
            </w:tcBorders>
            <w:shd w:val="clear" w:color="auto" w:fill="BFBFBF"/>
            <w:vAlign w:val="bottom"/>
          </w:tcPr>
          <w:p w14:paraId="50A7CE83" w14:textId="77777777" w:rsidR="00F93DBB" w:rsidRDefault="00F93DBB" w:rsidP="00A6421F">
            <w:pPr>
              <w:spacing w:line="0" w:lineRule="atLeast"/>
              <w:rPr>
                <w:rFonts w:ascii="Times New Roman" w:eastAsia="Times New Roman" w:hAnsi="Times New Roman"/>
                <w:sz w:val="24"/>
              </w:rPr>
            </w:pPr>
          </w:p>
        </w:tc>
        <w:tc>
          <w:tcPr>
            <w:tcW w:w="640" w:type="dxa"/>
            <w:tcBorders>
              <w:top w:val="single" w:sz="8" w:space="0" w:color="auto"/>
              <w:right w:val="single" w:sz="8" w:space="0" w:color="auto"/>
            </w:tcBorders>
            <w:shd w:val="clear" w:color="auto" w:fill="BFBFBF"/>
            <w:vAlign w:val="bottom"/>
          </w:tcPr>
          <w:p w14:paraId="50AA4F8E" w14:textId="77777777" w:rsidR="00F93DBB" w:rsidRDefault="00F93DBB" w:rsidP="00A6421F">
            <w:pPr>
              <w:spacing w:line="0" w:lineRule="atLeast"/>
              <w:jc w:val="center"/>
              <w:rPr>
                <w:rFonts w:ascii="Century Gothic" w:eastAsia="Century Gothic" w:hAnsi="Century Gothic"/>
                <w:b/>
              </w:rPr>
            </w:pPr>
            <w:r>
              <w:rPr>
                <w:rFonts w:ascii="Century Gothic" w:eastAsia="Century Gothic" w:hAnsi="Century Gothic"/>
                <w:b/>
              </w:rPr>
              <w:t>Points</w:t>
            </w:r>
          </w:p>
        </w:tc>
      </w:tr>
      <w:tr w:rsidR="00F93DBB" w14:paraId="539D9754" w14:textId="77777777" w:rsidTr="00137DA3">
        <w:trPr>
          <w:trHeight w:val="65"/>
        </w:trPr>
        <w:tc>
          <w:tcPr>
            <w:tcW w:w="9934" w:type="dxa"/>
            <w:tcBorders>
              <w:left w:val="single" w:sz="8" w:space="0" w:color="auto"/>
              <w:right w:val="single" w:sz="8" w:space="0" w:color="auto"/>
            </w:tcBorders>
            <w:shd w:val="clear" w:color="auto" w:fill="BFBFBF"/>
            <w:vAlign w:val="bottom"/>
          </w:tcPr>
          <w:p w14:paraId="0BDE5AFA" w14:textId="77777777" w:rsidR="00F93DBB" w:rsidRDefault="00F93DBB" w:rsidP="00A6421F">
            <w:pPr>
              <w:rPr>
                <w:rFonts w:ascii="Times New Roman" w:eastAsia="Times New Roman" w:hAnsi="Times New Roman"/>
                <w:sz w:val="5"/>
              </w:rPr>
            </w:pPr>
          </w:p>
        </w:tc>
        <w:tc>
          <w:tcPr>
            <w:tcW w:w="56" w:type="dxa"/>
            <w:shd w:val="clear" w:color="auto" w:fill="BFBFBF"/>
            <w:vAlign w:val="bottom"/>
          </w:tcPr>
          <w:p w14:paraId="6C54EDAD" w14:textId="77777777" w:rsidR="00F93DBB" w:rsidRDefault="00F93DBB" w:rsidP="00A6421F">
            <w:pPr>
              <w:spacing w:line="0" w:lineRule="atLeast"/>
              <w:rPr>
                <w:rFonts w:ascii="Times New Roman" w:eastAsia="Times New Roman" w:hAnsi="Times New Roman"/>
                <w:sz w:val="5"/>
              </w:rPr>
            </w:pPr>
          </w:p>
        </w:tc>
        <w:tc>
          <w:tcPr>
            <w:tcW w:w="640" w:type="dxa"/>
            <w:tcBorders>
              <w:right w:val="single" w:sz="8" w:space="0" w:color="auto"/>
            </w:tcBorders>
            <w:shd w:val="clear" w:color="auto" w:fill="BFBFBF"/>
            <w:vAlign w:val="bottom"/>
          </w:tcPr>
          <w:p w14:paraId="112F0348" w14:textId="77777777" w:rsidR="00F93DBB" w:rsidRDefault="00F93DBB" w:rsidP="00A6421F">
            <w:pPr>
              <w:spacing w:line="0" w:lineRule="atLeast"/>
              <w:rPr>
                <w:rFonts w:ascii="Times New Roman" w:eastAsia="Times New Roman" w:hAnsi="Times New Roman"/>
                <w:sz w:val="5"/>
              </w:rPr>
            </w:pPr>
          </w:p>
        </w:tc>
      </w:tr>
      <w:tr w:rsidR="00F93DBB" w14:paraId="4EA61E3D" w14:textId="77777777" w:rsidTr="00137DA3">
        <w:trPr>
          <w:trHeight w:val="72"/>
        </w:trPr>
        <w:tc>
          <w:tcPr>
            <w:tcW w:w="9934" w:type="dxa"/>
            <w:tcBorders>
              <w:left w:val="single" w:sz="8" w:space="0" w:color="auto"/>
              <w:bottom w:val="single" w:sz="8" w:space="0" w:color="auto"/>
              <w:right w:val="single" w:sz="8" w:space="0" w:color="auto"/>
            </w:tcBorders>
            <w:shd w:val="clear" w:color="auto" w:fill="BFBFBF"/>
            <w:vAlign w:val="bottom"/>
          </w:tcPr>
          <w:p w14:paraId="5FC357DE"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BFBFBF"/>
            <w:vAlign w:val="bottom"/>
          </w:tcPr>
          <w:p w14:paraId="640EBE22"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BFBFBF"/>
            <w:vAlign w:val="bottom"/>
          </w:tcPr>
          <w:p w14:paraId="24A0FA11" w14:textId="77777777" w:rsidR="00F93DBB" w:rsidRDefault="00F93DBB" w:rsidP="00A6421F">
            <w:pPr>
              <w:spacing w:line="0" w:lineRule="atLeast"/>
              <w:rPr>
                <w:rFonts w:ascii="Times New Roman" w:eastAsia="Times New Roman" w:hAnsi="Times New Roman"/>
                <w:sz w:val="6"/>
              </w:rPr>
            </w:pPr>
          </w:p>
        </w:tc>
      </w:tr>
      <w:tr w:rsidR="00F93DBB" w14:paraId="30F03F08" w14:textId="77777777" w:rsidTr="00137DA3">
        <w:trPr>
          <w:trHeight w:val="334"/>
        </w:trPr>
        <w:tc>
          <w:tcPr>
            <w:tcW w:w="9934" w:type="dxa"/>
            <w:tcBorders>
              <w:left w:val="single" w:sz="8" w:space="0" w:color="auto"/>
              <w:right w:val="single" w:sz="8" w:space="0" w:color="auto"/>
            </w:tcBorders>
            <w:shd w:val="clear" w:color="auto" w:fill="auto"/>
            <w:vAlign w:val="bottom"/>
          </w:tcPr>
          <w:p w14:paraId="5E1D7650" w14:textId="77777777" w:rsidR="0085211A" w:rsidRDefault="00F12FDB" w:rsidP="00A6421F">
            <w:pPr>
              <w:ind w:left="120"/>
              <w:rPr>
                <w:rFonts w:ascii="Century Gothic" w:eastAsia="Century Gothic" w:hAnsi="Century Gothic"/>
                <w:b/>
              </w:rPr>
            </w:pPr>
            <w:r>
              <w:rPr>
                <w:rFonts w:ascii="Century Gothic" w:eastAsia="Century Gothic" w:hAnsi="Century Gothic"/>
                <w:b/>
              </w:rPr>
              <w:t>CHECKPOINT</w:t>
            </w:r>
            <w:r w:rsidR="00F93DBB">
              <w:rPr>
                <w:rFonts w:ascii="Century Gothic" w:eastAsia="Century Gothic" w:hAnsi="Century Gothic"/>
                <w:b/>
              </w:rPr>
              <w:t xml:space="preserve"> ACTIVITIES (</w:t>
            </w:r>
            <w:r>
              <w:rPr>
                <w:rFonts w:ascii="Century Gothic" w:eastAsia="Century Gothic" w:hAnsi="Century Gothic"/>
                <w:b/>
              </w:rPr>
              <w:t>Modules 1, 3, 5, 7</w:t>
            </w:r>
            <w:r w:rsidR="00CC52C9">
              <w:rPr>
                <w:rFonts w:ascii="Century Gothic" w:eastAsia="Century Gothic" w:hAnsi="Century Gothic"/>
                <w:b/>
              </w:rPr>
              <w:t>; 10 points each</w:t>
            </w:r>
            <w:r w:rsidR="00F93DBB">
              <w:rPr>
                <w:rFonts w:ascii="Century Gothic" w:eastAsia="Century Gothic" w:hAnsi="Century Gothic"/>
                <w:b/>
              </w:rPr>
              <w:t>)</w:t>
            </w:r>
          </w:p>
          <w:p w14:paraId="55E2EF9D" w14:textId="52ABCE6A" w:rsidR="00F93DBB" w:rsidRDefault="0085211A" w:rsidP="00A6421F">
            <w:pPr>
              <w:ind w:left="120"/>
              <w:rPr>
                <w:rFonts w:ascii="Century Gothic" w:eastAsia="Century Gothic" w:hAnsi="Century Gothic"/>
                <w:b/>
              </w:rPr>
            </w:pPr>
            <w:r>
              <w:rPr>
                <w:rFonts w:ascii="Century Gothic" w:eastAsia="Century Gothic" w:hAnsi="Century Gothic"/>
                <w:b/>
              </w:rPr>
              <w:t>14.45% of Total</w:t>
            </w:r>
          </w:p>
        </w:tc>
        <w:tc>
          <w:tcPr>
            <w:tcW w:w="56" w:type="dxa"/>
            <w:shd w:val="clear" w:color="auto" w:fill="auto"/>
            <w:vAlign w:val="bottom"/>
          </w:tcPr>
          <w:p w14:paraId="7E0F319F"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27EFADEE" w14:textId="77777777" w:rsidR="00F93DBB" w:rsidRDefault="00F93DBB" w:rsidP="00A6421F">
            <w:pPr>
              <w:spacing w:line="0" w:lineRule="atLeast"/>
              <w:rPr>
                <w:rFonts w:ascii="Times New Roman" w:eastAsia="Times New Roman" w:hAnsi="Times New Roman"/>
                <w:sz w:val="24"/>
              </w:rPr>
            </w:pPr>
          </w:p>
        </w:tc>
      </w:tr>
      <w:tr w:rsidR="00F93DBB" w14:paraId="5C66947C" w14:textId="77777777" w:rsidTr="00137DA3">
        <w:trPr>
          <w:trHeight w:val="269"/>
        </w:trPr>
        <w:tc>
          <w:tcPr>
            <w:tcW w:w="9934" w:type="dxa"/>
            <w:tcBorders>
              <w:left w:val="single" w:sz="8" w:space="0" w:color="auto"/>
              <w:right w:val="single" w:sz="8" w:space="0" w:color="auto"/>
            </w:tcBorders>
            <w:shd w:val="clear" w:color="auto" w:fill="auto"/>
            <w:vAlign w:val="bottom"/>
          </w:tcPr>
          <w:p w14:paraId="0BAED8E5" w14:textId="3A49BCE9" w:rsidR="00F93DBB" w:rsidRDefault="00F12FDB" w:rsidP="00A6421F">
            <w:pPr>
              <w:ind w:left="120"/>
              <w:rPr>
                <w:rFonts w:ascii="Century Gothic" w:eastAsia="Century Gothic" w:hAnsi="Century Gothic"/>
              </w:rPr>
            </w:pPr>
            <w:r>
              <w:rPr>
                <w:rFonts w:ascii="Century Gothic" w:eastAsia="Century Gothic" w:hAnsi="Century Gothic"/>
              </w:rPr>
              <w:t>You will encounter</w:t>
            </w:r>
            <w:r w:rsidR="00F93DBB">
              <w:rPr>
                <w:rFonts w:ascii="Century Gothic" w:eastAsia="Century Gothic" w:hAnsi="Century Gothic"/>
              </w:rPr>
              <w:t xml:space="preserve"> different Content Literacy Strateg</w:t>
            </w:r>
            <w:r w:rsidR="00226A53">
              <w:rPr>
                <w:rFonts w:ascii="Century Gothic" w:eastAsia="Century Gothic" w:hAnsi="Century Gothic"/>
              </w:rPr>
              <w:t>ies</w:t>
            </w:r>
            <w:r w:rsidR="00F93DBB">
              <w:rPr>
                <w:rFonts w:ascii="Century Gothic" w:eastAsia="Century Gothic" w:hAnsi="Century Gothic"/>
              </w:rPr>
              <w:t xml:space="preserve"> designed to</w:t>
            </w:r>
            <w:r>
              <w:rPr>
                <w:rFonts w:ascii="Century Gothic" w:eastAsia="Century Gothic" w:hAnsi="Century Gothic"/>
              </w:rPr>
              <w:t xml:space="preserve"> connect you to the topic in some way. These are the types of activities you should use with your own</w:t>
            </w:r>
          </w:p>
        </w:tc>
        <w:tc>
          <w:tcPr>
            <w:tcW w:w="56" w:type="dxa"/>
            <w:shd w:val="clear" w:color="auto" w:fill="auto"/>
            <w:vAlign w:val="bottom"/>
          </w:tcPr>
          <w:p w14:paraId="4DC38B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1CBA42F" w14:textId="77777777" w:rsidR="00F93DBB" w:rsidRDefault="00F93DBB" w:rsidP="00A6421F">
            <w:pPr>
              <w:spacing w:line="0" w:lineRule="atLeast"/>
              <w:rPr>
                <w:rFonts w:ascii="Times New Roman" w:eastAsia="Times New Roman" w:hAnsi="Times New Roman"/>
                <w:sz w:val="23"/>
              </w:rPr>
            </w:pPr>
          </w:p>
        </w:tc>
      </w:tr>
      <w:tr w:rsidR="00F93DBB" w14:paraId="5418C387" w14:textId="77777777" w:rsidTr="00137DA3">
        <w:trPr>
          <w:trHeight w:val="271"/>
        </w:trPr>
        <w:tc>
          <w:tcPr>
            <w:tcW w:w="9934" w:type="dxa"/>
            <w:tcBorders>
              <w:left w:val="single" w:sz="8" w:space="0" w:color="auto"/>
              <w:right w:val="single" w:sz="8" w:space="0" w:color="auto"/>
            </w:tcBorders>
            <w:shd w:val="clear" w:color="auto" w:fill="auto"/>
            <w:vAlign w:val="bottom"/>
          </w:tcPr>
          <w:p w14:paraId="665B4B16" w14:textId="599871A8" w:rsidR="00F93DBB" w:rsidRDefault="00F12FDB" w:rsidP="00F12FDB">
            <w:pPr>
              <w:rPr>
                <w:rFonts w:ascii="Century Gothic" w:eastAsia="Century Gothic" w:hAnsi="Century Gothic"/>
              </w:rPr>
            </w:pPr>
            <w:r>
              <w:rPr>
                <w:rFonts w:ascii="Century Gothic" w:eastAsia="Century Gothic" w:hAnsi="Century Gothic"/>
              </w:rPr>
              <w:t xml:space="preserve"> students to scaffold their understanding of material in your own classroom.</w:t>
            </w:r>
          </w:p>
        </w:tc>
        <w:tc>
          <w:tcPr>
            <w:tcW w:w="56" w:type="dxa"/>
            <w:shd w:val="clear" w:color="auto" w:fill="auto"/>
            <w:vAlign w:val="bottom"/>
          </w:tcPr>
          <w:p w14:paraId="575C765D"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1135B2CB" w14:textId="77777777" w:rsidR="00F93DBB" w:rsidRDefault="00F93DBB" w:rsidP="00A6421F">
            <w:pPr>
              <w:spacing w:line="0" w:lineRule="atLeast"/>
              <w:rPr>
                <w:rFonts w:ascii="Times New Roman" w:eastAsia="Times New Roman" w:hAnsi="Times New Roman"/>
                <w:sz w:val="23"/>
              </w:rPr>
            </w:pPr>
          </w:p>
        </w:tc>
      </w:tr>
      <w:tr w:rsidR="00F93DBB" w14:paraId="65669530" w14:textId="77777777" w:rsidTr="00137DA3">
        <w:trPr>
          <w:trHeight w:val="269"/>
        </w:trPr>
        <w:tc>
          <w:tcPr>
            <w:tcW w:w="9934" w:type="dxa"/>
            <w:tcBorders>
              <w:left w:val="single" w:sz="8" w:space="0" w:color="auto"/>
              <w:right w:val="single" w:sz="8" w:space="0" w:color="auto"/>
            </w:tcBorders>
            <w:shd w:val="clear" w:color="auto" w:fill="auto"/>
            <w:vAlign w:val="bottom"/>
          </w:tcPr>
          <w:p w14:paraId="5511EB35" w14:textId="63481995" w:rsidR="00F93DBB" w:rsidRDefault="00F12FDB" w:rsidP="00F12FDB">
            <w:pPr>
              <w:rPr>
                <w:rFonts w:ascii="Century Gothic" w:eastAsia="Century Gothic" w:hAnsi="Century Gothic"/>
              </w:rPr>
            </w:pPr>
            <w:r>
              <w:rPr>
                <w:rFonts w:ascii="Century Gothic" w:eastAsia="Century Gothic" w:hAnsi="Century Gothic"/>
              </w:rPr>
              <w:t>Completing them will give you a chance to see what the strengths and weaknesses of the</w:t>
            </w:r>
          </w:p>
        </w:tc>
        <w:tc>
          <w:tcPr>
            <w:tcW w:w="56" w:type="dxa"/>
            <w:shd w:val="clear" w:color="auto" w:fill="auto"/>
            <w:vAlign w:val="bottom"/>
          </w:tcPr>
          <w:p w14:paraId="2B792FF0"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330E24D" w14:textId="743F441B" w:rsidR="00F93DBB" w:rsidRDefault="00CC52C9" w:rsidP="00A6421F">
            <w:pPr>
              <w:spacing w:line="269" w:lineRule="exact"/>
              <w:jc w:val="center"/>
              <w:rPr>
                <w:rFonts w:ascii="Century Gothic" w:eastAsia="Century Gothic" w:hAnsi="Century Gothic"/>
              </w:rPr>
            </w:pPr>
            <w:r>
              <w:rPr>
                <w:rFonts w:ascii="Century Gothic" w:eastAsia="Century Gothic" w:hAnsi="Century Gothic"/>
              </w:rPr>
              <w:t>40</w:t>
            </w:r>
          </w:p>
        </w:tc>
      </w:tr>
      <w:tr w:rsidR="00F93DBB" w14:paraId="5BA630A3" w14:textId="77777777" w:rsidTr="00137DA3">
        <w:trPr>
          <w:trHeight w:val="342"/>
        </w:trPr>
        <w:tc>
          <w:tcPr>
            <w:tcW w:w="9934" w:type="dxa"/>
            <w:tcBorders>
              <w:left w:val="single" w:sz="8" w:space="0" w:color="auto"/>
              <w:right w:val="single" w:sz="8" w:space="0" w:color="auto"/>
            </w:tcBorders>
            <w:shd w:val="clear" w:color="auto" w:fill="auto"/>
            <w:vAlign w:val="bottom"/>
          </w:tcPr>
          <w:p w14:paraId="2B763DE3" w14:textId="4F41DCC4" w:rsidR="00F93DBB" w:rsidRDefault="00F12FDB" w:rsidP="00A6421F">
            <w:pPr>
              <w:ind w:left="120"/>
              <w:rPr>
                <w:rFonts w:ascii="Century Gothic" w:eastAsia="Century Gothic" w:hAnsi="Century Gothic"/>
              </w:rPr>
            </w:pPr>
            <w:r>
              <w:rPr>
                <w:rFonts w:ascii="Century Gothic" w:eastAsia="Century Gothic" w:hAnsi="Century Gothic"/>
              </w:rPr>
              <w:t>activities are, and consider modifications to make each work more effectively in your</w:t>
            </w:r>
          </w:p>
        </w:tc>
        <w:tc>
          <w:tcPr>
            <w:tcW w:w="56" w:type="dxa"/>
            <w:shd w:val="clear" w:color="auto" w:fill="auto"/>
            <w:vAlign w:val="bottom"/>
          </w:tcPr>
          <w:p w14:paraId="7230F312"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5AE9EFED" w14:textId="77777777" w:rsidR="00F93DBB" w:rsidRDefault="00F93DBB" w:rsidP="00A6421F">
            <w:pPr>
              <w:spacing w:line="0" w:lineRule="atLeast"/>
              <w:rPr>
                <w:rFonts w:ascii="Times New Roman" w:eastAsia="Times New Roman" w:hAnsi="Times New Roman"/>
                <w:sz w:val="23"/>
              </w:rPr>
            </w:pPr>
          </w:p>
        </w:tc>
      </w:tr>
      <w:tr w:rsidR="00F93DBB" w14:paraId="4C2F7529" w14:textId="77777777" w:rsidTr="00137DA3">
        <w:trPr>
          <w:trHeight w:val="266"/>
        </w:trPr>
        <w:tc>
          <w:tcPr>
            <w:tcW w:w="9934" w:type="dxa"/>
            <w:tcBorders>
              <w:left w:val="single" w:sz="8" w:space="0" w:color="auto"/>
              <w:right w:val="single" w:sz="8" w:space="0" w:color="auto"/>
            </w:tcBorders>
            <w:shd w:val="clear" w:color="auto" w:fill="auto"/>
            <w:vAlign w:val="bottom"/>
          </w:tcPr>
          <w:p w14:paraId="11A4B961" w14:textId="0D88CC06" w:rsidR="00F93DBB" w:rsidRDefault="00F12FDB" w:rsidP="00A6421F">
            <w:pPr>
              <w:ind w:left="120" w:right="577"/>
              <w:rPr>
                <w:rFonts w:ascii="Century Gothic" w:eastAsia="Century Gothic" w:hAnsi="Century Gothic"/>
              </w:rPr>
            </w:pPr>
            <w:r>
              <w:rPr>
                <w:rFonts w:ascii="Century Gothic" w:eastAsia="Century Gothic" w:hAnsi="Century Gothic"/>
              </w:rPr>
              <w:t>discipline.</w:t>
            </w:r>
          </w:p>
        </w:tc>
        <w:tc>
          <w:tcPr>
            <w:tcW w:w="56" w:type="dxa"/>
            <w:shd w:val="clear" w:color="auto" w:fill="auto"/>
            <w:vAlign w:val="bottom"/>
          </w:tcPr>
          <w:p w14:paraId="776881BF"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7F466F79" w14:textId="77777777" w:rsidR="00F93DBB" w:rsidRDefault="00F93DBB" w:rsidP="00A6421F">
            <w:pPr>
              <w:spacing w:line="0" w:lineRule="atLeast"/>
              <w:rPr>
                <w:rFonts w:ascii="Times New Roman" w:eastAsia="Times New Roman" w:hAnsi="Times New Roman"/>
                <w:sz w:val="23"/>
              </w:rPr>
            </w:pPr>
          </w:p>
        </w:tc>
      </w:tr>
      <w:tr w:rsidR="00F93DBB" w14:paraId="62369F60" w14:textId="77777777" w:rsidTr="00137DA3">
        <w:trPr>
          <w:trHeight w:val="76"/>
        </w:trPr>
        <w:tc>
          <w:tcPr>
            <w:tcW w:w="9934" w:type="dxa"/>
            <w:tcBorders>
              <w:left w:val="single" w:sz="8" w:space="0" w:color="auto"/>
              <w:bottom w:val="single" w:sz="8" w:space="0" w:color="auto"/>
              <w:right w:val="single" w:sz="8" w:space="0" w:color="auto"/>
            </w:tcBorders>
            <w:shd w:val="clear" w:color="auto" w:fill="auto"/>
            <w:vAlign w:val="bottom"/>
          </w:tcPr>
          <w:p w14:paraId="50D45F54"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7E5A0C27"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5F913F4F" w14:textId="77777777" w:rsidR="00F93DBB" w:rsidRDefault="00F93DBB" w:rsidP="00A6421F">
            <w:pPr>
              <w:spacing w:line="0" w:lineRule="atLeast"/>
              <w:rPr>
                <w:rFonts w:ascii="Times New Roman" w:eastAsia="Times New Roman" w:hAnsi="Times New Roman"/>
                <w:sz w:val="6"/>
              </w:rPr>
            </w:pPr>
          </w:p>
        </w:tc>
      </w:tr>
      <w:tr w:rsidR="00F93DBB" w14:paraId="01C434AB" w14:textId="77777777" w:rsidTr="00137DA3">
        <w:trPr>
          <w:trHeight w:val="328"/>
        </w:trPr>
        <w:tc>
          <w:tcPr>
            <w:tcW w:w="9934" w:type="dxa"/>
            <w:tcBorders>
              <w:left w:val="single" w:sz="8" w:space="0" w:color="auto"/>
              <w:right w:val="single" w:sz="8" w:space="0" w:color="auto"/>
            </w:tcBorders>
            <w:shd w:val="clear" w:color="auto" w:fill="auto"/>
            <w:vAlign w:val="bottom"/>
          </w:tcPr>
          <w:p w14:paraId="241AACE0" w14:textId="77777777" w:rsidR="0085211A" w:rsidRDefault="00CB5F1C" w:rsidP="00C30853">
            <w:pPr>
              <w:ind w:left="120"/>
              <w:rPr>
                <w:rFonts w:ascii="Century Gothic" w:eastAsia="Century Gothic" w:hAnsi="Century Gothic"/>
                <w:b/>
              </w:rPr>
            </w:pPr>
            <w:r>
              <w:rPr>
                <w:rFonts w:ascii="Century Gothic" w:eastAsia="Century Gothic" w:hAnsi="Century Gothic"/>
                <w:b/>
              </w:rPr>
              <w:t>CASE STUDIES</w:t>
            </w:r>
            <w:r w:rsidR="00F93DBB">
              <w:rPr>
                <w:rFonts w:ascii="Century Gothic" w:eastAsia="Century Gothic" w:hAnsi="Century Gothic"/>
                <w:b/>
              </w:rPr>
              <w:t xml:space="preserve"> (</w:t>
            </w:r>
            <w:r w:rsidR="00C30853">
              <w:rPr>
                <w:rFonts w:ascii="Century Gothic" w:eastAsia="Century Gothic" w:hAnsi="Century Gothic"/>
                <w:b/>
              </w:rPr>
              <w:t>M</w:t>
            </w:r>
            <w:r w:rsidR="00522519">
              <w:rPr>
                <w:rFonts w:ascii="Century Gothic" w:eastAsia="Century Gothic" w:hAnsi="Century Gothic"/>
                <w:b/>
              </w:rPr>
              <w:t>odule</w:t>
            </w:r>
            <w:r w:rsidR="00C30853">
              <w:rPr>
                <w:rFonts w:ascii="Century Gothic" w:eastAsia="Century Gothic" w:hAnsi="Century Gothic"/>
                <w:b/>
              </w:rPr>
              <w:t>s 2, 4, 6</w:t>
            </w:r>
            <w:r w:rsidR="00CC52C9">
              <w:rPr>
                <w:rFonts w:ascii="Century Gothic" w:eastAsia="Century Gothic" w:hAnsi="Century Gothic"/>
                <w:b/>
              </w:rPr>
              <w:t>; 15 points each</w:t>
            </w:r>
            <w:r w:rsidR="00F93DBB">
              <w:rPr>
                <w:rFonts w:ascii="Century Gothic" w:eastAsia="Century Gothic" w:hAnsi="Century Gothic"/>
                <w:b/>
              </w:rPr>
              <w:t>)</w:t>
            </w:r>
          </w:p>
          <w:p w14:paraId="648D125F" w14:textId="66A58AC6" w:rsidR="00F93DBB" w:rsidRDefault="0085211A" w:rsidP="00C30853">
            <w:pPr>
              <w:ind w:left="120"/>
              <w:rPr>
                <w:rFonts w:ascii="Century Gothic" w:eastAsia="Century Gothic" w:hAnsi="Century Gothic"/>
                <w:b/>
              </w:rPr>
            </w:pPr>
            <w:r>
              <w:rPr>
                <w:rFonts w:ascii="Century Gothic" w:eastAsia="Century Gothic" w:hAnsi="Century Gothic"/>
                <w:b/>
              </w:rPr>
              <w:t>22.48% of Total</w:t>
            </w:r>
          </w:p>
        </w:tc>
        <w:tc>
          <w:tcPr>
            <w:tcW w:w="56" w:type="dxa"/>
            <w:shd w:val="clear" w:color="auto" w:fill="auto"/>
            <w:vAlign w:val="bottom"/>
          </w:tcPr>
          <w:p w14:paraId="1306A0F4"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00596D56" w14:textId="77777777" w:rsidR="00F93DBB" w:rsidRDefault="00F93DBB" w:rsidP="00A6421F">
            <w:pPr>
              <w:spacing w:line="0" w:lineRule="atLeast"/>
              <w:rPr>
                <w:rFonts w:ascii="Times New Roman" w:eastAsia="Times New Roman" w:hAnsi="Times New Roman"/>
                <w:sz w:val="24"/>
              </w:rPr>
            </w:pPr>
          </w:p>
        </w:tc>
      </w:tr>
      <w:tr w:rsidR="00F93DBB" w14:paraId="6CBCE3CA" w14:textId="77777777" w:rsidTr="00137DA3">
        <w:trPr>
          <w:trHeight w:val="272"/>
        </w:trPr>
        <w:tc>
          <w:tcPr>
            <w:tcW w:w="9934" w:type="dxa"/>
            <w:tcBorders>
              <w:left w:val="single" w:sz="8" w:space="0" w:color="auto"/>
              <w:right w:val="single" w:sz="8" w:space="0" w:color="auto"/>
            </w:tcBorders>
            <w:shd w:val="clear" w:color="auto" w:fill="auto"/>
            <w:vAlign w:val="bottom"/>
          </w:tcPr>
          <w:p w14:paraId="5F252EFB" w14:textId="65EE9255" w:rsidR="00F93DBB" w:rsidRDefault="00137DA3" w:rsidP="00A6421F">
            <w:pPr>
              <w:ind w:left="120"/>
              <w:rPr>
                <w:rFonts w:ascii="Century Gothic" w:eastAsia="Century Gothic" w:hAnsi="Century Gothic"/>
              </w:rPr>
            </w:pPr>
            <w:r>
              <w:rPr>
                <w:rFonts w:ascii="Century Gothic" w:eastAsia="Century Gothic" w:hAnsi="Century Gothic"/>
              </w:rPr>
              <w:t>Thinking critically about, analyzing problems of practice, and s</w:t>
            </w:r>
            <w:r w:rsidR="00F93DBB">
              <w:rPr>
                <w:rFonts w:ascii="Century Gothic" w:eastAsia="Century Gothic" w:hAnsi="Century Gothic"/>
              </w:rPr>
              <w:t>haring thoughts and ideas with other teachers is essential to your continued growth as an</w:t>
            </w:r>
            <w:r>
              <w:rPr>
                <w:rFonts w:ascii="Century Gothic" w:eastAsia="Century Gothic" w:hAnsi="Century Gothic"/>
              </w:rPr>
              <w:t xml:space="preserve"> educator. These case studies</w:t>
            </w:r>
          </w:p>
        </w:tc>
        <w:tc>
          <w:tcPr>
            <w:tcW w:w="56" w:type="dxa"/>
            <w:shd w:val="clear" w:color="auto" w:fill="auto"/>
            <w:vAlign w:val="bottom"/>
          </w:tcPr>
          <w:p w14:paraId="308837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74C60BBA" w14:textId="5EF00DF3" w:rsidR="00F93DBB" w:rsidRDefault="00CC52C9" w:rsidP="00A6421F">
            <w:pPr>
              <w:spacing w:line="0" w:lineRule="atLeast"/>
              <w:ind w:right="8"/>
              <w:jc w:val="center"/>
              <w:rPr>
                <w:rFonts w:ascii="Century Gothic" w:eastAsia="Century Gothic" w:hAnsi="Century Gothic"/>
              </w:rPr>
            </w:pPr>
            <w:r>
              <w:rPr>
                <w:rFonts w:ascii="Century Gothic" w:eastAsia="Century Gothic" w:hAnsi="Century Gothic"/>
              </w:rPr>
              <w:t>45</w:t>
            </w:r>
          </w:p>
        </w:tc>
      </w:tr>
      <w:tr w:rsidR="00137DA3" w14:paraId="2557ED39" w14:textId="77777777" w:rsidTr="00137DA3">
        <w:trPr>
          <w:trHeight w:val="272"/>
        </w:trPr>
        <w:tc>
          <w:tcPr>
            <w:tcW w:w="9934" w:type="dxa"/>
            <w:tcBorders>
              <w:left w:val="single" w:sz="8" w:space="0" w:color="auto"/>
              <w:right w:val="single" w:sz="8" w:space="0" w:color="auto"/>
            </w:tcBorders>
            <w:shd w:val="clear" w:color="auto" w:fill="auto"/>
            <w:vAlign w:val="bottom"/>
          </w:tcPr>
          <w:p w14:paraId="37A4A3D2" w14:textId="760DEFB2" w:rsidR="00137DA3" w:rsidRDefault="00137DA3" w:rsidP="00A6421F">
            <w:pPr>
              <w:ind w:left="120"/>
              <w:rPr>
                <w:rFonts w:ascii="Century Gothic" w:eastAsia="Century Gothic" w:hAnsi="Century Gothic"/>
              </w:rPr>
            </w:pPr>
            <w:r>
              <w:rPr>
                <w:rFonts w:ascii="Century Gothic" w:eastAsia="Century Gothic" w:hAnsi="Century Gothic"/>
              </w:rPr>
              <w:t>are designed the help prepare you for the everyday challenges of a teacher.</w:t>
            </w:r>
          </w:p>
        </w:tc>
        <w:tc>
          <w:tcPr>
            <w:tcW w:w="56" w:type="dxa"/>
            <w:shd w:val="clear" w:color="auto" w:fill="auto"/>
            <w:vAlign w:val="bottom"/>
          </w:tcPr>
          <w:p w14:paraId="422D88D4" w14:textId="77777777" w:rsidR="00137DA3" w:rsidRDefault="00137DA3"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7E7092D" w14:textId="77777777" w:rsidR="00137DA3" w:rsidRDefault="00137DA3" w:rsidP="00A6421F">
            <w:pPr>
              <w:spacing w:line="0" w:lineRule="atLeast"/>
              <w:ind w:right="8"/>
              <w:jc w:val="center"/>
              <w:rPr>
                <w:rFonts w:ascii="Century Gothic" w:eastAsia="Century Gothic" w:hAnsi="Century Gothic"/>
              </w:rPr>
            </w:pPr>
          </w:p>
        </w:tc>
      </w:tr>
      <w:tr w:rsidR="00F93DBB" w14:paraId="017DC904" w14:textId="77777777" w:rsidTr="00137DA3">
        <w:trPr>
          <w:trHeight w:val="69"/>
        </w:trPr>
        <w:tc>
          <w:tcPr>
            <w:tcW w:w="9934" w:type="dxa"/>
            <w:tcBorders>
              <w:left w:val="single" w:sz="8" w:space="0" w:color="auto"/>
              <w:bottom w:val="single" w:sz="8" w:space="0" w:color="auto"/>
              <w:right w:val="single" w:sz="8" w:space="0" w:color="auto"/>
            </w:tcBorders>
            <w:shd w:val="clear" w:color="auto" w:fill="auto"/>
            <w:vAlign w:val="bottom"/>
          </w:tcPr>
          <w:p w14:paraId="158B2505"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1617E57E"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2DCBE0DA" w14:textId="77777777" w:rsidR="00F93DBB" w:rsidRDefault="00F93DBB" w:rsidP="00A6421F">
            <w:pPr>
              <w:spacing w:line="0" w:lineRule="atLeast"/>
              <w:rPr>
                <w:rFonts w:ascii="Times New Roman" w:eastAsia="Times New Roman" w:hAnsi="Times New Roman"/>
                <w:sz w:val="6"/>
              </w:rPr>
            </w:pPr>
          </w:p>
        </w:tc>
      </w:tr>
      <w:tr w:rsidR="00F93DBB" w14:paraId="4FA01241" w14:textId="77777777" w:rsidTr="00137DA3">
        <w:trPr>
          <w:trHeight w:val="334"/>
        </w:trPr>
        <w:tc>
          <w:tcPr>
            <w:tcW w:w="9934" w:type="dxa"/>
            <w:tcBorders>
              <w:left w:val="single" w:sz="8" w:space="0" w:color="auto"/>
              <w:right w:val="single" w:sz="8" w:space="0" w:color="auto"/>
            </w:tcBorders>
            <w:shd w:val="clear" w:color="auto" w:fill="auto"/>
            <w:vAlign w:val="bottom"/>
          </w:tcPr>
          <w:p w14:paraId="27E9871F" w14:textId="77777777" w:rsidR="0085211A" w:rsidRDefault="00F93DBB" w:rsidP="00A6421F">
            <w:pPr>
              <w:ind w:left="120"/>
              <w:rPr>
                <w:rFonts w:ascii="Century Gothic" w:eastAsia="Century Gothic" w:hAnsi="Century Gothic"/>
                <w:b/>
              </w:rPr>
            </w:pPr>
            <w:r>
              <w:rPr>
                <w:rFonts w:ascii="Century Gothic" w:eastAsia="Century Gothic" w:hAnsi="Century Gothic"/>
                <w:b/>
              </w:rPr>
              <w:t>CLASSROOM APPLICATION (</w:t>
            </w:r>
            <w:r w:rsidR="00CC52C9">
              <w:rPr>
                <w:rFonts w:ascii="Century Gothic" w:eastAsia="Century Gothic" w:hAnsi="Century Gothic"/>
                <w:b/>
              </w:rPr>
              <w:t xml:space="preserve">Modules 1-7; </w:t>
            </w:r>
            <w:r>
              <w:rPr>
                <w:rFonts w:ascii="Century Gothic" w:eastAsia="Century Gothic" w:hAnsi="Century Gothic"/>
                <w:b/>
              </w:rPr>
              <w:t>25 points each</w:t>
            </w:r>
            <w:r w:rsidR="00D53446">
              <w:rPr>
                <w:rFonts w:ascii="Century Gothic" w:eastAsia="Century Gothic" w:hAnsi="Century Gothic"/>
                <w:b/>
              </w:rPr>
              <w:t xml:space="preserve"> except Mod 3 CA = 45 points</w:t>
            </w:r>
            <w:r>
              <w:rPr>
                <w:rFonts w:ascii="Century Gothic" w:eastAsia="Century Gothic" w:hAnsi="Century Gothic"/>
                <w:b/>
              </w:rPr>
              <w:t>)</w:t>
            </w:r>
          </w:p>
          <w:p w14:paraId="51954C4F" w14:textId="7C555247" w:rsidR="00F93DBB" w:rsidRDefault="0085211A" w:rsidP="00A6421F">
            <w:pPr>
              <w:ind w:left="120"/>
              <w:rPr>
                <w:rFonts w:ascii="Century Gothic" w:eastAsia="Century Gothic" w:hAnsi="Century Gothic"/>
                <w:b/>
              </w:rPr>
            </w:pPr>
            <w:r>
              <w:rPr>
                <w:rFonts w:ascii="Century Gothic" w:eastAsia="Century Gothic" w:hAnsi="Century Gothic"/>
                <w:b/>
              </w:rPr>
              <w:t>40.14% of Total</w:t>
            </w:r>
          </w:p>
        </w:tc>
        <w:tc>
          <w:tcPr>
            <w:tcW w:w="56" w:type="dxa"/>
            <w:shd w:val="clear" w:color="auto" w:fill="auto"/>
            <w:vAlign w:val="bottom"/>
          </w:tcPr>
          <w:p w14:paraId="679D52D5"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197F9C68" w14:textId="77777777" w:rsidR="00F93DBB" w:rsidRDefault="00F93DBB" w:rsidP="00A6421F">
            <w:pPr>
              <w:spacing w:line="0" w:lineRule="atLeast"/>
              <w:rPr>
                <w:rFonts w:ascii="Times New Roman" w:eastAsia="Times New Roman" w:hAnsi="Times New Roman"/>
                <w:sz w:val="24"/>
              </w:rPr>
            </w:pPr>
          </w:p>
        </w:tc>
      </w:tr>
      <w:tr w:rsidR="00F93DBB" w14:paraId="7BFEAB74" w14:textId="77777777" w:rsidTr="00137DA3">
        <w:trPr>
          <w:trHeight w:val="266"/>
        </w:trPr>
        <w:tc>
          <w:tcPr>
            <w:tcW w:w="9934" w:type="dxa"/>
            <w:tcBorders>
              <w:left w:val="single" w:sz="8" w:space="0" w:color="auto"/>
              <w:right w:val="single" w:sz="8" w:space="0" w:color="auto"/>
            </w:tcBorders>
            <w:shd w:val="clear" w:color="auto" w:fill="auto"/>
            <w:vAlign w:val="bottom"/>
          </w:tcPr>
          <w:p w14:paraId="4AE92499" w14:textId="77777777" w:rsidR="00F93DBB" w:rsidRDefault="00F93DBB" w:rsidP="00A6421F">
            <w:pPr>
              <w:ind w:left="120"/>
              <w:rPr>
                <w:rFonts w:ascii="Century Gothic" w:eastAsia="Century Gothic" w:hAnsi="Century Gothic"/>
              </w:rPr>
            </w:pPr>
            <w:r>
              <w:rPr>
                <w:rFonts w:ascii="Century Gothic" w:eastAsia="Century Gothic" w:hAnsi="Century Gothic"/>
              </w:rPr>
              <w:t>Each module will provide an opportunity for you to apply what you have learned to a</w:t>
            </w:r>
          </w:p>
        </w:tc>
        <w:tc>
          <w:tcPr>
            <w:tcW w:w="56" w:type="dxa"/>
            <w:shd w:val="clear" w:color="auto" w:fill="auto"/>
            <w:vAlign w:val="bottom"/>
          </w:tcPr>
          <w:p w14:paraId="6D2DEB6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15ABD45D" w14:textId="77777777" w:rsidR="00F93DBB" w:rsidRDefault="00F93DBB" w:rsidP="00A6421F">
            <w:pPr>
              <w:spacing w:line="0" w:lineRule="atLeast"/>
              <w:rPr>
                <w:rFonts w:ascii="Times New Roman" w:eastAsia="Times New Roman" w:hAnsi="Times New Roman"/>
                <w:sz w:val="23"/>
              </w:rPr>
            </w:pPr>
          </w:p>
        </w:tc>
      </w:tr>
      <w:tr w:rsidR="00F93DBB" w14:paraId="7225A1C9" w14:textId="77777777" w:rsidTr="00137DA3">
        <w:trPr>
          <w:trHeight w:val="269"/>
        </w:trPr>
        <w:tc>
          <w:tcPr>
            <w:tcW w:w="9934" w:type="dxa"/>
            <w:tcBorders>
              <w:left w:val="single" w:sz="8" w:space="0" w:color="auto"/>
              <w:right w:val="single" w:sz="8" w:space="0" w:color="auto"/>
            </w:tcBorders>
            <w:shd w:val="clear" w:color="auto" w:fill="auto"/>
            <w:vAlign w:val="bottom"/>
          </w:tcPr>
          <w:p w14:paraId="74047FC4" w14:textId="77777777" w:rsidR="00F93DBB" w:rsidRDefault="00F93DBB" w:rsidP="00A6421F">
            <w:pPr>
              <w:ind w:left="120"/>
              <w:rPr>
                <w:rFonts w:ascii="Century Gothic" w:eastAsia="Century Gothic" w:hAnsi="Century Gothic"/>
              </w:rPr>
            </w:pPr>
            <w:r>
              <w:rPr>
                <w:rFonts w:ascii="Century Gothic" w:eastAsia="Century Gothic" w:hAnsi="Century Gothic"/>
              </w:rPr>
              <w:t>hypothetical (or actual, if you are currently teaching) classroom setting which should</w:t>
            </w:r>
          </w:p>
        </w:tc>
        <w:tc>
          <w:tcPr>
            <w:tcW w:w="56" w:type="dxa"/>
            <w:shd w:val="clear" w:color="auto" w:fill="auto"/>
            <w:vAlign w:val="bottom"/>
          </w:tcPr>
          <w:p w14:paraId="6BA68181"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DC32314" w14:textId="02D5945C" w:rsidR="00F93DBB" w:rsidRDefault="00D53446" w:rsidP="00A6421F">
            <w:pPr>
              <w:spacing w:line="269" w:lineRule="exact"/>
              <w:ind w:right="8"/>
              <w:jc w:val="center"/>
              <w:rPr>
                <w:rFonts w:ascii="Century Gothic" w:eastAsia="Century Gothic" w:hAnsi="Century Gothic"/>
              </w:rPr>
            </w:pPr>
            <w:r>
              <w:rPr>
                <w:rFonts w:ascii="Century Gothic" w:eastAsia="Century Gothic" w:hAnsi="Century Gothic"/>
              </w:rPr>
              <w:t>19</w:t>
            </w:r>
            <w:r w:rsidR="00F93DBB">
              <w:rPr>
                <w:rFonts w:ascii="Century Gothic" w:eastAsia="Century Gothic" w:hAnsi="Century Gothic"/>
              </w:rPr>
              <w:t>5</w:t>
            </w:r>
          </w:p>
        </w:tc>
      </w:tr>
      <w:tr w:rsidR="00F93DBB" w14:paraId="14B316EC" w14:textId="77777777" w:rsidTr="00137DA3">
        <w:trPr>
          <w:trHeight w:val="274"/>
        </w:trPr>
        <w:tc>
          <w:tcPr>
            <w:tcW w:w="9934" w:type="dxa"/>
            <w:tcBorders>
              <w:left w:val="single" w:sz="8" w:space="0" w:color="auto"/>
              <w:right w:val="single" w:sz="8" w:space="0" w:color="auto"/>
            </w:tcBorders>
            <w:shd w:val="clear" w:color="auto" w:fill="auto"/>
            <w:vAlign w:val="bottom"/>
          </w:tcPr>
          <w:p w14:paraId="28BC8F09" w14:textId="77777777" w:rsidR="00F93DBB" w:rsidRDefault="00F93DBB" w:rsidP="00F93DBB">
            <w:pPr>
              <w:ind w:left="120"/>
              <w:rPr>
                <w:rFonts w:ascii="Century Gothic" w:eastAsia="Century Gothic" w:hAnsi="Century Gothic"/>
              </w:rPr>
            </w:pPr>
            <w:r>
              <w:rPr>
                <w:rFonts w:ascii="Century Gothic" w:eastAsia="Century Gothic" w:hAnsi="Century Gothic"/>
              </w:rPr>
              <w:t>simulate your desired future teaching context as closely as possible.</w:t>
            </w:r>
          </w:p>
        </w:tc>
        <w:tc>
          <w:tcPr>
            <w:tcW w:w="56" w:type="dxa"/>
            <w:shd w:val="clear" w:color="auto" w:fill="auto"/>
            <w:vAlign w:val="bottom"/>
          </w:tcPr>
          <w:p w14:paraId="64C81F37" w14:textId="77777777" w:rsidR="00F93DBB" w:rsidRDefault="00F93DBB" w:rsidP="00A6421F">
            <w:pPr>
              <w:spacing w:line="0" w:lineRule="atLeast"/>
              <w:rPr>
                <w:rFonts w:ascii="Times New Roman" w:eastAsia="Times New Roman" w:hAnsi="Times New Roman"/>
                <w:sz w:val="23"/>
              </w:rPr>
            </w:pPr>
          </w:p>
        </w:tc>
        <w:tc>
          <w:tcPr>
            <w:tcW w:w="640" w:type="dxa"/>
            <w:tcBorders>
              <w:right w:val="single" w:sz="8" w:space="0" w:color="auto"/>
            </w:tcBorders>
            <w:shd w:val="clear" w:color="auto" w:fill="auto"/>
            <w:vAlign w:val="bottom"/>
          </w:tcPr>
          <w:p w14:paraId="6C625DBD" w14:textId="77777777" w:rsidR="00F93DBB" w:rsidRDefault="00F93DBB" w:rsidP="00A6421F">
            <w:pPr>
              <w:spacing w:line="0" w:lineRule="atLeast"/>
              <w:rPr>
                <w:rFonts w:ascii="Times New Roman" w:eastAsia="Times New Roman" w:hAnsi="Times New Roman"/>
                <w:sz w:val="23"/>
              </w:rPr>
            </w:pPr>
          </w:p>
        </w:tc>
      </w:tr>
      <w:tr w:rsidR="00F93DBB" w14:paraId="06B8C30D" w14:textId="77777777" w:rsidTr="00137DA3">
        <w:trPr>
          <w:trHeight w:val="70"/>
        </w:trPr>
        <w:tc>
          <w:tcPr>
            <w:tcW w:w="9934" w:type="dxa"/>
            <w:tcBorders>
              <w:left w:val="single" w:sz="8" w:space="0" w:color="auto"/>
              <w:bottom w:val="single" w:sz="8" w:space="0" w:color="auto"/>
              <w:right w:val="single" w:sz="8" w:space="0" w:color="auto"/>
            </w:tcBorders>
            <w:shd w:val="clear" w:color="auto" w:fill="auto"/>
            <w:vAlign w:val="bottom"/>
          </w:tcPr>
          <w:p w14:paraId="35830792"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7EC6297A"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13322B6D" w14:textId="77777777" w:rsidR="00F93DBB" w:rsidRDefault="00F93DBB" w:rsidP="00A6421F">
            <w:pPr>
              <w:spacing w:line="0" w:lineRule="atLeast"/>
              <w:rPr>
                <w:rFonts w:ascii="Times New Roman" w:eastAsia="Times New Roman" w:hAnsi="Times New Roman"/>
                <w:sz w:val="6"/>
              </w:rPr>
            </w:pPr>
          </w:p>
        </w:tc>
      </w:tr>
      <w:tr w:rsidR="00F93DBB" w14:paraId="0EC6E7EC" w14:textId="77777777" w:rsidTr="00137DA3">
        <w:trPr>
          <w:trHeight w:val="333"/>
        </w:trPr>
        <w:tc>
          <w:tcPr>
            <w:tcW w:w="9934" w:type="dxa"/>
            <w:tcBorders>
              <w:left w:val="single" w:sz="8" w:space="0" w:color="auto"/>
              <w:right w:val="single" w:sz="8" w:space="0" w:color="auto"/>
            </w:tcBorders>
            <w:shd w:val="clear" w:color="auto" w:fill="auto"/>
            <w:vAlign w:val="bottom"/>
          </w:tcPr>
          <w:p w14:paraId="77C9AC30" w14:textId="77777777" w:rsidR="00F93DBB" w:rsidRDefault="00F93DBB" w:rsidP="00A6421F">
            <w:pPr>
              <w:ind w:left="120"/>
              <w:rPr>
                <w:rFonts w:ascii="Century Gothic" w:eastAsia="Century Gothic" w:hAnsi="Century Gothic"/>
                <w:b/>
              </w:rPr>
            </w:pPr>
            <w:r>
              <w:rPr>
                <w:rFonts w:ascii="Century Gothic" w:eastAsia="Century Gothic" w:hAnsi="Century Gothic"/>
                <w:b/>
              </w:rPr>
              <w:t>FINAL EXAM</w:t>
            </w:r>
          </w:p>
          <w:p w14:paraId="791F8404" w14:textId="0EDF9A9D" w:rsidR="0085211A" w:rsidRDefault="0085211A" w:rsidP="00A6421F">
            <w:pPr>
              <w:ind w:left="120"/>
              <w:rPr>
                <w:rFonts w:ascii="Century Gothic" w:eastAsia="Century Gothic" w:hAnsi="Century Gothic"/>
                <w:b/>
              </w:rPr>
            </w:pPr>
            <w:r>
              <w:rPr>
                <w:rFonts w:ascii="Century Gothic" w:eastAsia="Century Gothic" w:hAnsi="Century Gothic"/>
                <w:b/>
              </w:rPr>
              <w:t>22.93% of Total</w:t>
            </w:r>
          </w:p>
        </w:tc>
        <w:tc>
          <w:tcPr>
            <w:tcW w:w="56" w:type="dxa"/>
            <w:shd w:val="clear" w:color="auto" w:fill="auto"/>
            <w:vAlign w:val="bottom"/>
          </w:tcPr>
          <w:p w14:paraId="4918736E" w14:textId="77777777" w:rsidR="00F93DBB" w:rsidRDefault="00F93DBB" w:rsidP="00A6421F">
            <w:pPr>
              <w:spacing w:line="0" w:lineRule="atLeast"/>
              <w:rPr>
                <w:rFonts w:ascii="Times New Roman" w:eastAsia="Times New Roman" w:hAnsi="Times New Roman"/>
                <w:sz w:val="24"/>
              </w:rPr>
            </w:pPr>
          </w:p>
        </w:tc>
        <w:tc>
          <w:tcPr>
            <w:tcW w:w="640" w:type="dxa"/>
            <w:tcBorders>
              <w:right w:val="single" w:sz="8" w:space="0" w:color="auto"/>
            </w:tcBorders>
            <w:shd w:val="clear" w:color="auto" w:fill="auto"/>
            <w:vAlign w:val="bottom"/>
          </w:tcPr>
          <w:p w14:paraId="4A11250B" w14:textId="77777777" w:rsidR="00F93DBB" w:rsidRDefault="00F93DBB" w:rsidP="00A6421F">
            <w:pPr>
              <w:spacing w:line="0" w:lineRule="atLeast"/>
              <w:rPr>
                <w:rFonts w:ascii="Times New Roman" w:eastAsia="Times New Roman" w:hAnsi="Times New Roman"/>
                <w:sz w:val="24"/>
              </w:rPr>
            </w:pPr>
          </w:p>
        </w:tc>
      </w:tr>
      <w:tr w:rsidR="00F93DBB" w14:paraId="3CA6AA51" w14:textId="77777777" w:rsidTr="00137DA3">
        <w:trPr>
          <w:trHeight w:val="269"/>
        </w:trPr>
        <w:tc>
          <w:tcPr>
            <w:tcW w:w="9934" w:type="dxa"/>
            <w:tcBorders>
              <w:left w:val="single" w:sz="8" w:space="0" w:color="auto"/>
              <w:right w:val="single" w:sz="8" w:space="0" w:color="auto"/>
            </w:tcBorders>
            <w:shd w:val="clear" w:color="auto" w:fill="auto"/>
            <w:vAlign w:val="bottom"/>
          </w:tcPr>
          <w:p w14:paraId="7FBC02CD" w14:textId="77777777" w:rsidR="00F93DBB" w:rsidRDefault="00F93DBB" w:rsidP="00A6421F">
            <w:pPr>
              <w:ind w:left="120"/>
              <w:rPr>
                <w:rFonts w:ascii="Century Gothic" w:eastAsia="Century Gothic" w:hAnsi="Century Gothic"/>
              </w:rPr>
            </w:pPr>
            <w:r>
              <w:rPr>
                <w:rFonts w:ascii="Century Gothic" w:eastAsia="Century Gothic" w:hAnsi="Century Gothic"/>
              </w:rPr>
              <w:t>To ensure your understanding of the material in this course and to prepare you to be</w:t>
            </w:r>
          </w:p>
        </w:tc>
        <w:tc>
          <w:tcPr>
            <w:tcW w:w="56" w:type="dxa"/>
            <w:shd w:val="clear" w:color="auto" w:fill="auto"/>
            <w:vAlign w:val="bottom"/>
          </w:tcPr>
          <w:p w14:paraId="6AC469E8" w14:textId="77777777" w:rsidR="00F93DBB" w:rsidRDefault="00F93DBB" w:rsidP="00A6421F">
            <w:pPr>
              <w:spacing w:line="0" w:lineRule="atLeast"/>
              <w:rPr>
                <w:rFonts w:ascii="Times New Roman" w:eastAsia="Times New Roman" w:hAnsi="Times New Roman"/>
                <w:sz w:val="23"/>
              </w:rPr>
            </w:pPr>
          </w:p>
        </w:tc>
        <w:tc>
          <w:tcPr>
            <w:tcW w:w="640" w:type="dxa"/>
            <w:vMerge w:val="restart"/>
            <w:tcBorders>
              <w:right w:val="single" w:sz="8" w:space="0" w:color="auto"/>
            </w:tcBorders>
            <w:shd w:val="clear" w:color="auto" w:fill="auto"/>
            <w:vAlign w:val="bottom"/>
          </w:tcPr>
          <w:p w14:paraId="0C1FD7CE"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72</w:t>
            </w:r>
          </w:p>
        </w:tc>
      </w:tr>
      <w:tr w:rsidR="00F93DBB" w14:paraId="7D01563F" w14:textId="77777777" w:rsidTr="00137DA3">
        <w:trPr>
          <w:trHeight w:val="137"/>
        </w:trPr>
        <w:tc>
          <w:tcPr>
            <w:tcW w:w="9934" w:type="dxa"/>
            <w:vMerge w:val="restart"/>
            <w:tcBorders>
              <w:left w:val="single" w:sz="8" w:space="0" w:color="auto"/>
              <w:right w:val="single" w:sz="8" w:space="0" w:color="auto"/>
            </w:tcBorders>
            <w:shd w:val="clear" w:color="auto" w:fill="auto"/>
            <w:vAlign w:val="bottom"/>
          </w:tcPr>
          <w:p w14:paraId="60E0ACE8" w14:textId="455D649A" w:rsidR="00F93DBB" w:rsidRDefault="00F93DBB" w:rsidP="00A6421F">
            <w:pPr>
              <w:ind w:left="120"/>
              <w:rPr>
                <w:rFonts w:ascii="Century Gothic" w:eastAsia="Century Gothic" w:hAnsi="Century Gothic"/>
              </w:rPr>
            </w:pPr>
            <w:r>
              <w:rPr>
                <w:rFonts w:ascii="Century Gothic" w:eastAsia="Century Gothic" w:hAnsi="Century Gothic"/>
              </w:rPr>
              <w:t xml:space="preserve">successful on your </w:t>
            </w:r>
            <w:proofErr w:type="spellStart"/>
            <w:r>
              <w:rPr>
                <w:rFonts w:ascii="Century Gothic" w:eastAsia="Century Gothic" w:hAnsi="Century Gothic"/>
              </w:rPr>
              <w:t>TExES</w:t>
            </w:r>
            <w:proofErr w:type="spellEnd"/>
            <w:r>
              <w:rPr>
                <w:rFonts w:ascii="Century Gothic" w:eastAsia="Century Gothic" w:hAnsi="Century Gothic"/>
              </w:rPr>
              <w:t xml:space="preserve"> </w:t>
            </w:r>
            <w:r w:rsidR="00137DA3">
              <w:rPr>
                <w:rFonts w:ascii="Century Gothic" w:eastAsia="Century Gothic" w:hAnsi="Century Gothic"/>
              </w:rPr>
              <w:t xml:space="preserve">and </w:t>
            </w:r>
            <w:proofErr w:type="spellStart"/>
            <w:r w:rsidR="00137DA3">
              <w:rPr>
                <w:rFonts w:ascii="Century Gothic" w:eastAsia="Century Gothic" w:hAnsi="Century Gothic"/>
              </w:rPr>
              <w:t>SoTR</w:t>
            </w:r>
            <w:proofErr w:type="spellEnd"/>
            <w:r w:rsidR="00137DA3">
              <w:rPr>
                <w:rFonts w:ascii="Century Gothic" w:eastAsia="Century Gothic" w:hAnsi="Century Gothic"/>
              </w:rPr>
              <w:t xml:space="preserve"> </w:t>
            </w:r>
            <w:r>
              <w:rPr>
                <w:rFonts w:ascii="Century Gothic" w:eastAsia="Century Gothic" w:hAnsi="Century Gothic"/>
              </w:rPr>
              <w:t>Exam, there will be a final exam which will test your knowledge</w:t>
            </w:r>
            <w:r w:rsidR="00137DA3">
              <w:rPr>
                <w:rFonts w:ascii="Century Gothic" w:eastAsia="Century Gothic" w:hAnsi="Century Gothic"/>
              </w:rPr>
              <w:t xml:space="preserve"> and understanding of key concepts and objectives.</w:t>
            </w:r>
          </w:p>
        </w:tc>
        <w:tc>
          <w:tcPr>
            <w:tcW w:w="56" w:type="dxa"/>
            <w:shd w:val="clear" w:color="auto" w:fill="auto"/>
            <w:vAlign w:val="bottom"/>
          </w:tcPr>
          <w:p w14:paraId="26562510" w14:textId="77777777" w:rsidR="00F93DBB" w:rsidRDefault="00F93DBB" w:rsidP="00A6421F">
            <w:pPr>
              <w:spacing w:line="0" w:lineRule="atLeast"/>
              <w:rPr>
                <w:rFonts w:ascii="Times New Roman" w:eastAsia="Times New Roman" w:hAnsi="Times New Roman"/>
                <w:sz w:val="11"/>
              </w:rPr>
            </w:pPr>
          </w:p>
        </w:tc>
        <w:tc>
          <w:tcPr>
            <w:tcW w:w="640" w:type="dxa"/>
            <w:vMerge/>
            <w:tcBorders>
              <w:right w:val="single" w:sz="8" w:space="0" w:color="auto"/>
            </w:tcBorders>
            <w:shd w:val="clear" w:color="auto" w:fill="auto"/>
            <w:vAlign w:val="bottom"/>
          </w:tcPr>
          <w:p w14:paraId="51D8960D" w14:textId="77777777" w:rsidR="00F93DBB" w:rsidRDefault="00F93DBB" w:rsidP="00A6421F">
            <w:pPr>
              <w:spacing w:line="0" w:lineRule="atLeast"/>
              <w:rPr>
                <w:rFonts w:ascii="Times New Roman" w:eastAsia="Times New Roman" w:hAnsi="Times New Roman"/>
                <w:sz w:val="11"/>
              </w:rPr>
            </w:pPr>
          </w:p>
        </w:tc>
      </w:tr>
      <w:tr w:rsidR="00F93DBB" w14:paraId="33F22F9B" w14:textId="77777777" w:rsidTr="00137DA3">
        <w:trPr>
          <w:trHeight w:val="135"/>
        </w:trPr>
        <w:tc>
          <w:tcPr>
            <w:tcW w:w="9934" w:type="dxa"/>
            <w:vMerge/>
            <w:tcBorders>
              <w:left w:val="single" w:sz="8" w:space="0" w:color="auto"/>
              <w:right w:val="single" w:sz="8" w:space="0" w:color="auto"/>
            </w:tcBorders>
            <w:shd w:val="clear" w:color="auto" w:fill="auto"/>
            <w:vAlign w:val="bottom"/>
          </w:tcPr>
          <w:p w14:paraId="3756B3CF" w14:textId="77777777" w:rsidR="00F93DBB" w:rsidRDefault="00F93DBB" w:rsidP="00A6421F">
            <w:pPr>
              <w:rPr>
                <w:rFonts w:ascii="Times New Roman" w:eastAsia="Times New Roman" w:hAnsi="Times New Roman"/>
                <w:sz w:val="11"/>
              </w:rPr>
            </w:pPr>
          </w:p>
        </w:tc>
        <w:tc>
          <w:tcPr>
            <w:tcW w:w="56" w:type="dxa"/>
            <w:shd w:val="clear" w:color="auto" w:fill="auto"/>
            <w:vAlign w:val="bottom"/>
          </w:tcPr>
          <w:p w14:paraId="143CEF08" w14:textId="77777777" w:rsidR="00F93DBB" w:rsidRDefault="00F93DBB" w:rsidP="00A6421F">
            <w:pPr>
              <w:spacing w:line="0" w:lineRule="atLeast"/>
              <w:rPr>
                <w:rFonts w:ascii="Times New Roman" w:eastAsia="Times New Roman" w:hAnsi="Times New Roman"/>
                <w:sz w:val="11"/>
              </w:rPr>
            </w:pPr>
          </w:p>
        </w:tc>
        <w:tc>
          <w:tcPr>
            <w:tcW w:w="640" w:type="dxa"/>
            <w:tcBorders>
              <w:right w:val="single" w:sz="8" w:space="0" w:color="auto"/>
            </w:tcBorders>
            <w:shd w:val="clear" w:color="auto" w:fill="auto"/>
            <w:vAlign w:val="bottom"/>
          </w:tcPr>
          <w:p w14:paraId="00AACFCA" w14:textId="77777777" w:rsidR="00F93DBB" w:rsidRDefault="00F93DBB" w:rsidP="00A6421F">
            <w:pPr>
              <w:spacing w:line="0" w:lineRule="atLeast"/>
              <w:rPr>
                <w:rFonts w:ascii="Times New Roman" w:eastAsia="Times New Roman" w:hAnsi="Times New Roman"/>
                <w:sz w:val="11"/>
              </w:rPr>
            </w:pPr>
          </w:p>
        </w:tc>
      </w:tr>
      <w:tr w:rsidR="00F93DBB" w14:paraId="30B602C4" w14:textId="77777777" w:rsidTr="00E00241">
        <w:trPr>
          <w:trHeight w:val="88"/>
        </w:trPr>
        <w:tc>
          <w:tcPr>
            <w:tcW w:w="9934" w:type="dxa"/>
            <w:tcBorders>
              <w:left w:val="single" w:sz="8" w:space="0" w:color="auto"/>
              <w:bottom w:val="single" w:sz="8" w:space="0" w:color="auto"/>
              <w:right w:val="single" w:sz="8" w:space="0" w:color="auto"/>
            </w:tcBorders>
            <w:shd w:val="clear" w:color="auto" w:fill="auto"/>
            <w:vAlign w:val="bottom"/>
          </w:tcPr>
          <w:p w14:paraId="7BF3C6D4" w14:textId="77777777" w:rsidR="00F93DBB" w:rsidRDefault="00F93DBB" w:rsidP="00A6421F">
            <w:pPr>
              <w:rPr>
                <w:rFonts w:ascii="Times New Roman" w:eastAsia="Times New Roman" w:hAnsi="Times New Roman"/>
                <w:sz w:val="6"/>
              </w:rPr>
            </w:pPr>
          </w:p>
        </w:tc>
        <w:tc>
          <w:tcPr>
            <w:tcW w:w="56" w:type="dxa"/>
            <w:tcBorders>
              <w:bottom w:val="single" w:sz="8" w:space="0" w:color="auto"/>
            </w:tcBorders>
            <w:shd w:val="clear" w:color="auto" w:fill="auto"/>
            <w:vAlign w:val="bottom"/>
          </w:tcPr>
          <w:p w14:paraId="521F9DF0" w14:textId="77777777" w:rsidR="00F93DBB" w:rsidRDefault="00F93DBB" w:rsidP="00A6421F">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auto"/>
            <w:vAlign w:val="bottom"/>
          </w:tcPr>
          <w:p w14:paraId="21FAE1D2" w14:textId="77777777" w:rsidR="00F93DBB" w:rsidRDefault="00F93DBB" w:rsidP="00A6421F">
            <w:pPr>
              <w:spacing w:line="0" w:lineRule="atLeast"/>
              <w:rPr>
                <w:rFonts w:ascii="Times New Roman" w:eastAsia="Times New Roman" w:hAnsi="Times New Roman"/>
                <w:sz w:val="6"/>
              </w:rPr>
            </w:pPr>
          </w:p>
        </w:tc>
      </w:tr>
      <w:tr w:rsidR="00F93DBB" w14:paraId="6C021FC1" w14:textId="77777777" w:rsidTr="00F12FDB">
        <w:trPr>
          <w:trHeight w:val="457"/>
        </w:trPr>
        <w:tc>
          <w:tcPr>
            <w:tcW w:w="10630" w:type="dxa"/>
            <w:gridSpan w:val="3"/>
            <w:tcBorders>
              <w:left w:val="single" w:sz="8" w:space="0" w:color="auto"/>
              <w:bottom w:val="single" w:sz="8" w:space="0" w:color="auto"/>
              <w:right w:val="single" w:sz="8" w:space="0" w:color="auto"/>
            </w:tcBorders>
            <w:shd w:val="clear" w:color="auto" w:fill="auto"/>
            <w:vAlign w:val="bottom"/>
          </w:tcPr>
          <w:p w14:paraId="5194EC00" w14:textId="77777777" w:rsidR="00F93DBB" w:rsidRPr="009A6765" w:rsidRDefault="00F93DBB" w:rsidP="00A6421F">
            <w:pPr>
              <w:widowControl w:val="0"/>
              <w:autoSpaceDE w:val="0"/>
              <w:autoSpaceDN w:val="0"/>
              <w:adjustRightInd w:val="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Pr="009A6765">
              <w:rPr>
                <w:rFonts w:ascii="Century Gothic" w:eastAsia="Times New Roman" w:hAnsi="Century Gothic" w:cs="Times New Roman"/>
                <w:b/>
                <w:bCs/>
                <w:color w:val="000000"/>
              </w:rPr>
              <w:t>GRADING</w:t>
            </w:r>
            <w:r>
              <w:rPr>
                <w:rFonts w:ascii="Century Gothic" w:eastAsia="Times New Roman" w:hAnsi="Century Gothic" w:cs="Times New Roman"/>
                <w:b/>
                <w:bCs/>
                <w:color w:val="000000"/>
              </w:rPr>
              <w:t xml:space="preserve"> SCALE</w:t>
            </w:r>
          </w:p>
          <w:p w14:paraId="592E8AD3" w14:textId="77777777" w:rsidR="00F93DBB" w:rsidRPr="009A6765" w:rsidRDefault="00F93DBB" w:rsidP="00A6421F">
            <w:pPr>
              <w:spacing w:line="266" w:lineRule="exact"/>
              <w:rPr>
                <w:rFonts w:ascii="Century Gothic" w:eastAsia="Times New Roman" w:hAnsi="Century Gothic"/>
              </w:rPr>
            </w:pPr>
            <w:r>
              <w:rPr>
                <w:rFonts w:ascii="Century Gothic" w:eastAsia="Times New Roman" w:hAnsi="Century Gothic" w:cs="Times New Roman"/>
                <w:color w:val="000000"/>
              </w:rPr>
              <w:t xml:space="preserve"> </w:t>
            </w:r>
            <w:r w:rsidRPr="009A6765">
              <w:rPr>
                <w:rFonts w:ascii="Century Gothic" w:eastAsia="Times New Roman" w:hAnsi="Century Gothic" w:cs="Times New Roman"/>
                <w:color w:val="000000"/>
              </w:rPr>
              <w:t>A// 90-100% B// 80-89% C// 70-79% D// 60-69% F// below 60%</w:t>
            </w:r>
          </w:p>
          <w:p w14:paraId="69909DC9" w14:textId="77777777" w:rsidR="00F93DBB" w:rsidRDefault="00F93DBB" w:rsidP="00A6421F">
            <w:pPr>
              <w:spacing w:line="0" w:lineRule="atLeast"/>
              <w:rPr>
                <w:rFonts w:ascii="Times New Roman" w:eastAsia="Times New Roman" w:hAnsi="Times New Roman"/>
                <w:sz w:val="6"/>
              </w:rPr>
            </w:pPr>
          </w:p>
        </w:tc>
      </w:tr>
    </w:tbl>
    <w:p w14:paraId="2DAA790F" w14:textId="296858C7" w:rsidR="00FD28CE" w:rsidRDefault="00FD28CE">
      <w:pPr>
        <w:spacing w:line="235" w:lineRule="auto"/>
      </w:pPr>
    </w:p>
    <w:p w14:paraId="4DE370B9" w14:textId="77777777" w:rsidR="00BB624C" w:rsidRDefault="00BB624C" w:rsidP="00BB624C">
      <w:pPr>
        <w:spacing w:line="235" w:lineRule="auto"/>
      </w:pPr>
    </w:p>
    <w:p w14:paraId="5ABCF9B2" w14:textId="773C0920" w:rsidR="00BB624C" w:rsidRDefault="00BB624C" w:rsidP="00BB624C">
      <w:pPr>
        <w:spacing w:line="215" w:lineRule="auto"/>
        <w:ind w:right="380"/>
      </w:pPr>
      <w:r w:rsidRPr="00BB624C">
        <w:rPr>
          <w:i/>
        </w:rPr>
        <w:t>Submitting Work:</w:t>
      </w:r>
      <w:r>
        <w:rPr>
          <w:i/>
        </w:rPr>
        <w:t xml:space="preserve"> </w:t>
      </w:r>
      <w:r>
        <w:t xml:space="preserve">All assignments will be submitted via Canvas, with the Common Lesson Plan and EL Modification chart assignments requiring submission to </w:t>
      </w:r>
      <w:proofErr w:type="spellStart"/>
      <w:r>
        <w:t>Foliotek</w:t>
      </w:r>
      <w:proofErr w:type="spellEnd"/>
      <w:r>
        <w:t xml:space="preserve"> via Canvas. Assignments posted after</w:t>
      </w:r>
      <w:r>
        <w:rPr>
          <w:i/>
        </w:rPr>
        <w:t xml:space="preserve"> </w:t>
      </w:r>
      <w:r>
        <w:t>the deadline will be considered late and points will be deducted from the final grade. For each day an assignment is late, you will lose 10% of the assignment grade. Once the assignment is 1 week late, you will receive a zero with no chance for submission.</w:t>
      </w:r>
    </w:p>
    <w:p w14:paraId="48D5419D" w14:textId="77777777" w:rsidR="00F95502" w:rsidRDefault="00F95502" w:rsidP="00BB624C">
      <w:pPr>
        <w:spacing w:line="215" w:lineRule="auto"/>
        <w:ind w:right="380"/>
      </w:pPr>
    </w:p>
    <w:p w14:paraId="2A097B8B" w14:textId="393887E9" w:rsidR="00F95502" w:rsidRDefault="00F95502" w:rsidP="00F95502">
      <w:pPr>
        <w:spacing w:line="215" w:lineRule="auto"/>
        <w:ind w:right="760"/>
      </w:pPr>
      <w:r w:rsidRPr="00E12DC0">
        <w:rPr>
          <w:i/>
        </w:rPr>
        <w:t xml:space="preserve">Canvas </w:t>
      </w:r>
      <w:r w:rsidR="00E12DC0">
        <w:rPr>
          <w:i/>
        </w:rPr>
        <w:t>Message</w:t>
      </w:r>
      <w:r w:rsidRPr="00E12DC0">
        <w:rPr>
          <w:i/>
        </w:rPr>
        <w:t>:</w:t>
      </w:r>
      <w:r>
        <w:t xml:space="preserve"> All instructor correspondence to the student is conducted through Canvas message and it is the student’s responsibility to read their Canvas messages regularly.</w:t>
      </w:r>
    </w:p>
    <w:p w14:paraId="6B20D8A7" w14:textId="77777777" w:rsidR="00BB624C" w:rsidRDefault="00BB624C" w:rsidP="00BB624C">
      <w:pPr>
        <w:spacing w:line="235" w:lineRule="auto"/>
        <w:ind w:hanging="450"/>
      </w:pPr>
    </w:p>
    <w:p w14:paraId="29351F55" w14:textId="1D424DB3" w:rsidR="00522519" w:rsidRDefault="00522519" w:rsidP="00F95502">
      <w:pPr>
        <w:jc w:val="center"/>
        <w:rPr>
          <w:b/>
        </w:rPr>
      </w:pPr>
    </w:p>
    <w:p w14:paraId="3625FF92" w14:textId="77777777" w:rsidR="00E12DC0" w:rsidRDefault="00E12DC0">
      <w:pPr>
        <w:rPr>
          <w:b/>
        </w:rPr>
      </w:pPr>
      <w:r>
        <w:rPr>
          <w:b/>
        </w:rPr>
        <w:br w:type="page"/>
      </w:r>
    </w:p>
    <w:p w14:paraId="3752BA2F" w14:textId="5157F384" w:rsidR="00FD28CE" w:rsidRDefault="0094726E">
      <w:pPr>
        <w:jc w:val="center"/>
        <w:rPr>
          <w:b/>
        </w:rPr>
      </w:pPr>
      <w:r>
        <w:rPr>
          <w:b/>
        </w:rPr>
        <w:lastRenderedPageBreak/>
        <w:t>College of Education Policies and Procedures which Govern this Course</w:t>
      </w:r>
    </w:p>
    <w:p w14:paraId="7BBD763C" w14:textId="77777777" w:rsidR="00FD28CE" w:rsidRDefault="0094726E">
      <w:pPr>
        <w:spacing w:line="366" w:lineRule="auto"/>
        <w:rPr>
          <w:rFonts w:ascii="Times New Roman" w:eastAsia="Times New Roman" w:hAnsi="Times New Roman" w:cs="Times New Roman"/>
        </w:rPr>
      </w:pPr>
      <w:r>
        <w:rPr>
          <w:rFonts w:ascii="Times New Roman" w:eastAsia="Times New Roman" w:hAnsi="Times New Roman" w:cs="Times New Roman"/>
        </w:rPr>
        <w:t xml:space="preserve"> </w:t>
      </w:r>
    </w:p>
    <w:p w14:paraId="2E6DE1D8" w14:textId="4DABCA78" w:rsidR="00FD28CE" w:rsidRDefault="0094726E">
      <w:pPr>
        <w:rPr>
          <w:b/>
        </w:rPr>
      </w:pPr>
      <w:r>
        <w:rPr>
          <w:b/>
        </w:rPr>
        <w:t xml:space="preserve">Student Responsibilities for </w:t>
      </w:r>
      <w:r w:rsidR="006B3AB4">
        <w:rPr>
          <w:b/>
        </w:rPr>
        <w:t>Online</w:t>
      </w:r>
      <w:r>
        <w:rPr>
          <w:b/>
        </w:rPr>
        <w:t xml:space="preserve"> Learning </w:t>
      </w:r>
    </w:p>
    <w:p w14:paraId="487DF3A9" w14:textId="650320A4" w:rsidR="00EE6200" w:rsidRDefault="0094726E" w:rsidP="00EE6200">
      <w:pPr>
        <w:pStyle w:val="ListParagraph"/>
        <w:numPr>
          <w:ilvl w:val="3"/>
          <w:numId w:val="1"/>
        </w:numPr>
        <w:ind w:left="540" w:right="220" w:hanging="270"/>
      </w:pPr>
      <w:r>
        <w:t xml:space="preserve">Be able to work independently on course objectives, given the format for interaction with faculty and students </w:t>
      </w:r>
      <w:r w:rsidR="006B3AB4">
        <w:t>is</w:t>
      </w:r>
      <w:r>
        <w:t xml:space="preserve"> nontraditional.</w:t>
      </w:r>
    </w:p>
    <w:p w14:paraId="22F96C38" w14:textId="0CE82D4C" w:rsidR="00EE6200" w:rsidRDefault="0094726E" w:rsidP="00EE6200">
      <w:pPr>
        <w:pStyle w:val="ListParagraph"/>
        <w:numPr>
          <w:ilvl w:val="3"/>
          <w:numId w:val="1"/>
        </w:numPr>
        <w:ind w:left="540" w:right="220" w:hanging="270"/>
      </w:pPr>
      <w:r>
        <w:t xml:space="preserve">Access course web page or initiate contact with instructor </w:t>
      </w:r>
      <w:r w:rsidR="006B3AB4">
        <w:t>on</w:t>
      </w:r>
      <w:r>
        <w:t xml:space="preserve"> day</w:t>
      </w:r>
      <w:r w:rsidR="006B3AB4">
        <w:t xml:space="preserve"> 1 or 2 of the semester</w:t>
      </w:r>
      <w:r>
        <w:t>.</w:t>
      </w:r>
    </w:p>
    <w:p w14:paraId="55B9614E" w14:textId="77777777" w:rsidR="00FD28CE" w:rsidRDefault="0094726E" w:rsidP="00EE6200">
      <w:pPr>
        <w:pStyle w:val="ListParagraph"/>
        <w:numPr>
          <w:ilvl w:val="3"/>
          <w:numId w:val="1"/>
        </w:numPr>
        <w:ind w:left="540" w:right="220" w:hanging="270"/>
      </w:pPr>
      <w:r>
        <w:t>Verify appropriate hardware and software as described in the course description.</w:t>
      </w:r>
    </w:p>
    <w:p w14:paraId="69A53F1A" w14:textId="1AE95389" w:rsidR="00FD28CE" w:rsidRDefault="000852AA">
      <w:pPr>
        <w:ind w:left="520" w:hanging="260"/>
      </w:pPr>
      <w:r>
        <w:t xml:space="preserve">4. </w:t>
      </w:r>
      <w:r w:rsidR="006B3AB4">
        <w:t xml:space="preserve">Reach out to the instructor ahead of missing a deadline – refer to dean of student resources as necessary to help you succeed. </w:t>
      </w:r>
    </w:p>
    <w:p w14:paraId="0372B7CB" w14:textId="70F4D567" w:rsidR="00FD28CE" w:rsidRDefault="000852AA">
      <w:pPr>
        <w:spacing w:line="235" w:lineRule="auto"/>
        <w:ind w:left="520" w:hanging="260"/>
      </w:pPr>
      <w:r>
        <w:t>5</w:t>
      </w:r>
      <w:r w:rsidR="0094726E">
        <w:t>.</w:t>
      </w:r>
      <w:r w:rsidR="0094726E">
        <w:rPr>
          <w:rFonts w:ascii="Times New Roman" w:eastAsia="Times New Roman" w:hAnsi="Times New Roman" w:cs="Times New Roman"/>
          <w:sz w:val="14"/>
          <w:szCs w:val="14"/>
        </w:rPr>
        <w:t xml:space="preserve">  </w:t>
      </w:r>
      <w:r w:rsidR="0094726E">
        <w:t>Comply with appropriate electronic etiquette and abbreviations.</w:t>
      </w:r>
    </w:p>
    <w:p w14:paraId="63019713" w14:textId="77777777" w:rsidR="00FD28CE" w:rsidRDefault="0094726E">
      <w:pPr>
        <w:spacing w:line="3" w:lineRule="auto"/>
      </w:pPr>
      <w:r>
        <w:t xml:space="preserve"> </w:t>
      </w:r>
    </w:p>
    <w:p w14:paraId="4F0D93CF" w14:textId="1A0E0E94" w:rsidR="00FD28CE" w:rsidRDefault="000852AA">
      <w:pPr>
        <w:ind w:left="480" w:hanging="240"/>
      </w:pPr>
      <w:r>
        <w:t>6</w:t>
      </w:r>
      <w:r w:rsidR="0094726E">
        <w:t>.</w:t>
      </w:r>
      <w:r w:rsidR="0094726E">
        <w:rPr>
          <w:rFonts w:ascii="Times New Roman" w:eastAsia="Times New Roman" w:hAnsi="Times New Roman" w:cs="Times New Roman"/>
          <w:sz w:val="14"/>
          <w:szCs w:val="14"/>
        </w:rPr>
        <w:t xml:space="preserve">  </w:t>
      </w:r>
      <w:r w:rsidR="0094726E">
        <w:t xml:space="preserve">Acquire </w:t>
      </w:r>
      <w:r w:rsidR="006B3AB4">
        <w:t>required book</w:t>
      </w:r>
      <w:r w:rsidR="0094726E">
        <w:t>.</w:t>
      </w:r>
    </w:p>
    <w:p w14:paraId="56EC5938" w14:textId="16D911A3" w:rsidR="00FD28CE" w:rsidRDefault="000852AA" w:rsidP="000852AA">
      <w:pPr>
        <w:spacing w:line="235" w:lineRule="auto"/>
      </w:pPr>
      <w:r>
        <w:t xml:space="preserve">    7</w:t>
      </w:r>
      <w:r w:rsidR="0094726E">
        <w:t>.</w:t>
      </w:r>
      <w:r w:rsidR="0094726E">
        <w:rPr>
          <w:rFonts w:ascii="Times New Roman" w:eastAsia="Times New Roman" w:hAnsi="Times New Roman" w:cs="Times New Roman"/>
          <w:sz w:val="14"/>
          <w:szCs w:val="14"/>
        </w:rPr>
        <w:t xml:space="preserve">  </w:t>
      </w:r>
      <w:r w:rsidR="0094726E">
        <w:t>Complete all course requirements by posted deadlines.</w:t>
      </w:r>
    </w:p>
    <w:p w14:paraId="44279E33"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1E109DB5" w14:textId="1CAEA5E4" w:rsidR="00FD28CE" w:rsidRDefault="00FD28CE">
      <w:pPr>
        <w:spacing w:line="303" w:lineRule="auto"/>
        <w:rPr>
          <w:rFonts w:ascii="Times New Roman" w:eastAsia="Times New Roman" w:hAnsi="Times New Roman" w:cs="Times New Roman"/>
        </w:rPr>
      </w:pPr>
    </w:p>
    <w:p w14:paraId="7E7EE152" w14:textId="77777777" w:rsidR="00FD28CE" w:rsidRDefault="0094726E">
      <w:pPr>
        <w:rPr>
          <w:b/>
        </w:rPr>
      </w:pPr>
      <w:r>
        <w:rPr>
          <w:b/>
        </w:rPr>
        <w:t>Americans with Disabilities Act</w:t>
      </w:r>
    </w:p>
    <w:p w14:paraId="64970C4F" w14:textId="7DFBAD28" w:rsidR="00FD28CE" w:rsidRDefault="0094726E">
      <w:pPr>
        <w:spacing w:line="226" w:lineRule="auto"/>
        <w:ind w:right="280"/>
        <w:rPr>
          <w:sz w:val="21"/>
          <w:szCs w:val="21"/>
        </w:rPr>
      </w:pPr>
      <w:r>
        <w:rPr>
          <w:sz w:val="21"/>
          <w:szCs w:val="21"/>
        </w:rPr>
        <w:t>The University of North Texas does not discriminate on the basis of an individual’s disability and complies with Section 504 and Public Law 101-336 (Americans with Disabilities Act) in its admissions, accessibility, treatment and employment of individuals in its programs and activities. A copy of the College of Education ADA Compliance Document is available in the Dean’s Office, Matthews Hall</w:t>
      </w:r>
      <w:r w:rsidR="006F660E">
        <w:rPr>
          <w:sz w:val="21"/>
          <w:szCs w:val="21"/>
        </w:rPr>
        <w:t>.</w:t>
      </w:r>
    </w:p>
    <w:p w14:paraId="11C026EB" w14:textId="7FA9EEF0" w:rsidR="00FD28CE" w:rsidRDefault="0094726E">
      <w:pPr>
        <w:spacing w:line="3" w:lineRule="auto"/>
        <w:rPr>
          <w:rFonts w:ascii="Times New Roman" w:eastAsia="Times New Roman" w:hAnsi="Times New Roman" w:cs="Times New Roman"/>
        </w:rPr>
      </w:pPr>
      <w:r>
        <w:rPr>
          <w:rFonts w:ascii="Times New Roman" w:eastAsia="Times New Roman" w:hAnsi="Times New Roman" w:cs="Times New Roman"/>
        </w:rPr>
        <w:t xml:space="preserve"> </w:t>
      </w:r>
    </w:p>
    <w:p w14:paraId="13A1AE49" w14:textId="1B288ED1" w:rsidR="00FD28CE" w:rsidRDefault="0094726E">
      <w:pPr>
        <w:spacing w:line="235" w:lineRule="auto"/>
        <w:ind w:right="480"/>
      </w:pPr>
      <w:r>
        <w:t>It is the responsibility of the student to inform the instructor of any disabling condition that will require modifications.</w:t>
      </w:r>
    </w:p>
    <w:p w14:paraId="3CA7E0BD"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0F6591AC" w14:textId="77777777" w:rsidR="00FD28CE" w:rsidRDefault="0094726E">
      <w:pPr>
        <w:spacing w:line="295" w:lineRule="auto"/>
        <w:rPr>
          <w:b/>
        </w:rPr>
      </w:pPr>
      <w:r>
        <w:rPr>
          <w:b/>
        </w:rPr>
        <w:t>Collection of Student Work</w:t>
      </w:r>
    </w:p>
    <w:p w14:paraId="46923340" w14:textId="77777777" w:rsidR="00FD28CE" w:rsidRDefault="0094726E">
      <w:pPr>
        <w:spacing w:line="295" w:lineRule="auto"/>
        <w:rPr>
          <w:sz w:val="21"/>
          <w:szCs w:val="21"/>
        </w:rPr>
      </w:pPr>
      <w:r>
        <w:rPr>
          <w:sz w:val="21"/>
          <w:szCs w:val="21"/>
        </w:rPr>
        <w:t>In order to monitor student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71C4E7D4" w14:textId="77777777" w:rsidR="00FD28CE" w:rsidRDefault="0094726E">
      <w:pPr>
        <w:spacing w:line="295" w:lineRule="auto"/>
        <w:rPr>
          <w:sz w:val="21"/>
          <w:szCs w:val="21"/>
        </w:rPr>
      </w:pPr>
      <w:r>
        <w:rPr>
          <w:sz w:val="21"/>
          <w:szCs w:val="21"/>
        </w:rPr>
        <w:t xml:space="preserve"> </w:t>
      </w:r>
    </w:p>
    <w:p w14:paraId="29FE9818" w14:textId="77777777" w:rsidR="00FD28CE" w:rsidRDefault="0094726E">
      <w:pPr>
        <w:spacing w:line="295" w:lineRule="auto"/>
        <w:rPr>
          <w:b/>
        </w:rPr>
      </w:pPr>
      <w:r>
        <w:rPr>
          <w:b/>
        </w:rPr>
        <w:t>Technology Integration</w:t>
      </w:r>
    </w:p>
    <w:p w14:paraId="341FEFEC" w14:textId="5217BE6B" w:rsidR="00FD28CE" w:rsidRDefault="0094726E">
      <w:pPr>
        <w:spacing w:line="295" w:lineRule="auto"/>
        <w:rPr>
          <w:sz w:val="21"/>
          <w:szCs w:val="21"/>
        </w:rPr>
      </w:pPr>
      <w:r>
        <w:rPr>
          <w:sz w:val="21"/>
          <w:szCs w:val="21"/>
        </w:rPr>
        <w:t xml:space="preserve">The Curriculum and Instruction program supports technology integration to assist preservice and </w:t>
      </w:r>
      <w:proofErr w:type="spellStart"/>
      <w:r>
        <w:rPr>
          <w:sz w:val="21"/>
          <w:szCs w:val="21"/>
        </w:rPr>
        <w:t>inservice</w:t>
      </w:r>
      <w:proofErr w:type="spellEnd"/>
      <w:r>
        <w:rPr>
          <w:sz w:val="21"/>
          <w:szCs w:val="21"/>
        </w:rPr>
        <w:t xml:space="preserve"> teachers to design and implement curricular and instruction activities that infuse technology throughout the K-12 curriculum.</w:t>
      </w:r>
    </w:p>
    <w:p w14:paraId="4843F54B"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72261FCD" w14:textId="77777777" w:rsidR="00FD28CE" w:rsidRDefault="0094726E">
      <w:pPr>
        <w:rPr>
          <w:b/>
        </w:rPr>
      </w:pPr>
      <w:r>
        <w:rPr>
          <w:b/>
        </w:rPr>
        <w:t>Master’s Program</w:t>
      </w:r>
    </w:p>
    <w:p w14:paraId="3B9EE858"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5A444EF6" w14:textId="53142E1F" w:rsidR="00FD28CE" w:rsidRDefault="0094726E">
      <w:pPr>
        <w:spacing w:line="215" w:lineRule="auto"/>
      </w:pPr>
      <w:r>
        <w:t xml:space="preserve">Student’s seeking admission to the Secondary Post Baccalaureate Master’s Program must secure acceptance into that program. Acceptance criteria for this program DIFFER from that of the Certification only Program. A total of 36 hours of prescribed coursework and acceptable Graduate Record Exam scores (GRE) are examples of additional requirements for admission the Secondary Post Baccalaureate Master’s Program. </w:t>
      </w:r>
    </w:p>
    <w:p w14:paraId="099608CA" w14:textId="77777777"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14:paraId="5BDBE38E" w14:textId="77777777" w:rsidR="00FD28CE" w:rsidRDefault="0094726E">
      <w:pPr>
        <w:rPr>
          <w:b/>
        </w:rPr>
      </w:pPr>
      <w:r>
        <w:rPr>
          <w:b/>
        </w:rPr>
        <w:t>Important Notice for F-1 Students</w:t>
      </w:r>
    </w:p>
    <w:p w14:paraId="1DB5A4F1"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5C8569AC" w14:textId="77777777" w:rsidR="00FD28CE" w:rsidRDefault="0094726E">
      <w:pPr>
        <w:spacing w:line="226" w:lineRule="auto"/>
        <w:ind w:right="1660"/>
        <w:rPr>
          <w:sz w:val="21"/>
          <w:szCs w:val="21"/>
        </w:rPr>
      </w:pPr>
      <w:r>
        <w:rPr>
          <w:sz w:val="21"/>
          <w:szCs w:val="21"/>
        </w:rPr>
        <w:t xml:space="preserve">To read INS regulations for F-1 students taking online courses, please go to this website </w:t>
      </w:r>
      <w:r>
        <w:rPr>
          <w:color w:val="0000FF"/>
          <w:sz w:val="21"/>
          <w:szCs w:val="21"/>
        </w:rPr>
        <w:t xml:space="preserve">http://www.immigration.gov/graphics/services/visas.htm </w:t>
      </w:r>
      <w:r>
        <w:rPr>
          <w:sz w:val="21"/>
          <w:szCs w:val="21"/>
        </w:rPr>
        <w:t>and</w:t>
      </w:r>
      <w:r>
        <w:rPr>
          <w:color w:val="0000FF"/>
          <w:sz w:val="21"/>
          <w:szCs w:val="21"/>
        </w:rPr>
        <w:t xml:space="preserve"> </w:t>
      </w:r>
      <w:r>
        <w:rPr>
          <w:sz w:val="21"/>
          <w:szCs w:val="21"/>
        </w:rPr>
        <w:t>select the link to</w:t>
      </w:r>
    </w:p>
    <w:p w14:paraId="0533C733" w14:textId="77777777" w:rsidR="00FD28CE" w:rsidRDefault="0094726E">
      <w:pPr>
        <w:spacing w:line="1" w:lineRule="auto"/>
        <w:rPr>
          <w:rFonts w:ascii="Times New Roman" w:eastAsia="Times New Roman" w:hAnsi="Times New Roman" w:cs="Times New Roman"/>
        </w:rPr>
      </w:pPr>
      <w:r>
        <w:rPr>
          <w:rFonts w:ascii="Times New Roman" w:eastAsia="Times New Roman" w:hAnsi="Times New Roman" w:cs="Times New Roman"/>
        </w:rPr>
        <w:t xml:space="preserve"> </w:t>
      </w:r>
    </w:p>
    <w:p w14:paraId="2E6DAF98" w14:textId="77777777" w:rsidR="00FD28CE" w:rsidRDefault="0094726E">
      <w:r>
        <w:t>"8 CFR 214.2(f)" in the table next to "F-1." Paragraph (f)(6)(</w:t>
      </w:r>
      <w:proofErr w:type="spellStart"/>
      <w:r>
        <w:t>i</w:t>
      </w:r>
      <w:proofErr w:type="spellEnd"/>
      <w:r>
        <w:t>)(G)</w:t>
      </w:r>
    </w:p>
    <w:p w14:paraId="40F6194F" w14:textId="77777777" w:rsidR="00FD28CE" w:rsidRDefault="0094726E">
      <w:pPr>
        <w:spacing w:line="213" w:lineRule="auto"/>
        <w:ind w:right="1840"/>
        <w:rPr>
          <w:color w:val="0000FF"/>
        </w:rPr>
      </w:pPr>
      <w:r>
        <w:t xml:space="preserve">A Final Rule with clarifications on the restriction can be found in a pdf file located at </w:t>
      </w:r>
      <w:r>
        <w:rPr>
          <w:color w:val="0000FF"/>
        </w:rPr>
        <w:t>http://www.immigration.gov/graphics/lawsregs/fr121102.pdf</w:t>
      </w:r>
    </w:p>
    <w:p w14:paraId="3C35C34A"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7591D4AE" w14:textId="77777777" w:rsidR="00FD28CE" w:rsidRDefault="0094726E">
      <w:pPr>
        <w:spacing w:line="215" w:lineRule="auto"/>
        <w:ind w:right="460"/>
      </w:pPr>
      <w:r>
        <w:lastRenderedPageBreak/>
        <w:t>Within this document, refer to Section IX on page 9 with the subject header "Online and Distance Education Courses."</w:t>
      </w:r>
    </w:p>
    <w:p w14:paraId="76991F81"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6B5A8149" w14:textId="77777777" w:rsidR="00FD28CE" w:rsidRDefault="0094726E">
      <w:pPr>
        <w:spacing w:line="215" w:lineRule="auto"/>
        <w:ind w:right="180"/>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w:t>
      </w:r>
    </w:p>
    <w:p w14:paraId="0A1EBD3E" w14:textId="77777777" w:rsidR="00FD28CE" w:rsidRDefault="0094726E">
      <w:pPr>
        <w:spacing w:line="6" w:lineRule="auto"/>
        <w:rPr>
          <w:rFonts w:ascii="Times New Roman" w:eastAsia="Times New Roman" w:hAnsi="Times New Roman" w:cs="Times New Roman"/>
        </w:rPr>
      </w:pPr>
      <w:r>
        <w:rPr>
          <w:rFonts w:ascii="Times New Roman" w:eastAsia="Times New Roman" w:hAnsi="Times New Roman" w:cs="Times New Roman"/>
        </w:rPr>
        <w:t xml:space="preserve"> </w:t>
      </w:r>
    </w:p>
    <w:p w14:paraId="584EA068" w14:textId="77777777" w:rsidR="00FD28CE" w:rsidRDefault="0094726E">
      <w:pPr>
        <w:spacing w:line="237" w:lineRule="auto"/>
        <w:ind w:right="400"/>
      </w:pPr>
      <w:r>
        <w:t>(1)</w:t>
      </w:r>
      <w:r>
        <w:rPr>
          <w:rFonts w:ascii="Times New Roman" w:eastAsia="Times New Roman" w:hAnsi="Times New Roman" w:cs="Times New Roman"/>
          <w:sz w:val="14"/>
          <w:szCs w:val="14"/>
        </w:rPr>
        <w:t xml:space="preserve">  </w:t>
      </w:r>
      <w:r>
        <w:t>Submit a written request to the instructor for an on-campus experiential component within one week of the start of the course.</w:t>
      </w:r>
    </w:p>
    <w:p w14:paraId="5B6C880D" w14:textId="77777777" w:rsidR="00FD28CE" w:rsidRDefault="0094726E">
      <w:pPr>
        <w:spacing w:line="5" w:lineRule="auto"/>
      </w:pPr>
      <w:r>
        <w:t xml:space="preserve"> </w:t>
      </w:r>
    </w:p>
    <w:p w14:paraId="6DAC457E" w14:textId="77777777" w:rsidR="00FD28CE" w:rsidRDefault="0094726E">
      <w:pPr>
        <w:spacing w:line="237" w:lineRule="auto"/>
        <w:ind w:right="360"/>
      </w:pPr>
      <w:r>
        <w:t>(2)</w:t>
      </w:r>
      <w:r>
        <w:rPr>
          <w:rFonts w:ascii="Times New Roman" w:eastAsia="Times New Roman" w:hAnsi="Times New Roman" w:cs="Times New Roman"/>
          <w:sz w:val="14"/>
          <w:szCs w:val="14"/>
        </w:rPr>
        <w:t xml:space="preserve">  </w:t>
      </w:r>
      <w:r>
        <w:t>Ensure that the activity on campus takes place and the instructor documents it in writing with a notice sent to the International Advising Office. The UNT International Advising Office has a form available that you may use for this purpose.</w:t>
      </w:r>
    </w:p>
    <w:p w14:paraId="04F2ECC3" w14:textId="77777777" w:rsidR="00FD28CE" w:rsidRDefault="0094726E">
      <w:pPr>
        <w:spacing w:line="3" w:lineRule="auto"/>
      </w:pPr>
      <w:r>
        <w:t xml:space="preserve"> </w:t>
      </w:r>
    </w:p>
    <w:p w14:paraId="76719D39" w14:textId="77777777" w:rsidR="00FD28CE" w:rsidRDefault="0094726E">
      <w:pPr>
        <w:ind w:right="180"/>
      </w:pPr>
      <w:r>
        <w:t xml:space="preserve">Because the decision may have serious immigration consequences, if an F-1 student is unsure about his or her need to participate in an on-campus experiential component for this course, s/he should contact the UNT International Advising Office (telephone 940-565-2195 or email </w:t>
      </w:r>
      <w:r>
        <w:rPr>
          <w:color w:val="0000FF"/>
        </w:rPr>
        <w:t>international@unt.edu</w:t>
      </w:r>
      <w:r>
        <w:t>)</w:t>
      </w:r>
      <w:r>
        <w:rPr>
          <w:color w:val="0000FF"/>
        </w:rPr>
        <w:t xml:space="preserve"> </w:t>
      </w:r>
      <w:r>
        <w:t>to get clarification before the one-week deadline.</w:t>
      </w:r>
    </w:p>
    <w:p w14:paraId="7FA9903C" w14:textId="77777777" w:rsidR="00FD28CE" w:rsidRDefault="00FD28CE"/>
    <w:p w14:paraId="270F49CE" w14:textId="77777777" w:rsidR="00FD28CE" w:rsidRDefault="0094726E">
      <w:pPr>
        <w:jc w:val="center"/>
        <w:rPr>
          <w:b/>
        </w:rPr>
      </w:pPr>
      <w:r>
        <w:rPr>
          <w:b/>
        </w:rPr>
        <w:t>University Policy Statements</w:t>
      </w:r>
    </w:p>
    <w:p w14:paraId="108F2EFE" w14:textId="77777777" w:rsidR="00FD28CE" w:rsidRDefault="0094726E">
      <w:pPr>
        <w:spacing w:line="21" w:lineRule="auto"/>
        <w:rPr>
          <w:rFonts w:ascii="Times New Roman" w:eastAsia="Times New Roman" w:hAnsi="Times New Roman" w:cs="Times New Roman"/>
        </w:rPr>
      </w:pPr>
      <w:r>
        <w:rPr>
          <w:rFonts w:ascii="Times New Roman" w:eastAsia="Times New Roman" w:hAnsi="Times New Roman" w:cs="Times New Roman"/>
        </w:rPr>
        <w:t xml:space="preserve"> </w:t>
      </w:r>
    </w:p>
    <w:p w14:paraId="600A80D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0DFEA024" w14:textId="77777777" w:rsidR="00FD28CE" w:rsidRDefault="00F93DBB">
      <w:pPr>
        <w:spacing w:line="218" w:lineRule="auto"/>
        <w:rPr>
          <w:rFonts w:ascii="Times New Roman" w:eastAsia="Times New Roman" w:hAnsi="Times New Roman" w:cs="Times New Roman"/>
        </w:rPr>
      </w:pPr>
      <w:r>
        <w:rPr>
          <w:rFonts w:ascii="Century Gothic" w:eastAsia="Century Gothic" w:hAnsi="Century Gothic"/>
          <w:b/>
          <w:noProof/>
          <w:lang w:val="en-US"/>
        </w:rPr>
        <w:drawing>
          <wp:anchor distT="0" distB="0" distL="114300" distR="114300" simplePos="0" relativeHeight="251661312" behindDoc="1" locked="0" layoutInCell="1" allowOverlap="1" wp14:anchorId="0ACFF832" wp14:editId="67713CE6">
            <wp:simplePos x="0" y="0"/>
            <wp:positionH relativeFrom="column">
              <wp:posOffset>2189019</wp:posOffset>
            </wp:positionH>
            <wp:positionV relativeFrom="paragraph">
              <wp:posOffset>3405</wp:posOffset>
            </wp:positionV>
            <wp:extent cx="1691005" cy="16033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005" cy="1603375"/>
                    </a:xfrm>
                    <a:prstGeom prst="rect">
                      <a:avLst/>
                    </a:prstGeom>
                    <a:noFill/>
                  </pic:spPr>
                </pic:pic>
              </a:graphicData>
            </a:graphic>
            <wp14:sizeRelH relativeFrom="page">
              <wp14:pctWidth>0</wp14:pctWidth>
            </wp14:sizeRelH>
            <wp14:sizeRelV relativeFrom="page">
              <wp14:pctHeight>0</wp14:pctHeight>
            </wp14:sizeRelV>
          </wp:anchor>
        </w:drawing>
      </w:r>
      <w:r w:rsidR="0094726E">
        <w:rPr>
          <w:rFonts w:ascii="Times New Roman" w:eastAsia="Times New Roman" w:hAnsi="Times New Roman" w:cs="Times New Roman"/>
        </w:rPr>
        <w:t xml:space="preserve"> </w:t>
      </w:r>
    </w:p>
    <w:p w14:paraId="7C52303C"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78115F9C"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D8DE094"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56ED5FD0"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B81846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2C24FF1"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5381C49D"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460A2BD"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7A4FEF1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7955685"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72519A2" w14:textId="77777777" w:rsidR="00FD28CE" w:rsidRDefault="0094726E">
      <w:pPr>
        <w:spacing w:line="258" w:lineRule="auto"/>
        <w:rPr>
          <w:rFonts w:ascii="Times New Roman" w:eastAsia="Times New Roman" w:hAnsi="Times New Roman" w:cs="Times New Roman"/>
        </w:rPr>
      </w:pPr>
      <w:r>
        <w:rPr>
          <w:rFonts w:ascii="Times New Roman" w:eastAsia="Times New Roman" w:hAnsi="Times New Roman" w:cs="Times New Roman"/>
        </w:rPr>
        <w:t xml:space="preserve"> </w:t>
      </w:r>
    </w:p>
    <w:p w14:paraId="15555C95" w14:textId="77777777" w:rsidR="00FD28CE" w:rsidRDefault="0094726E">
      <w:pPr>
        <w:jc w:val="both"/>
      </w:pPr>
      <w: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14:paraId="06CD75DB" w14:textId="77777777" w:rsidR="00FD28CE" w:rsidRDefault="0094726E">
      <w:pPr>
        <w:spacing w:line="293" w:lineRule="auto"/>
        <w:rPr>
          <w:rFonts w:ascii="Times New Roman" w:eastAsia="Times New Roman" w:hAnsi="Times New Roman" w:cs="Times New Roman"/>
        </w:rPr>
      </w:pPr>
      <w:r>
        <w:rPr>
          <w:rFonts w:ascii="Times New Roman" w:eastAsia="Times New Roman" w:hAnsi="Times New Roman" w:cs="Times New Roman"/>
        </w:rPr>
        <w:t xml:space="preserve"> </w:t>
      </w:r>
    </w:p>
    <w:p w14:paraId="132F0F1B" w14:textId="77777777" w:rsidR="00FD28CE" w:rsidRDefault="0094726E">
      <w:pPr>
        <w:ind w:right="100"/>
      </w:pPr>
      <w:r>
        <w:rPr>
          <w:b/>
        </w:rPr>
        <w:t xml:space="preserve">The educator as agent of engaged learning </w:t>
      </w:r>
      <w:r>
        <w:t>summarizes the conceptual framework for UNT's basic</w:t>
      </w:r>
      <w:r>
        <w:rPr>
          <w:b/>
        </w:rPr>
        <w:t xml:space="preserve"> </w:t>
      </w:r>
      <w:r>
        <w:t xml:space="preserve">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w:t>
      </w:r>
      <w:r>
        <w:lastRenderedPageBreak/>
        <w:t>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14:paraId="0F63294C" w14:textId="77777777"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14:paraId="6A33FBB5" w14:textId="77777777" w:rsidR="00FD28CE" w:rsidRDefault="0094726E">
      <w:pPr>
        <w:ind w:right="80"/>
      </w:pPr>
      <w:r>
        <w:t>Seeing the engaged learner at the heart of a community that includes educators in various roles, we have chosen to describe each program of educator preparation at UNT with reference to the following key concepts, which are briefly defined below.</w:t>
      </w:r>
    </w:p>
    <w:p w14:paraId="674C4A4F" w14:textId="77777777" w:rsidR="00FD28CE" w:rsidRDefault="00FD28CE"/>
    <w:p w14:paraId="74CBA6B1" w14:textId="77777777" w:rsidR="00FD28CE" w:rsidRDefault="0094726E">
      <w:pPr>
        <w:spacing w:line="237" w:lineRule="auto"/>
        <w:ind w:left="360" w:right="200"/>
      </w:pPr>
      <w:r>
        <w:t>1.</w:t>
      </w:r>
      <w:r>
        <w:rPr>
          <w:rFonts w:ascii="Times New Roman" w:eastAsia="Times New Roman" w:hAnsi="Times New Roman" w:cs="Times New Roman"/>
          <w:sz w:val="14"/>
          <w:szCs w:val="14"/>
        </w:rPr>
        <w:t xml:space="preserve">     </w:t>
      </w:r>
      <w:r>
        <w:rPr>
          <w:b/>
        </w:rPr>
        <w:t xml:space="preserve">Content and curricular knowledge </w:t>
      </w:r>
      <w:r>
        <w:t>refer to the grounding of the educator in content knowledge</w:t>
      </w:r>
      <w:r>
        <w:rPr>
          <w:b/>
        </w:rPr>
        <w:t xml:space="preserve"> </w:t>
      </w:r>
      <w:r>
        <w:t>and knowledge construction and in making meaningful to learners the content of the PreK-16 curriculum.</w:t>
      </w:r>
    </w:p>
    <w:p w14:paraId="43C6C704" w14:textId="77777777" w:rsidR="00FD28CE" w:rsidRDefault="0094726E">
      <w:pPr>
        <w:spacing w:line="3" w:lineRule="auto"/>
      </w:pPr>
      <w:r>
        <w:t xml:space="preserve"> </w:t>
      </w:r>
    </w:p>
    <w:p w14:paraId="3BCDC1E4" w14:textId="77777777" w:rsidR="00FD28CE" w:rsidRDefault="0094726E">
      <w:pPr>
        <w:spacing w:line="237" w:lineRule="auto"/>
        <w:ind w:left="360" w:right="260"/>
      </w:pPr>
      <w:r>
        <w:t>2.</w:t>
      </w:r>
      <w:r>
        <w:rPr>
          <w:rFonts w:ascii="Times New Roman" w:eastAsia="Times New Roman" w:hAnsi="Times New Roman" w:cs="Times New Roman"/>
          <w:sz w:val="14"/>
          <w:szCs w:val="14"/>
        </w:rPr>
        <w:t xml:space="preserve">     </w:t>
      </w:r>
      <w:r>
        <w:rPr>
          <w:b/>
        </w:rPr>
        <w:t xml:space="preserve">Knowledge of teaching and assessment </w:t>
      </w:r>
      <w:r>
        <w:t>refers to the ability of the educator to plan, implement,</w:t>
      </w:r>
      <w:r>
        <w:rPr>
          <w:b/>
        </w:rPr>
        <w:t xml:space="preserve"> </w:t>
      </w:r>
      <w:r>
        <w:t>and assess instruction in ways that consistently engage learners or, in advanced programs, to provide leadership for development of programs that promote engagement of learners.</w:t>
      </w:r>
    </w:p>
    <w:p w14:paraId="5F940EB5" w14:textId="77777777" w:rsidR="00FD28CE" w:rsidRDefault="0094726E">
      <w:pPr>
        <w:spacing w:line="5" w:lineRule="auto"/>
      </w:pPr>
      <w:r>
        <w:t xml:space="preserve"> </w:t>
      </w:r>
    </w:p>
    <w:p w14:paraId="4E052F83" w14:textId="77777777" w:rsidR="00FD28CE" w:rsidRDefault="0094726E">
      <w:pPr>
        <w:spacing w:line="237" w:lineRule="auto"/>
        <w:ind w:left="360" w:right="440"/>
      </w:pPr>
      <w:r>
        <w:t>3.</w:t>
      </w:r>
      <w:r>
        <w:rPr>
          <w:rFonts w:ascii="Times New Roman" w:eastAsia="Times New Roman" w:hAnsi="Times New Roman" w:cs="Times New Roman"/>
          <w:sz w:val="14"/>
          <w:szCs w:val="14"/>
        </w:rPr>
        <w:t xml:space="preserve">     </w:t>
      </w:r>
      <w:r>
        <w:rPr>
          <w:b/>
        </w:rPr>
        <w:t xml:space="preserve">Promotion of equity for all learners </w:t>
      </w:r>
      <w:r>
        <w:t>refers to the skills and attitudes that enable the educator to</w:t>
      </w:r>
      <w:r>
        <w:rPr>
          <w:b/>
        </w:rPr>
        <w:t xml:space="preserve"> </w:t>
      </w:r>
      <w:r>
        <w:t>advocate for all students within the framework of the school program.</w:t>
      </w:r>
    </w:p>
    <w:p w14:paraId="37FC94CC" w14:textId="77777777" w:rsidR="00FD28CE" w:rsidRDefault="0094726E">
      <w:pPr>
        <w:spacing w:line="5" w:lineRule="auto"/>
      </w:pPr>
      <w:r>
        <w:t xml:space="preserve"> </w:t>
      </w:r>
    </w:p>
    <w:p w14:paraId="6FE538A3" w14:textId="77777777" w:rsidR="00FD28CE" w:rsidRDefault="0094726E">
      <w:pPr>
        <w:spacing w:line="237" w:lineRule="auto"/>
        <w:ind w:left="360" w:right="140"/>
      </w:pPr>
      <w:r>
        <w:t>4.</w:t>
      </w:r>
      <w:r>
        <w:rPr>
          <w:rFonts w:ascii="Times New Roman" w:eastAsia="Times New Roman" w:hAnsi="Times New Roman" w:cs="Times New Roman"/>
          <w:sz w:val="14"/>
          <w:szCs w:val="14"/>
        </w:rPr>
        <w:t xml:space="preserve">     </w:t>
      </w:r>
      <w:r>
        <w:rPr>
          <w:b/>
        </w:rPr>
        <w:t xml:space="preserve">Encouragement of diversity </w:t>
      </w:r>
      <w:r>
        <w:t>refers to the ability of the educator to appreciate and affirm formally</w:t>
      </w:r>
      <w:r>
        <w:rPr>
          <w:b/>
        </w:rPr>
        <w:t xml:space="preserve"> </w:t>
      </w:r>
      <w:r>
        <w:t>and informally the various cultural heritages, unique endowments, learning styles, interests, and needs of learners.</w:t>
      </w:r>
    </w:p>
    <w:p w14:paraId="47BABFF2" w14:textId="77777777" w:rsidR="00FD28CE" w:rsidRDefault="0094726E">
      <w:pPr>
        <w:spacing w:line="3" w:lineRule="auto"/>
      </w:pPr>
      <w:r>
        <w:t xml:space="preserve"> </w:t>
      </w:r>
    </w:p>
    <w:p w14:paraId="62629522" w14:textId="77777777" w:rsidR="00FD28CE" w:rsidRDefault="0094726E">
      <w:pPr>
        <w:ind w:left="360" w:right="520"/>
      </w:pPr>
      <w:r>
        <w:t>5.</w:t>
      </w:r>
      <w:r>
        <w:rPr>
          <w:rFonts w:ascii="Times New Roman" w:eastAsia="Times New Roman" w:hAnsi="Times New Roman" w:cs="Times New Roman"/>
          <w:sz w:val="14"/>
          <w:szCs w:val="14"/>
        </w:rPr>
        <w:t xml:space="preserve">     </w:t>
      </w:r>
      <w:r>
        <w:rPr>
          <w:b/>
        </w:rPr>
        <w:t xml:space="preserve">Professional communication </w:t>
      </w:r>
      <w:r>
        <w:t>refers to effective interpersonal and professional oral and written</w:t>
      </w:r>
      <w:r w:rsidR="00F93DBB">
        <w:t xml:space="preserve"> </w:t>
      </w:r>
      <w:r>
        <w:t>communication that includes appropriate applications of information technology.</w:t>
      </w:r>
    </w:p>
    <w:p w14:paraId="7B001A9B" w14:textId="77777777" w:rsidR="00FD28CE" w:rsidRDefault="0094726E">
      <w:pPr>
        <w:spacing w:line="235" w:lineRule="auto"/>
        <w:ind w:left="360" w:right="420"/>
      </w:pPr>
      <w:r>
        <w:t>6.</w:t>
      </w:r>
      <w:r>
        <w:rPr>
          <w:rFonts w:ascii="Times New Roman" w:eastAsia="Times New Roman" w:hAnsi="Times New Roman" w:cs="Times New Roman"/>
          <w:sz w:val="14"/>
          <w:szCs w:val="14"/>
        </w:rPr>
        <w:t xml:space="preserve">     </w:t>
      </w:r>
      <w:r>
        <w:rPr>
          <w:b/>
        </w:rPr>
        <w:t xml:space="preserve">Engaged professional learning </w:t>
      </w:r>
      <w:r>
        <w:t>refers to the educator's commitment to ethical practice and to</w:t>
      </w:r>
      <w:r>
        <w:rPr>
          <w:b/>
        </w:rPr>
        <w:t xml:space="preserve"> </w:t>
      </w:r>
      <w:r>
        <w:t>continued learning and professional development.</w:t>
      </w:r>
    </w:p>
    <w:p w14:paraId="4E09A3AB" w14:textId="77777777"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14:paraId="62D8BE98" w14:textId="77777777" w:rsidR="00FD28CE" w:rsidRDefault="0094726E">
      <w:pPr>
        <w:spacing w:line="215" w:lineRule="auto"/>
        <w:ind w:right="20"/>
      </w:pPr>
      <w:r>
        <w:t>Through the experiences required in each UNT program of study, we expect that basic and advanced students will acquire the knowledge, skills, and dispositions appropriate to the educational role for which they are preparing or in which they are developing expertise.</w:t>
      </w:r>
    </w:p>
    <w:p w14:paraId="3014C781" w14:textId="77777777"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14:paraId="28366420" w14:textId="77777777" w:rsidR="00FD28CE" w:rsidRDefault="0094726E">
      <w:pPr>
        <w:ind w:right="420"/>
      </w:pPr>
      <w:r>
        <w:t>A broad community stands behind and accepts responsibility for every engaged learner. UNT supports the work of PreK-16 communities through basic and advanced programs for professional educators and by promoting public understanding of issues in education.</w:t>
      </w:r>
    </w:p>
    <w:p w14:paraId="49ABE54F"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6288DEB0" w14:textId="77777777" w:rsidR="00FD28CE" w:rsidRDefault="0094726E">
      <w:r>
        <w:rPr>
          <w:i/>
        </w:rPr>
        <w:t xml:space="preserve">Ethical Behavior and Code of Ethics: </w:t>
      </w:r>
      <w:r>
        <w:t>The Teacher Education &amp; Administration Department expects</w:t>
      </w:r>
      <w:r>
        <w:rPr>
          <w:i/>
        </w:rPr>
        <w:t xml:space="preserve"> </w:t>
      </w:r>
      <w:r>
        <w:t>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t>TExES</w:t>
      </w:r>
      <w:proofErr w:type="spellEnd"/>
      <w:r>
        <w:t>); and as also addressed in codes of ethics adopted by professionals in the education field such as the National Education Association (NEA) and the American Federation of Teachers (AFT).</w:t>
      </w:r>
    </w:p>
    <w:p w14:paraId="12778B98" w14:textId="751007D0" w:rsidR="00FD28CE" w:rsidRDefault="0094726E" w:rsidP="00BB624C">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14:paraId="0F32FE58" w14:textId="77777777" w:rsidR="00FD28CE" w:rsidRDefault="0094726E">
      <w:pPr>
        <w:spacing w:line="215" w:lineRule="auto"/>
        <w:ind w:right="640"/>
        <w:jc w:val="both"/>
      </w:pPr>
      <w:r>
        <w:rPr>
          <w:i/>
        </w:rPr>
        <w:t xml:space="preserve">Grading and Grade Reporting: </w:t>
      </w:r>
      <w:r>
        <w:t>Grading rubrics for all assignments can be found on the course</w:t>
      </w:r>
      <w:r>
        <w:rPr>
          <w:i/>
        </w:rPr>
        <w:t xml:space="preserve"> </w:t>
      </w:r>
      <w:r>
        <w:t>Canvas website with the assignment. Students are encouraged to review the grading rubrics to guide them in successfully completing all assignments.</w:t>
      </w:r>
    </w:p>
    <w:p w14:paraId="32542B52" w14:textId="77777777" w:rsidR="00FD28CE" w:rsidRDefault="0094726E">
      <w:pPr>
        <w:spacing w:line="215" w:lineRule="auto"/>
        <w:ind w:right="640"/>
        <w:jc w:val="both"/>
      </w:pPr>
      <w:r>
        <w:t xml:space="preserve"> </w:t>
      </w:r>
    </w:p>
    <w:p w14:paraId="620EA8DA" w14:textId="77777777" w:rsidR="00FD28CE" w:rsidRDefault="0094726E">
      <w:pPr>
        <w:spacing w:line="215" w:lineRule="auto"/>
        <w:ind w:right="640"/>
        <w:jc w:val="both"/>
      </w:pPr>
      <w:r>
        <w:rPr>
          <w:i/>
        </w:rPr>
        <w:lastRenderedPageBreak/>
        <w:t>Class Recordings &amp; Student Likenesses:</w:t>
      </w:r>
      <w:r>
        <w:t xml:space="preserv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77098A5" w14:textId="77777777" w:rsidR="00FD28CE" w:rsidRDefault="0094726E">
      <w:pPr>
        <w:spacing w:line="300" w:lineRule="auto"/>
        <w:rPr>
          <w:rFonts w:ascii="Times New Roman" w:eastAsia="Times New Roman" w:hAnsi="Times New Roman" w:cs="Times New Roman"/>
        </w:rPr>
      </w:pPr>
      <w:r>
        <w:rPr>
          <w:rFonts w:ascii="Times New Roman" w:eastAsia="Times New Roman" w:hAnsi="Times New Roman" w:cs="Times New Roman"/>
        </w:rPr>
        <w:t xml:space="preserve"> </w:t>
      </w:r>
    </w:p>
    <w:p w14:paraId="659CEFE5" w14:textId="77777777" w:rsidR="00FD28CE" w:rsidRDefault="0094726E">
      <w:pPr>
        <w:spacing w:line="215" w:lineRule="auto"/>
        <w:ind w:right="80"/>
      </w:pPr>
      <w:r>
        <w:rPr>
          <w:i/>
        </w:rPr>
        <w:t xml:space="preserve">Writing Policy: </w:t>
      </w:r>
      <w:r>
        <w:t>Teachers are judged on the accuracy of everything they write, whether it is a letter to</w:t>
      </w:r>
      <w:r>
        <w:rPr>
          <w:i/>
        </w:rPr>
        <w:t xml:space="preserve"> </w:t>
      </w:r>
      <w:r>
        <w:t xml:space="preserve">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6">
        <w:r>
          <w:rPr>
            <w:color w:val="0000FF"/>
            <w:u w:val="single"/>
          </w:rPr>
          <w:t>https://ltc.unt.edu/labs/unt-writing-lab-home</w:t>
        </w:r>
      </w:hyperlink>
      <w:hyperlink r:id="rId17">
        <w:r>
          <w:t>.</w:t>
        </w:r>
      </w:hyperlink>
    </w:p>
    <w:p w14:paraId="50AC0AFE" w14:textId="77777777" w:rsidR="00FD28CE" w:rsidRDefault="0094726E">
      <w:pPr>
        <w:spacing w:line="303" w:lineRule="auto"/>
        <w:rPr>
          <w:rFonts w:ascii="Times New Roman" w:eastAsia="Times New Roman" w:hAnsi="Times New Roman" w:cs="Times New Roman"/>
        </w:rPr>
      </w:pPr>
      <w:r>
        <w:rPr>
          <w:rFonts w:ascii="Times New Roman" w:eastAsia="Times New Roman" w:hAnsi="Times New Roman" w:cs="Times New Roman"/>
        </w:rPr>
        <w:t xml:space="preserve"> </w:t>
      </w:r>
    </w:p>
    <w:p w14:paraId="732E9434" w14:textId="77777777" w:rsidR="00FD28CE" w:rsidRDefault="0094726E">
      <w:pPr>
        <w:rPr>
          <w:b/>
        </w:rPr>
      </w:pPr>
      <w:r>
        <w:rPr>
          <w:b/>
        </w:rPr>
        <w:t>Teacher Education &amp; Administration Departmental Policy Statements:</w:t>
      </w:r>
    </w:p>
    <w:p w14:paraId="5CF8783D" w14:textId="77777777"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14:paraId="4329A4FC" w14:textId="77777777" w:rsidR="00FD28CE" w:rsidRDefault="0094726E">
      <w:pPr>
        <w:spacing w:line="215" w:lineRule="auto"/>
      </w:pPr>
      <w:r>
        <w:rPr>
          <w:i/>
        </w:rPr>
        <w:t xml:space="preserve">UNT Career Connect: </w:t>
      </w:r>
      <w:r>
        <w:t>All undergraduate students are expected to participate in “UNT Career</w:t>
      </w:r>
      <w:r>
        <w:rPr>
          <w:i/>
        </w:rPr>
        <w:t xml:space="preserve"> </w:t>
      </w:r>
      <w:r>
        <w:t xml:space="preserve">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8">
        <w:r>
          <w:rPr>
            <w:color w:val="0000FF"/>
            <w:u w:val="single"/>
          </w:rPr>
          <w:t>http://careerconnect.unt.edu/default</w:t>
        </w:r>
      </w:hyperlink>
      <w:hyperlink r:id="rId19">
        <w:r>
          <w:rPr>
            <w:color w:val="1155CC"/>
            <w:u w:val="single"/>
          </w:rPr>
          <w:t xml:space="preserve"> </w:t>
        </w:r>
      </w:hyperlink>
      <w:r>
        <w:t>.</w:t>
      </w:r>
    </w:p>
    <w:p w14:paraId="2FAB35CF" w14:textId="77777777" w:rsidR="00FD28CE" w:rsidRDefault="0094726E">
      <w:pPr>
        <w:spacing w:line="307" w:lineRule="auto"/>
        <w:rPr>
          <w:rFonts w:ascii="Times New Roman" w:eastAsia="Times New Roman" w:hAnsi="Times New Roman" w:cs="Times New Roman"/>
        </w:rPr>
      </w:pPr>
      <w:r>
        <w:rPr>
          <w:rFonts w:ascii="Times New Roman" w:eastAsia="Times New Roman" w:hAnsi="Times New Roman" w:cs="Times New Roman"/>
        </w:rPr>
        <w:t xml:space="preserve"> </w:t>
      </w:r>
    </w:p>
    <w:p w14:paraId="563C0D01" w14:textId="77777777" w:rsidR="00FD28CE" w:rsidRDefault="0094726E">
      <w:pPr>
        <w:ind w:right="40"/>
      </w:pPr>
      <w:r>
        <w:rPr>
          <w:i/>
        </w:rPr>
        <w:t xml:space="preserve">Disabilities Accommodation: </w:t>
      </w:r>
      <w: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0">
        <w:r>
          <w:rPr>
            <w:color w:val="1155CC"/>
            <w:u w:val="single"/>
          </w:rPr>
          <w:t>http://www.unt.edu/oda</w:t>
        </w:r>
      </w:hyperlink>
      <w:r>
        <w:t>.  You may also contact ODA by phone at (940) 565-4323.</w:t>
      </w:r>
    </w:p>
    <w:p w14:paraId="58CBD227" w14:textId="77777777"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14:paraId="1E4A0680" w14:textId="77777777" w:rsidR="00FD28CE" w:rsidRDefault="0094726E">
      <w:pPr>
        <w:spacing w:line="215" w:lineRule="auto"/>
        <w:ind w:right="400"/>
      </w:pPr>
      <w:r>
        <w:rPr>
          <w:i/>
        </w:rPr>
        <w:lastRenderedPageBreak/>
        <w:t xml:space="preserve">Observation of Religious Holidays: </w:t>
      </w:r>
      <w:r>
        <w:t>If you plan to observe a religious holy day that coincides with a</w:t>
      </w:r>
      <w:r>
        <w:rPr>
          <w:i/>
        </w:rPr>
        <w:t xml:space="preserve"> </w:t>
      </w:r>
      <w:r>
        <w:t>class day, please notify your instructor as soon as possible.</w:t>
      </w:r>
    </w:p>
    <w:p w14:paraId="18E8184C" w14:textId="77777777" w:rsidR="00FD28CE" w:rsidRDefault="0094726E">
      <w:pPr>
        <w:spacing w:line="215" w:lineRule="auto"/>
        <w:ind w:right="400"/>
      </w:pPr>
      <w:r>
        <w:t xml:space="preserve"> </w:t>
      </w:r>
    </w:p>
    <w:p w14:paraId="1AF8CD24" w14:textId="77777777" w:rsidR="00FD28CE" w:rsidRDefault="0094726E">
      <w:r>
        <w:rPr>
          <w:i/>
        </w:rPr>
        <w:t xml:space="preserve">Academic Integrity: </w:t>
      </w:r>
      <w:r>
        <w:t>Students are encouraged to become familiar with UNT’s policy on Student</w:t>
      </w:r>
    </w:p>
    <w:p w14:paraId="55E29407" w14:textId="77777777" w:rsidR="00FD28CE" w:rsidRDefault="0094726E">
      <w:pPr>
        <w:spacing w:line="4" w:lineRule="auto"/>
        <w:rPr>
          <w:rFonts w:ascii="Times New Roman" w:eastAsia="Times New Roman" w:hAnsi="Times New Roman" w:cs="Times New Roman"/>
        </w:rPr>
      </w:pPr>
      <w:r>
        <w:rPr>
          <w:rFonts w:ascii="Times New Roman" w:eastAsia="Times New Roman" w:hAnsi="Times New Roman" w:cs="Times New Roman"/>
        </w:rPr>
        <w:t xml:space="preserve"> </w:t>
      </w:r>
    </w:p>
    <w:p w14:paraId="7055A1FD" w14:textId="77777777" w:rsidR="00FD28CE" w:rsidRDefault="0094726E">
      <w:pPr>
        <w:rPr>
          <w:color w:val="0000FF"/>
          <w:u w:val="single"/>
        </w:rPr>
      </w:pPr>
      <w:r>
        <w:t xml:space="preserve">Standards of Academic Integrity: </w:t>
      </w:r>
      <w:hyperlink r:id="rId21">
        <w:r>
          <w:rPr>
            <w:color w:val="0000FF"/>
            <w:u w:val="single"/>
          </w:rPr>
          <w:t>http://policy.unt.edu/sites/default/files/untpolicy/pdf/7-</w:t>
        </w:r>
      </w:hyperlink>
    </w:p>
    <w:p w14:paraId="203451C3" w14:textId="77777777" w:rsidR="00FD28CE" w:rsidRDefault="002B4AF3">
      <w:pPr>
        <w:spacing w:line="215" w:lineRule="auto"/>
        <w:ind w:right="60"/>
        <w:jc w:val="both"/>
      </w:pPr>
      <w:hyperlink r:id="rId22">
        <w:r w:rsidR="0094726E">
          <w:rPr>
            <w:color w:val="0000FF"/>
            <w:u w:val="single"/>
          </w:rPr>
          <w:t>Student_Affairs-Academic_Integrity.pdf</w:t>
        </w:r>
      </w:hyperlink>
      <w:r w:rsidR="0094726E">
        <w:t>.</w:t>
      </w:r>
      <w:r w:rsidR="0094726E">
        <w:rPr>
          <w:color w:val="0000FF"/>
        </w:rPr>
        <w:t xml:space="preserve"> </w:t>
      </w:r>
      <w:r w:rsidR="0094726E">
        <w:t>Academic dishonesty, in the form of plagiarism, cheating, or</w:t>
      </w:r>
      <w:r w:rsidR="0094726E">
        <w:rPr>
          <w:color w:val="0000FF"/>
        </w:rPr>
        <w:t xml:space="preserve"> </w:t>
      </w:r>
      <w:r w:rsidR="0094726E">
        <w:t>fabrication, will not be tolerated in this class. Any act of academic dishonesty will be reported, and a penalty determined, which may be probation, suspension, or expulsion from the university.</w:t>
      </w:r>
    </w:p>
    <w:p w14:paraId="12315A38" w14:textId="77777777" w:rsidR="00FD28CE" w:rsidRDefault="0094726E">
      <w:pPr>
        <w:spacing w:line="297" w:lineRule="auto"/>
        <w:rPr>
          <w:rFonts w:ascii="Times New Roman" w:eastAsia="Times New Roman" w:hAnsi="Times New Roman" w:cs="Times New Roman"/>
        </w:rPr>
      </w:pPr>
      <w:r>
        <w:rPr>
          <w:rFonts w:ascii="Times New Roman" w:eastAsia="Times New Roman" w:hAnsi="Times New Roman" w:cs="Times New Roman"/>
        </w:rPr>
        <w:t xml:space="preserve"> </w:t>
      </w:r>
    </w:p>
    <w:p w14:paraId="0A5EC88D" w14:textId="77777777" w:rsidR="00FD28CE" w:rsidRDefault="0094726E">
      <w:pPr>
        <w:spacing w:line="215" w:lineRule="auto"/>
        <w:ind w:right="120"/>
      </w:pPr>
      <w:r>
        <w:rPr>
          <w:i/>
        </w:rPr>
        <w:t xml:space="preserve">Acceptable Student Behavior: </w:t>
      </w:r>
      <w:r>
        <w:t>Student behavior that interferes with an instructor’s ability to conduct</w:t>
      </w:r>
      <w:r>
        <w:rPr>
          <w:i/>
        </w:rPr>
        <w:t xml:space="preserve"> </w:t>
      </w:r>
      <w:r>
        <w:t xml:space="preserve">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3">
        <w:r>
          <w:rPr>
            <w:color w:val="0000FF"/>
            <w:u w:val="single"/>
          </w:rPr>
          <w:t>https://deanofstudents.unt.edu/conduct</w:t>
        </w:r>
      </w:hyperlink>
      <w:hyperlink r:id="rId24">
        <w:r>
          <w:t>.</w:t>
        </w:r>
      </w:hyperlink>
    </w:p>
    <w:p w14:paraId="71407128" w14:textId="77777777" w:rsidR="00FD28CE" w:rsidRDefault="0094726E">
      <w:pPr>
        <w:spacing w:line="302" w:lineRule="auto"/>
        <w:rPr>
          <w:rFonts w:ascii="Times New Roman" w:eastAsia="Times New Roman" w:hAnsi="Times New Roman" w:cs="Times New Roman"/>
        </w:rPr>
      </w:pPr>
      <w:r>
        <w:rPr>
          <w:rFonts w:ascii="Times New Roman" w:eastAsia="Times New Roman" w:hAnsi="Times New Roman" w:cs="Times New Roman"/>
        </w:rPr>
        <w:t xml:space="preserve"> </w:t>
      </w:r>
    </w:p>
    <w:p w14:paraId="5042049D" w14:textId="5F0C7D3A" w:rsidR="00FD28CE" w:rsidRDefault="0094726E">
      <w:pPr>
        <w:rPr>
          <w:i/>
        </w:rPr>
      </w:pPr>
      <w:r>
        <w:rPr>
          <w:i/>
        </w:rPr>
        <w:t xml:space="preserve">Attendance: </w:t>
      </w:r>
      <w:r>
        <w:t xml:space="preserve">You are expected to actively participate throughout the </w:t>
      </w:r>
      <w:r w:rsidR="00137DA3">
        <w:t>duration of the course.</w:t>
      </w:r>
    </w:p>
    <w:p w14:paraId="0FB7E942" w14:textId="77777777" w:rsidR="00FD28CE" w:rsidRDefault="0094726E">
      <w:r>
        <w:t xml:space="preserve"> </w:t>
      </w:r>
    </w:p>
    <w:p w14:paraId="1D7C43DF" w14:textId="6102D59C" w:rsidR="00FD28CE" w:rsidRDefault="0094726E">
      <w:r>
        <w:rPr>
          <w:i/>
        </w:rPr>
        <w:t xml:space="preserve">COVID-19 Impact on Attendance: </w:t>
      </w:r>
      <w: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r>
        <w:rPr>
          <w:i/>
        </w:rPr>
        <w:t xml:space="preserve"> </w:t>
      </w:r>
      <w:r>
        <w:t>If you are experiencing any symptoms of COVID-19 (</w:t>
      </w:r>
      <w:hyperlink r:id="rId25">
        <w:r>
          <w:rPr>
            <w:color w:val="1155CC"/>
            <w:u w:val="single"/>
          </w:rPr>
          <w:t>https://www.cdc.gov/coronavirus/2019-ncov/symptoms-testing/symptoms.html</w:t>
        </w:r>
      </w:hyperlink>
      <w:r>
        <w:t xml:space="preserve">)  please seek medical attention from the Student Health and Wellness Center (940-565-2333 or askSHWC@unt.edu) or your health care provider PRIOR to coming to campus. UNT also requires you to contact the UNT COVID Hotline at 844-366-5892 or </w:t>
      </w:r>
      <w:hyperlink r:id="rId26" w:history="1">
        <w:r w:rsidR="00F95502" w:rsidRPr="004D39A2">
          <w:rPr>
            <w:rStyle w:val="Hyperlink"/>
          </w:rPr>
          <w:t>COVID@unt.eduf</w:t>
        </w:r>
      </w:hyperlink>
      <w:r w:rsidR="00F95502">
        <w:t xml:space="preserve"> </w:t>
      </w:r>
      <w:r>
        <w:t>or guidance on actions to take due to symptoms, pending or positive test results, or potential exposure.  While attendance is an important part of succeeding in this class, your own health, and those of others in the community, is more important.</w:t>
      </w:r>
    </w:p>
    <w:p w14:paraId="43449302" w14:textId="77777777"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14:paraId="38C89B21" w14:textId="77777777" w:rsidR="00FD28CE" w:rsidRDefault="0094726E">
      <w:pPr>
        <w:spacing w:line="215" w:lineRule="auto"/>
        <w:ind w:right="760"/>
      </w:pPr>
      <w:r>
        <w:rPr>
          <w:i/>
        </w:rPr>
        <w:t>Eagle Connect</w:t>
      </w:r>
      <w:r>
        <w:t>: All official correspondence between UNT and students is conducted via Eagle</w:t>
      </w:r>
      <w:r>
        <w:rPr>
          <w:i/>
        </w:rPr>
        <w:t xml:space="preserve"> </w:t>
      </w:r>
      <w:r>
        <w:t>Connect and it is the student's responsibility to read their Eagle Connect Email regularly.</w:t>
      </w:r>
    </w:p>
    <w:p w14:paraId="7028FC22" w14:textId="726C86EB" w:rsidR="00FD28CE" w:rsidRPr="00F95502" w:rsidRDefault="0094726E" w:rsidP="00F95502">
      <w:pPr>
        <w:spacing w:line="215" w:lineRule="auto"/>
        <w:ind w:right="760"/>
      </w:pPr>
      <w:r>
        <w:t xml:space="preserve"> </w:t>
      </w:r>
    </w:p>
    <w:p w14:paraId="6F5D95DE" w14:textId="77777777" w:rsidR="00FD28CE" w:rsidRDefault="0094726E">
      <w:pPr>
        <w:ind w:right="80"/>
      </w:pPr>
      <w:r>
        <w:rPr>
          <w:i/>
        </w:rPr>
        <w:t xml:space="preserve">SPOT: </w:t>
      </w:r>
      <w:r>
        <w:t>The Student Perceptions of Teaching (SPOT) is expected for all organized classes at UNT. This</w:t>
      </w:r>
      <w:r>
        <w:rPr>
          <w:i/>
        </w:rPr>
        <w:t xml:space="preserve"> </w:t>
      </w:r>
      <w:r>
        <w:t>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44B46AD" w14:textId="77777777" w:rsidR="00FD28CE" w:rsidRDefault="0094726E">
      <w:pPr>
        <w:ind w:right="80"/>
      </w:pPr>
      <w:r>
        <w:t xml:space="preserve"> </w:t>
      </w:r>
    </w:p>
    <w:p w14:paraId="06E363BF" w14:textId="77777777" w:rsidR="00FD28CE" w:rsidRDefault="0094726E">
      <w:pPr>
        <w:spacing w:line="218" w:lineRule="auto"/>
        <w:ind w:right="880"/>
      </w:pPr>
      <w:r>
        <w:rPr>
          <w:i/>
        </w:rPr>
        <w:t>Collection of Student Work</w:t>
      </w:r>
      <w:r>
        <w:t>: In order to monitor students' achievement, improve instructional</w:t>
      </w:r>
      <w:r>
        <w:rPr>
          <w:i/>
        </w:rPr>
        <w:t xml:space="preserve"> </w:t>
      </w:r>
      <w:r>
        <w:t xml:space="preserve">programs, and publish research findings, the Department of Teacher Education and Administration collects anonymous student work samples, student </w:t>
      </w:r>
      <w:r>
        <w:lastRenderedPageBreak/>
        <w:t>demographic information, test scores, and GPAs to be analyzed by internal and external reviewers.</w:t>
      </w:r>
    </w:p>
    <w:p w14:paraId="5C764477" w14:textId="77777777"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14:paraId="402D7E45" w14:textId="77777777" w:rsidR="00FD28CE" w:rsidRDefault="0094726E">
      <w:pPr>
        <w:spacing w:line="215" w:lineRule="auto"/>
      </w:pPr>
      <w:r>
        <w:rPr>
          <w:i/>
        </w:rPr>
        <w:t xml:space="preserve">Comprehensive Arts Program Policy. </w:t>
      </w:r>
      <w:r>
        <w:t>The Elementary Education program area supports a comprehensive</w:t>
      </w:r>
      <w:r>
        <w:rPr>
          <w:i/>
        </w:rPr>
        <w:t xml:space="preserve"> </w:t>
      </w:r>
      <w:r>
        <w:t xml:space="preserve">arts program to assist preservice and </w:t>
      </w:r>
      <w:proofErr w:type="spellStart"/>
      <w:r>
        <w:t>inservice</w:t>
      </w:r>
      <w:proofErr w:type="spellEnd"/>
      <w:r>
        <w:t xml:space="preserve"> teachers to design and implement curricular and instructional activities which infuse all areas of the arts (visual, music, theater, and movement) throughout the elementary and middle school curriculum.</w:t>
      </w:r>
    </w:p>
    <w:p w14:paraId="2C51EC44" w14:textId="77777777" w:rsidR="00FD28CE" w:rsidRDefault="0094726E">
      <w:pPr>
        <w:spacing w:line="296" w:lineRule="auto"/>
        <w:rPr>
          <w:rFonts w:ascii="Times New Roman" w:eastAsia="Times New Roman" w:hAnsi="Times New Roman" w:cs="Times New Roman"/>
        </w:rPr>
      </w:pPr>
      <w:r>
        <w:rPr>
          <w:rFonts w:ascii="Times New Roman" w:eastAsia="Times New Roman" w:hAnsi="Times New Roman" w:cs="Times New Roman"/>
        </w:rPr>
        <w:t xml:space="preserve"> </w:t>
      </w:r>
    </w:p>
    <w:p w14:paraId="5DE1C651" w14:textId="77777777" w:rsidR="00FD28CE" w:rsidRDefault="0094726E">
      <w:pPr>
        <w:spacing w:line="215" w:lineRule="auto"/>
        <w:ind w:right="1120"/>
      </w:pPr>
      <w:r>
        <w:rPr>
          <w:i/>
        </w:rPr>
        <w:t xml:space="preserve">Technology Integration Policy. </w:t>
      </w:r>
      <w:r>
        <w:t>The Elementary, Secondary, and Curriculum &amp; Instruction program</w:t>
      </w:r>
      <w:r>
        <w:rPr>
          <w:i/>
        </w:rPr>
        <w:t xml:space="preserve"> </w:t>
      </w:r>
      <w:r>
        <w:t xml:space="preserve">areas support technology integration to assist preservice and </w:t>
      </w:r>
      <w:proofErr w:type="spellStart"/>
      <w:r>
        <w:t>inservice</w:t>
      </w:r>
      <w:proofErr w:type="spellEnd"/>
      <w:r>
        <w:t xml:space="preserve"> teachers to design and implement curricular and instruction activities which infuse technology throughout the K-12 curriculum.</w:t>
      </w:r>
    </w:p>
    <w:p w14:paraId="3981F48E" w14:textId="77777777" w:rsidR="00FD28CE" w:rsidRDefault="0094726E">
      <w:pPr>
        <w:ind w:right="80"/>
      </w:pPr>
      <w:r>
        <w:t xml:space="preserve"> </w:t>
      </w:r>
    </w:p>
    <w:p w14:paraId="498FD157" w14:textId="77777777" w:rsidR="00FD28CE" w:rsidRDefault="0094726E">
      <w:pPr>
        <w:ind w:right="860"/>
        <w:rPr>
          <w:color w:val="0000FF"/>
          <w:u w:val="single"/>
        </w:rPr>
      </w:pPr>
      <w:proofErr w:type="spellStart"/>
      <w:r>
        <w:rPr>
          <w:i/>
        </w:rPr>
        <w:t>TExES</w:t>
      </w:r>
      <w:proofErr w:type="spellEnd"/>
      <w:r>
        <w:rPr>
          <w:i/>
        </w:rPr>
        <w:t xml:space="preserve"> Test Preparation</w:t>
      </w:r>
      <w:r>
        <w:t>. To meet state requirements for providing 6 hours of test preparation for</w:t>
      </w:r>
      <w:r>
        <w:rPr>
          <w:i/>
        </w:rPr>
        <w:t xml:space="preserve"> </w:t>
      </w:r>
      <w:r>
        <w:t xml:space="preserve">teacher certification candidates, the UNT </w:t>
      </w:r>
      <w:proofErr w:type="spellStart"/>
      <w:r>
        <w:t>TExES</w:t>
      </w:r>
      <w:proofErr w:type="spellEnd"/>
      <w:r>
        <w:t xml:space="preserve"> Advising Office (TAO) administers the College of Education </w:t>
      </w:r>
      <w:proofErr w:type="spellStart"/>
      <w:r>
        <w:t>TExES</w:t>
      </w:r>
      <w:proofErr w:type="spellEnd"/>
      <w:r>
        <w:t xml:space="preserve"> Practice Exams. Students who want to take a practice exam should contact the TAO (Matthews Hall 103). Students may take up to </w:t>
      </w:r>
      <w:r>
        <w:rPr>
          <w:i/>
        </w:rPr>
        <w:t>two exams</w:t>
      </w:r>
      <w: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t>TExES</w:t>
      </w:r>
      <w:proofErr w:type="spellEnd"/>
      <w:r>
        <w:t xml:space="preserve"> practice exams: Students must (1) be admitted to Teacher Education, (2) have a certification plan on file with the COE Student Advising Office, and (3) be enrolled in coursework for the current semester. For </w:t>
      </w:r>
      <w:proofErr w:type="spellStart"/>
      <w:r>
        <w:t>TExES</w:t>
      </w:r>
      <w:proofErr w:type="spellEnd"/>
      <w:r>
        <w:t xml:space="preserve"> practice exam information and registration, go to: </w:t>
      </w:r>
      <w:hyperlink r:id="rId27">
        <w:r>
          <w:rPr>
            <w:color w:val="0000FF"/>
            <w:u w:val="single"/>
          </w:rPr>
          <w:t>http://www.coe.unt.edu/texes-advising-office/texes-exams</w:t>
        </w:r>
      </w:hyperlink>
      <w:hyperlink r:id="rId28">
        <w:r>
          <w:t xml:space="preserve">. </w:t>
        </w:r>
      </w:hyperlink>
      <w:r>
        <w:rPr>
          <w:color w:val="0000FF"/>
        </w:rPr>
        <w:t xml:space="preserve">If </w:t>
      </w:r>
      <w:r>
        <w:t>you need special testing</w:t>
      </w:r>
      <w:r>
        <w:rPr>
          <w:color w:val="0000FF"/>
        </w:rPr>
        <w:t xml:space="preserve"> </w:t>
      </w:r>
      <w:r>
        <w:t xml:space="preserve">accommodations, please contact the TAO at 940-369-8601or e-mail the TAO at </w:t>
      </w:r>
      <w:r>
        <w:rPr>
          <w:color w:val="0000FF"/>
        </w:rPr>
        <w:t>coe-tao@unt.edu</w:t>
      </w:r>
      <w:r>
        <w:t xml:space="preserve">. The TAO website is </w:t>
      </w:r>
      <w:hyperlink r:id="rId29">
        <w:r>
          <w:rPr>
            <w:color w:val="0000FF"/>
            <w:u w:val="single"/>
          </w:rPr>
          <w:t>www.coe.unt.edu/texes</w:t>
        </w:r>
      </w:hyperlink>
      <w:hyperlink r:id="rId30">
        <w:r>
          <w:rPr>
            <w:u w:val="single"/>
          </w:rPr>
          <w:t xml:space="preserve">. </w:t>
        </w:r>
      </w:hyperlink>
      <w:r>
        <w:t xml:space="preserve">Additional test preparation materials (i.e. Study Guides for the </w:t>
      </w:r>
      <w:proofErr w:type="spellStart"/>
      <w:r>
        <w:t>TExES</w:t>
      </w:r>
      <w:proofErr w:type="spellEnd"/>
      <w:r>
        <w:t xml:space="preserve">) are available at </w:t>
      </w:r>
      <w:hyperlink r:id="rId31">
        <w:r>
          <w:rPr>
            <w:color w:val="0000FF"/>
            <w:u w:val="single"/>
          </w:rPr>
          <w:t>www.texes.ets.org.</w:t>
        </w:r>
      </w:hyperlink>
    </w:p>
    <w:p w14:paraId="2D5EC3B5" w14:textId="77777777" w:rsidR="00FD28CE" w:rsidRDefault="0094726E">
      <w:pPr>
        <w:ind w:right="860"/>
      </w:pPr>
      <w:r>
        <w:rPr>
          <w:i/>
        </w:rPr>
        <w:t>“Ready to Test” Criteria for Teacher Certification Candidates</w:t>
      </w:r>
      <w:r>
        <w:t>. Teacher certification candidates</w:t>
      </w:r>
      <w:r>
        <w:rPr>
          <w:i/>
        </w:rPr>
        <w:t xml:space="preserve"> </w:t>
      </w:r>
      <w:r>
        <w:t xml:space="preserve">should take the </w:t>
      </w:r>
      <w:proofErr w:type="spellStart"/>
      <w:r>
        <w:t>TExES</w:t>
      </w:r>
      <w:proofErr w:type="spellEnd"/>
      <w:r>
        <w:t xml:space="preserve"> exams relating to their respective certification tracks/teaching fields during their early-field-experience semester (i.e. the long semester or summer session immediately prior to student teaching).</w:t>
      </w:r>
    </w:p>
    <w:p w14:paraId="2786CD13" w14:textId="77777777" w:rsidR="00FD28CE" w:rsidRDefault="0094726E">
      <w:pPr>
        <w:spacing w:line="297" w:lineRule="auto"/>
      </w:pPr>
      <w:r>
        <w:t xml:space="preserve"> </w:t>
      </w:r>
    </w:p>
    <w:p w14:paraId="79760EF7" w14:textId="17215559" w:rsidR="00FD28CE" w:rsidRDefault="0094726E">
      <w:pPr>
        <w:ind w:right="900"/>
      </w:pPr>
      <w:r>
        <w:rPr>
          <w:i/>
        </w:rPr>
        <w:t xml:space="preserve">Six Student Success Messages. </w:t>
      </w:r>
      <w:r>
        <w:t>The Department of Teacher Education &amp; Administration supports the</w:t>
      </w:r>
      <w:r>
        <w:rPr>
          <w:i/>
        </w:rPr>
        <w:t xml:space="preserve"> </w:t>
      </w:r>
      <w:r>
        <w:t xml:space="preserve">six student success messages on how to succeed at UNT: (1) Show up; (2) Find support; (3) Get advised; (4) Be prepared; (5) Get involved; and (6) Stay focused. Students are encouraged to access the following website: </w:t>
      </w:r>
      <w:hyperlink r:id="rId32">
        <w:r>
          <w:rPr>
            <w:color w:val="0000FF"/>
            <w:u w:val="single"/>
          </w:rPr>
          <w:t>https://success.unt.edu</w:t>
        </w:r>
      </w:hyperlink>
      <w:hyperlink r:id="rId33">
        <w:r>
          <w:rPr>
            <w:color w:val="1155CC"/>
            <w:u w:val="single"/>
          </w:rPr>
          <w:t xml:space="preserve">. </w:t>
        </w:r>
      </w:hyperlink>
      <w:r>
        <w:t>The site contains multiple student resource links and short videos with student messages.</w:t>
      </w:r>
    </w:p>
    <w:p w14:paraId="74D4039B" w14:textId="049B4E11" w:rsidR="005D73DC" w:rsidRDefault="005D73DC">
      <w:pPr>
        <w:ind w:right="900"/>
      </w:pPr>
    </w:p>
    <w:p w14:paraId="550EA649" w14:textId="2E0E1CA2" w:rsidR="005D73DC" w:rsidRDefault="005D73DC">
      <w:pPr>
        <w:ind w:right="900"/>
      </w:pPr>
    </w:p>
    <w:p w14:paraId="6E6D2BB8" w14:textId="6D332CE0" w:rsidR="005D73DC" w:rsidRDefault="005D73DC">
      <w:pPr>
        <w:ind w:right="900"/>
      </w:pPr>
    </w:p>
    <w:p w14:paraId="5F4D711A" w14:textId="38F8E9A8" w:rsidR="005D73DC" w:rsidRDefault="005D73DC">
      <w:pPr>
        <w:ind w:right="900"/>
      </w:pPr>
    </w:p>
    <w:p w14:paraId="4028AB7F" w14:textId="7347FC54" w:rsidR="005D73DC" w:rsidRDefault="005D73DC">
      <w:pPr>
        <w:ind w:right="900"/>
      </w:pPr>
    </w:p>
    <w:p w14:paraId="2BA81083" w14:textId="698E3DF1" w:rsidR="005D73DC" w:rsidRDefault="005D73DC">
      <w:pPr>
        <w:ind w:right="900"/>
      </w:pPr>
    </w:p>
    <w:p w14:paraId="10EB23EA" w14:textId="27CD87EC" w:rsidR="005D73DC" w:rsidRDefault="005D73DC">
      <w:pPr>
        <w:ind w:right="900"/>
      </w:pPr>
    </w:p>
    <w:p w14:paraId="12E44041" w14:textId="5981B715" w:rsidR="005D73DC" w:rsidRDefault="005D73DC">
      <w:pPr>
        <w:ind w:right="900"/>
      </w:pPr>
    </w:p>
    <w:p w14:paraId="6590AA2F" w14:textId="77777777" w:rsidR="005D73DC" w:rsidRDefault="005D73DC" w:rsidP="005D73DC">
      <w:pPr>
        <w:spacing w:line="240" w:lineRule="auto"/>
        <w:jc w:val="center"/>
        <w:rPr>
          <w:rFonts w:ascii="Times New Roman" w:eastAsia="Times New Roman" w:hAnsi="Times New Roman" w:cs="Times New Roman"/>
        </w:rPr>
      </w:pPr>
      <w:r w:rsidRPr="60753D39">
        <w:rPr>
          <w:rFonts w:ascii="Times New Roman" w:eastAsia="Times New Roman" w:hAnsi="Times New Roman" w:cs="Times New Roman"/>
          <w:b/>
          <w:bCs/>
        </w:rPr>
        <w:lastRenderedPageBreak/>
        <w:t>UNT TEACHER EDUCATION PROGRAM</w:t>
      </w:r>
      <w:r w:rsidRPr="60753D39">
        <w:rPr>
          <w:rFonts w:ascii="Times New Roman" w:eastAsia="Times New Roman" w:hAnsi="Times New Roman" w:cs="Times New Roman"/>
        </w:rPr>
        <w:t xml:space="preserve"> </w:t>
      </w:r>
    </w:p>
    <w:p w14:paraId="79DDB944" w14:textId="77777777" w:rsidR="005D73DC" w:rsidRDefault="005D73DC" w:rsidP="005D73DC">
      <w:pPr>
        <w:spacing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COMMITMENTS </w:t>
      </w:r>
    </w:p>
    <w:p w14:paraId="4A1970FF" w14:textId="77777777" w:rsidR="005D73DC" w:rsidRDefault="005D73DC" w:rsidP="005D73DC">
      <w:pPr>
        <w:jc w:val="center"/>
      </w:pPr>
      <w:r w:rsidRPr="52734776">
        <w:rPr>
          <w:rFonts w:ascii="Times New Roman" w:eastAsia="Times New Roman" w:hAnsi="Times New Roman" w:cs="Times New Roman"/>
        </w:rPr>
        <w:t xml:space="preserve"> </w:t>
      </w:r>
    </w:p>
    <w:p w14:paraId="4D10B3E3" w14:textId="77777777" w:rsidR="005D73DC" w:rsidRDefault="005D73DC" w:rsidP="005D73DC">
      <w:pPr>
        <w:rPr>
          <w:rFonts w:ascii="Times New Roman" w:eastAsia="Times New Roman" w:hAnsi="Times New Roman" w:cs="Times New Roman"/>
          <w:i/>
          <w:iCs/>
          <w:color w:val="000000" w:themeColor="text1"/>
        </w:rPr>
      </w:pPr>
      <w:r w:rsidRPr="60753D39">
        <w:rPr>
          <w:rFonts w:ascii="Times New Roman" w:eastAsia="Times New Roman" w:hAnsi="Times New Roman" w:cs="Times New Roman"/>
          <w:color w:val="000000" w:themeColor="text1"/>
        </w:rPr>
        <w:t>While teaching has always been a relational and intellectual endeavor, we acknowledge that</w:t>
      </w:r>
      <w:r w:rsidRPr="60753D39">
        <w:rPr>
          <w:rFonts w:ascii="Times New Roman" w:eastAsia="Times New Roman" w:hAnsi="Times New Roman" w:cs="Times New Roman"/>
          <w:i/>
          <w:iCs/>
          <w:color w:val="000000" w:themeColor="text1"/>
        </w:rPr>
        <w:t xml:space="preserve"> teaching is also both an ethical and a political act.</w:t>
      </w:r>
      <w:r w:rsidRPr="60753D39">
        <w:rPr>
          <w:rFonts w:ascii="Times New Roman" w:eastAsia="Times New Roman" w:hAnsi="Times New Roman" w:cs="Times New Roman"/>
          <w:color w:val="000000" w:themeColor="text1"/>
        </w:rPr>
        <w:t xml:space="preserve"> We recognize that many of the practices and traditions in schools today perpetuate long-seated historical and social oppressions. These social inequities are structural </w:t>
      </w:r>
      <w:r w:rsidRPr="60753D39">
        <w:rPr>
          <w:rFonts w:ascii="Times New Roman" w:eastAsia="Times New Roman" w:hAnsi="Times New Roman" w:cs="Times New Roman"/>
          <w:i/>
          <w:iCs/>
          <w:color w:val="000000" w:themeColor="text1"/>
        </w:rPr>
        <w:t xml:space="preserve">and </w:t>
      </w:r>
      <w:r w:rsidRPr="60753D39">
        <w:rPr>
          <w:rFonts w:ascii="Times New Roman" w:eastAsia="Times New Roman" w:hAnsi="Times New Roman" w:cs="Times New Roman"/>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14D1EFB9" w14:textId="77777777" w:rsidR="005D73DC" w:rsidRDefault="005D73DC" w:rsidP="005D73DC">
      <w:pPr>
        <w:rPr>
          <w:rFonts w:ascii="Times New Roman" w:eastAsia="Times New Roman" w:hAnsi="Times New Roman" w:cs="Times New Roman"/>
          <w:color w:val="000000" w:themeColor="text1"/>
        </w:rPr>
      </w:pPr>
      <w:r w:rsidRPr="60753D39">
        <w:rPr>
          <w:rFonts w:ascii="Times New Roman" w:eastAsia="Times New Roman" w:hAnsi="Times New Roman" w:cs="Times New Roman"/>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54E64108" w14:textId="77777777" w:rsidR="005D73DC" w:rsidRDefault="005D73DC" w:rsidP="005D73DC">
      <w:pPr>
        <w:pStyle w:val="ListParagraph"/>
        <w:numPr>
          <w:ilvl w:val="0"/>
          <w:numId w:val="3"/>
        </w:numPr>
        <w:spacing w:after="160" w:line="259" w:lineRule="auto"/>
        <w:rPr>
          <w:rFonts w:eastAsiaTheme="minorEastAsia"/>
          <w:b/>
          <w:bCs/>
          <w:color w:val="000000" w:themeColor="text1"/>
        </w:rPr>
      </w:pPr>
      <w:r w:rsidRPr="60753D39">
        <w:rPr>
          <w:rFonts w:ascii="Times New Roman" w:eastAsia="Times New Roman" w:hAnsi="Times New Roman" w:cs="Times New Roman"/>
          <w:b/>
          <w:bCs/>
          <w:color w:val="000000" w:themeColor="text1"/>
        </w:rPr>
        <w:t xml:space="preserve">Identity. </w:t>
      </w:r>
      <w:r w:rsidRPr="60753D39">
        <w:rPr>
          <w:rFonts w:ascii="Times New Roman" w:eastAsia="Times New Roman" w:hAnsi="Times New Roman" w:cs="Times New Roman"/>
          <w:color w:val="000000" w:themeColor="text1"/>
        </w:rPr>
        <w:t>Preparing teachers who have agency and critically reflect on their lived experiences and identities as a way of informing their professional knowledge and humanizing pedagogies.</w:t>
      </w:r>
    </w:p>
    <w:p w14:paraId="2059ABEC" w14:textId="77777777" w:rsidR="005D73DC" w:rsidRDefault="005D73DC" w:rsidP="005D73DC">
      <w:pPr>
        <w:pStyle w:val="ListParagraph"/>
        <w:numPr>
          <w:ilvl w:val="0"/>
          <w:numId w:val="3"/>
        </w:numPr>
        <w:spacing w:after="160" w:line="259" w:lineRule="auto"/>
        <w:rPr>
          <w:rFonts w:eastAsiaTheme="minorEastAsia"/>
          <w:b/>
          <w:bCs/>
          <w:color w:val="000000" w:themeColor="text1"/>
        </w:rPr>
      </w:pPr>
      <w:r w:rsidRPr="60753D39">
        <w:rPr>
          <w:rFonts w:ascii="Times New Roman" w:eastAsia="Times New Roman" w:hAnsi="Times New Roman" w:cs="Times New Roman"/>
          <w:b/>
          <w:bCs/>
          <w:color w:val="000000" w:themeColor="text1"/>
        </w:rPr>
        <w:t xml:space="preserve">Inquiry. </w:t>
      </w:r>
      <w:r w:rsidRPr="60753D39">
        <w:rPr>
          <w:rFonts w:ascii="Times New Roman" w:eastAsia="Times New Roman" w:hAnsi="Times New Roman" w:cs="Times New Roman"/>
          <w:color w:val="000000" w:themeColor="text1"/>
        </w:rPr>
        <w:t>Preparing teachers who value and inquire into the complex identities, as well as intellectual and transformational capacities, of children and youth.</w:t>
      </w:r>
    </w:p>
    <w:p w14:paraId="2B25324F" w14:textId="77777777" w:rsidR="005D73DC" w:rsidRDefault="005D73DC" w:rsidP="005D73DC">
      <w:pPr>
        <w:pStyle w:val="ListParagraph"/>
        <w:numPr>
          <w:ilvl w:val="0"/>
          <w:numId w:val="3"/>
        </w:numPr>
        <w:spacing w:after="160" w:line="259" w:lineRule="auto"/>
        <w:rPr>
          <w:rFonts w:eastAsiaTheme="minorEastAsia"/>
          <w:color w:val="000000" w:themeColor="text1"/>
        </w:rPr>
      </w:pPr>
      <w:r w:rsidRPr="60753D39">
        <w:rPr>
          <w:rFonts w:ascii="Times New Roman" w:eastAsia="Times New Roman" w:hAnsi="Times New Roman" w:cs="Times New Roman"/>
          <w:b/>
          <w:bCs/>
          <w:color w:val="000000" w:themeColor="text1"/>
        </w:rPr>
        <w:t xml:space="preserve">Activism. </w:t>
      </w:r>
      <w:r w:rsidRPr="60753D39">
        <w:rPr>
          <w:rFonts w:ascii="Times New Roman" w:eastAsia="Times New Roman" w:hAnsi="Times New Roman" w:cs="Times New Roman"/>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4D07D5AB" w14:textId="77777777" w:rsidR="005D73DC" w:rsidRDefault="005D73DC" w:rsidP="005D73DC">
      <w:pPr>
        <w:pStyle w:val="ListParagraph"/>
        <w:numPr>
          <w:ilvl w:val="0"/>
          <w:numId w:val="3"/>
        </w:numPr>
        <w:spacing w:after="160" w:line="259" w:lineRule="auto"/>
        <w:rPr>
          <w:color w:val="000000" w:themeColor="text1"/>
        </w:rPr>
      </w:pPr>
      <w:r w:rsidRPr="60753D39">
        <w:rPr>
          <w:rFonts w:ascii="Times New Roman" w:eastAsia="Times New Roman" w:hAnsi="Times New Roman" w:cs="Times New Roman"/>
          <w:b/>
          <w:bCs/>
          <w:color w:val="000000" w:themeColor="text1"/>
        </w:rPr>
        <w:t xml:space="preserve">Community. </w:t>
      </w:r>
      <w:r w:rsidRPr="60753D39">
        <w:rPr>
          <w:rFonts w:ascii="Times New Roman" w:eastAsia="Times New Roman" w:hAnsi="Times New Roman" w:cs="Times New Roman"/>
          <w:color w:val="000000" w:themeColor="text1"/>
        </w:rPr>
        <w:t>Preparing teachers who recognize and honor the unique sociocultural experiences and communities of children and youth with whom they work.</w:t>
      </w:r>
    </w:p>
    <w:p w14:paraId="409CDA36" w14:textId="77777777" w:rsidR="005D73DC" w:rsidRDefault="005D73DC" w:rsidP="005D73DC">
      <w:pPr>
        <w:rPr>
          <w:rFonts w:ascii="Times New Roman" w:eastAsia="Times New Roman" w:hAnsi="Times New Roman" w:cs="Times New Roman"/>
          <w:color w:val="000000" w:themeColor="text1"/>
        </w:rPr>
      </w:pPr>
      <w:r w:rsidRPr="60753D39">
        <w:rPr>
          <w:rFonts w:ascii="Times New Roman" w:eastAsia="Times New Roman" w:hAnsi="Times New Roman" w:cs="Times New Roman"/>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5C6C2255" w14:textId="77777777" w:rsidR="005D73DC" w:rsidRDefault="005D73DC" w:rsidP="005D73D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3B6DF31E" w14:textId="77777777" w:rsidR="005D73DC" w:rsidRPr="00C3541F" w:rsidRDefault="005D73DC" w:rsidP="005D73DC">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b/>
          <w:bCs/>
          <w:sz w:val="24"/>
          <w:szCs w:val="24"/>
        </w:rPr>
        <w:lastRenderedPageBreak/>
        <w:t>Teacher Preparation at The University of North Texas</w:t>
      </w:r>
      <w:r w:rsidRPr="00C3541F">
        <w:rPr>
          <w:rFonts w:ascii="Times" w:eastAsia="Times New Roman" w:hAnsi="Times" w:cs="Segoe UI"/>
          <w:sz w:val="24"/>
          <w:szCs w:val="24"/>
        </w:rPr>
        <w:t> </w:t>
      </w:r>
    </w:p>
    <w:p w14:paraId="04149062" w14:textId="77777777" w:rsidR="005D73DC" w:rsidRPr="00C3541F" w:rsidRDefault="005D73DC" w:rsidP="005D73DC">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b/>
          <w:bCs/>
          <w:sz w:val="24"/>
          <w:szCs w:val="24"/>
        </w:rPr>
        <w:t>Core Commitments </w:t>
      </w:r>
      <w:r w:rsidRPr="00C3541F">
        <w:rPr>
          <w:rFonts w:ascii="Times" w:eastAsia="Times New Roman" w:hAnsi="Times" w:cs="Segoe UI"/>
          <w:sz w:val="24"/>
          <w:szCs w:val="24"/>
        </w:rPr>
        <w:t> </w:t>
      </w:r>
    </w:p>
    <w:p w14:paraId="23F3A1D9" w14:textId="77777777" w:rsidR="005D73DC" w:rsidRPr="00C3541F" w:rsidRDefault="005D73DC" w:rsidP="005D73DC">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sz w:val="24"/>
          <w:szCs w:val="24"/>
        </w:rPr>
        <w:t> </w:t>
      </w: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2528"/>
        <w:gridCol w:w="2335"/>
        <w:gridCol w:w="2035"/>
        <w:gridCol w:w="2084"/>
      </w:tblGrid>
      <w:tr w:rsidR="005D73DC" w:rsidRPr="00C3541F" w14:paraId="14DF2D24" w14:textId="77777777" w:rsidTr="00F36785">
        <w:tc>
          <w:tcPr>
            <w:tcW w:w="14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4B5AE" w14:textId="77777777" w:rsidR="005D73DC" w:rsidRPr="00C3541F" w:rsidRDefault="005D73DC" w:rsidP="00F36785">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Commitments-&gt;</w:t>
            </w:r>
            <w:r w:rsidRPr="00C3541F">
              <w:rPr>
                <w:rFonts w:ascii="Times" w:eastAsia="Times New Roman" w:hAnsi="Times" w:cs="Times New Roman"/>
                <w:sz w:val="24"/>
                <w:szCs w:val="24"/>
              </w:rPr>
              <w:t> </w:t>
            </w:r>
          </w:p>
        </w:tc>
        <w:tc>
          <w:tcPr>
            <w:tcW w:w="2442" w:type="dxa"/>
            <w:tcBorders>
              <w:top w:val="single" w:sz="6" w:space="0" w:color="auto"/>
              <w:left w:val="nil"/>
              <w:bottom w:val="single" w:sz="6" w:space="0" w:color="auto"/>
              <w:right w:val="single" w:sz="6" w:space="0" w:color="auto"/>
            </w:tcBorders>
            <w:shd w:val="clear" w:color="auto" w:fill="auto"/>
            <w:vAlign w:val="center"/>
            <w:hideMark/>
          </w:tcPr>
          <w:p w14:paraId="680AC8B9" w14:textId="77777777" w:rsidR="005D73DC" w:rsidRPr="00C3541F" w:rsidRDefault="005D73DC" w:rsidP="00F36785">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As Teachers</w:t>
            </w:r>
            <w:r w:rsidRPr="00C3541F">
              <w:rPr>
                <w:rFonts w:ascii="Times" w:eastAsia="Times New Roman" w:hAnsi="Times" w:cs="Times New Roman"/>
                <w:sz w:val="24"/>
                <w:szCs w:val="24"/>
              </w:rPr>
              <w:t> </w:t>
            </w:r>
          </w:p>
        </w:tc>
        <w:tc>
          <w:tcPr>
            <w:tcW w:w="2255" w:type="dxa"/>
            <w:tcBorders>
              <w:top w:val="single" w:sz="6" w:space="0" w:color="auto"/>
              <w:left w:val="nil"/>
              <w:bottom w:val="single" w:sz="6" w:space="0" w:color="auto"/>
              <w:right w:val="single" w:sz="6" w:space="0" w:color="auto"/>
            </w:tcBorders>
            <w:shd w:val="clear" w:color="auto" w:fill="auto"/>
            <w:vAlign w:val="center"/>
            <w:hideMark/>
          </w:tcPr>
          <w:p w14:paraId="00C34C5C" w14:textId="77777777" w:rsidR="005D73DC" w:rsidRPr="00C3541F" w:rsidRDefault="005D73DC" w:rsidP="00F36785">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To Children and Youth</w:t>
            </w:r>
            <w:r w:rsidRPr="00C3541F">
              <w:rPr>
                <w:rFonts w:ascii="Times" w:eastAsia="Times New Roman" w:hAnsi="Times" w:cs="Times New Roman"/>
                <w:sz w:val="24"/>
                <w:szCs w:val="24"/>
              </w:rPr>
              <w:t> </w:t>
            </w:r>
          </w:p>
        </w:tc>
        <w:tc>
          <w:tcPr>
            <w:tcW w:w="1966" w:type="dxa"/>
            <w:tcBorders>
              <w:top w:val="single" w:sz="6" w:space="0" w:color="auto"/>
              <w:left w:val="nil"/>
              <w:bottom w:val="single" w:sz="6" w:space="0" w:color="auto"/>
              <w:right w:val="single" w:sz="6" w:space="0" w:color="auto"/>
            </w:tcBorders>
            <w:shd w:val="clear" w:color="auto" w:fill="auto"/>
            <w:vAlign w:val="center"/>
            <w:hideMark/>
          </w:tcPr>
          <w:p w14:paraId="5F550F28" w14:textId="77777777" w:rsidR="005D73DC" w:rsidRPr="00C3541F" w:rsidRDefault="005D73DC" w:rsidP="00F36785">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In our Practice</w:t>
            </w:r>
            <w:r w:rsidRPr="00C3541F">
              <w:rPr>
                <w:rFonts w:ascii="Times" w:eastAsia="Times New Roman" w:hAnsi="Times" w:cs="Times New Roman"/>
                <w:sz w:val="24"/>
                <w:szCs w:val="24"/>
              </w:rPr>
              <w:t> </w:t>
            </w:r>
          </w:p>
        </w:tc>
        <w:tc>
          <w:tcPr>
            <w:tcW w:w="2373" w:type="dxa"/>
            <w:tcBorders>
              <w:top w:val="single" w:sz="6" w:space="0" w:color="auto"/>
              <w:left w:val="nil"/>
              <w:bottom w:val="single" w:sz="6" w:space="0" w:color="auto"/>
              <w:right w:val="single" w:sz="6" w:space="0" w:color="auto"/>
            </w:tcBorders>
            <w:shd w:val="clear" w:color="auto" w:fill="auto"/>
            <w:vAlign w:val="center"/>
            <w:hideMark/>
          </w:tcPr>
          <w:p w14:paraId="5D33520A" w14:textId="77777777" w:rsidR="005D73DC" w:rsidRPr="00C3541F" w:rsidRDefault="005D73DC" w:rsidP="00F36785">
            <w:pPr>
              <w:spacing w:line="240" w:lineRule="auto"/>
              <w:jc w:val="center"/>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 To Radically Imagine</w:t>
            </w:r>
            <w:r w:rsidRPr="00C3541F">
              <w:rPr>
                <w:rFonts w:ascii="Times" w:eastAsia="Times New Roman" w:hAnsi="Times" w:cs="Times New Roman"/>
                <w:sz w:val="24"/>
                <w:szCs w:val="24"/>
              </w:rPr>
              <w:t> </w:t>
            </w:r>
          </w:p>
        </w:tc>
      </w:tr>
      <w:tr w:rsidR="005D73DC" w:rsidRPr="00C3541F" w14:paraId="61C1A2FC" w14:textId="77777777" w:rsidTr="00F36785">
        <w:tc>
          <w:tcPr>
            <w:tcW w:w="1494" w:type="dxa"/>
            <w:tcBorders>
              <w:top w:val="nil"/>
              <w:left w:val="single" w:sz="6" w:space="0" w:color="auto"/>
              <w:bottom w:val="single" w:sz="6" w:space="0" w:color="auto"/>
              <w:right w:val="single" w:sz="6" w:space="0" w:color="auto"/>
            </w:tcBorders>
            <w:shd w:val="clear" w:color="auto" w:fill="auto"/>
            <w:vAlign w:val="center"/>
            <w:hideMark/>
          </w:tcPr>
          <w:p w14:paraId="50D379F2"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Identity</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5BFA17C6"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individuals with cultural histories, knowledges, talents, and interests that we use as resources in our teaching. </w:t>
            </w:r>
          </w:p>
        </w:tc>
        <w:tc>
          <w:tcPr>
            <w:tcW w:w="2255" w:type="dxa"/>
            <w:tcBorders>
              <w:top w:val="nil"/>
              <w:left w:val="nil"/>
              <w:bottom w:val="single" w:sz="6" w:space="0" w:color="auto"/>
              <w:right w:val="single" w:sz="6" w:space="0" w:color="auto"/>
            </w:tcBorders>
            <w:shd w:val="clear" w:color="auto" w:fill="auto"/>
            <w:hideMark/>
          </w:tcPr>
          <w:p w14:paraId="246EDF1F"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 </w:t>
            </w:r>
            <w:r w:rsidRPr="00C3541F">
              <w:rPr>
                <w:rFonts w:ascii="Times" w:eastAsia="Times New Roman" w:hAnsi="Times" w:cs="Times New Roman"/>
                <w:sz w:val="24"/>
                <w:szCs w:val="24"/>
              </w:rPr>
              <w:t>and nurture the love, grace, humor, compassion, creativity, patience, joy, and peace young people bring into our teaching spaces.  </w:t>
            </w:r>
          </w:p>
        </w:tc>
        <w:tc>
          <w:tcPr>
            <w:tcW w:w="1966" w:type="dxa"/>
            <w:tcBorders>
              <w:top w:val="nil"/>
              <w:left w:val="nil"/>
              <w:bottom w:val="single" w:sz="6" w:space="0" w:color="auto"/>
              <w:right w:val="single" w:sz="6" w:space="0" w:color="auto"/>
            </w:tcBorders>
            <w:shd w:val="clear" w:color="auto" w:fill="auto"/>
            <w:hideMark/>
          </w:tcPr>
          <w:p w14:paraId="4C727A15"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humanizing pedagogies that are asset-based, equitable, and appreciative of who we are and who we are becoming. </w:t>
            </w:r>
          </w:p>
        </w:tc>
        <w:tc>
          <w:tcPr>
            <w:tcW w:w="2373" w:type="dxa"/>
            <w:tcBorders>
              <w:top w:val="nil"/>
              <w:left w:val="nil"/>
              <w:bottom w:val="single" w:sz="6" w:space="0" w:color="auto"/>
              <w:right w:val="single" w:sz="6" w:space="0" w:color="auto"/>
            </w:tcBorders>
            <w:shd w:val="clear" w:color="auto" w:fill="auto"/>
            <w:hideMark/>
          </w:tcPr>
          <w:p w14:paraId="5EC25EF4"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 </w:t>
            </w:r>
            <w:r w:rsidRPr="00C3541F">
              <w:rPr>
                <w:rFonts w:ascii="Times" w:eastAsia="Times New Roman" w:hAnsi="Times" w:cs="Times New Roman"/>
                <w:sz w:val="24"/>
                <w:szCs w:val="24"/>
              </w:rPr>
              <w:t>schools as spaces where teachers are encouraged and given space to be different in what they do with young people and their communities.  </w:t>
            </w:r>
          </w:p>
        </w:tc>
      </w:tr>
      <w:tr w:rsidR="005D73DC" w:rsidRPr="00C3541F" w14:paraId="52103A26" w14:textId="77777777" w:rsidTr="00F36785">
        <w:tc>
          <w:tcPr>
            <w:tcW w:w="1494" w:type="dxa"/>
            <w:tcBorders>
              <w:top w:val="nil"/>
              <w:left w:val="single" w:sz="6" w:space="0" w:color="auto"/>
              <w:bottom w:val="single" w:sz="6" w:space="0" w:color="auto"/>
              <w:right w:val="single" w:sz="6" w:space="0" w:color="auto"/>
            </w:tcBorders>
            <w:shd w:val="clear" w:color="auto" w:fill="auto"/>
            <w:vAlign w:val="center"/>
            <w:hideMark/>
          </w:tcPr>
          <w:p w14:paraId="5C969069"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Inquiry</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172EF772"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intellectuals with a deep understanding of academic content, curriculum development, and flexible pedagogies.  </w:t>
            </w:r>
          </w:p>
        </w:tc>
        <w:tc>
          <w:tcPr>
            <w:tcW w:w="2255" w:type="dxa"/>
            <w:tcBorders>
              <w:top w:val="nil"/>
              <w:left w:val="nil"/>
              <w:bottom w:val="single" w:sz="6" w:space="0" w:color="auto"/>
              <w:right w:val="single" w:sz="6" w:space="0" w:color="auto"/>
            </w:tcBorders>
            <w:shd w:val="clear" w:color="auto" w:fill="auto"/>
            <w:hideMark/>
          </w:tcPr>
          <w:p w14:paraId="7FD78815"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w:t>
            </w:r>
            <w:r w:rsidRPr="00C3541F">
              <w:rPr>
                <w:rFonts w:ascii="Times" w:eastAsia="Times New Roman" w:hAnsi="Times" w:cs="Times New Roman"/>
                <w:sz w:val="24"/>
                <w:szCs w:val="24"/>
              </w:rPr>
              <w:t> young people’s knowledge, creativity, curiosity, aesthetics, imagination, and embodied ways of being as essential, educative and liberating </w:t>
            </w:r>
          </w:p>
        </w:tc>
        <w:tc>
          <w:tcPr>
            <w:tcW w:w="1966" w:type="dxa"/>
            <w:tcBorders>
              <w:top w:val="nil"/>
              <w:left w:val="nil"/>
              <w:bottom w:val="single" w:sz="6" w:space="0" w:color="auto"/>
              <w:right w:val="single" w:sz="6" w:space="0" w:color="auto"/>
            </w:tcBorders>
            <w:shd w:val="clear" w:color="auto" w:fill="auto"/>
            <w:hideMark/>
          </w:tcPr>
          <w:p w14:paraId="0A8C8C43"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curriculum as critical inquiry and research where children and youth are positioned as capable, knowledgeable and social agents for change. </w:t>
            </w:r>
          </w:p>
        </w:tc>
        <w:tc>
          <w:tcPr>
            <w:tcW w:w="2373" w:type="dxa"/>
            <w:tcBorders>
              <w:top w:val="nil"/>
              <w:left w:val="nil"/>
              <w:bottom w:val="single" w:sz="6" w:space="0" w:color="auto"/>
              <w:right w:val="single" w:sz="6" w:space="0" w:color="auto"/>
            </w:tcBorders>
            <w:shd w:val="clear" w:color="auto" w:fill="auto"/>
            <w:hideMark/>
          </w:tcPr>
          <w:p w14:paraId="4CED98EA"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a curriculum in schools that is shaped by societal goals and influenced daily by events unfolding in the world around us.</w:t>
            </w:r>
            <w:r w:rsidRPr="00C3541F">
              <w:rPr>
                <w:rFonts w:ascii="Times" w:eastAsia="Times New Roman" w:hAnsi="Times" w:cs="Times New Roman"/>
                <w:b/>
                <w:bCs/>
                <w:sz w:val="24"/>
                <w:szCs w:val="24"/>
              </w:rPr>
              <w:t> </w:t>
            </w:r>
            <w:r w:rsidRPr="00C3541F">
              <w:rPr>
                <w:rFonts w:ascii="Times" w:eastAsia="Times New Roman" w:hAnsi="Times" w:cs="Times New Roman"/>
                <w:sz w:val="24"/>
                <w:szCs w:val="24"/>
              </w:rPr>
              <w:t> </w:t>
            </w:r>
          </w:p>
        </w:tc>
      </w:tr>
      <w:tr w:rsidR="005D73DC" w:rsidRPr="00C3541F" w14:paraId="4A1BE739" w14:textId="77777777" w:rsidTr="00F36785">
        <w:tc>
          <w:tcPr>
            <w:tcW w:w="1494" w:type="dxa"/>
            <w:tcBorders>
              <w:top w:val="nil"/>
              <w:left w:val="single" w:sz="6" w:space="0" w:color="auto"/>
              <w:bottom w:val="single" w:sz="6" w:space="0" w:color="auto"/>
              <w:right w:val="single" w:sz="6" w:space="0" w:color="auto"/>
            </w:tcBorders>
            <w:shd w:val="clear" w:color="auto" w:fill="auto"/>
            <w:vAlign w:val="center"/>
            <w:hideMark/>
          </w:tcPr>
          <w:p w14:paraId="5393A848"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Advocacy &amp; </w:t>
            </w:r>
            <w:r w:rsidRPr="00C3541F">
              <w:rPr>
                <w:rFonts w:ascii="Times" w:eastAsia="Times New Roman" w:hAnsi="Times" w:cs="Times New Roman"/>
                <w:sz w:val="24"/>
                <w:szCs w:val="24"/>
              </w:rPr>
              <w:t> </w:t>
            </w:r>
          </w:p>
          <w:p w14:paraId="62ABC23F"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Activism</w:t>
            </w: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7247E0E5"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activists working against injustice for young people, teachers, and communities rooted in racism and other forms of discrimination.  </w:t>
            </w:r>
          </w:p>
        </w:tc>
        <w:tc>
          <w:tcPr>
            <w:tcW w:w="2255" w:type="dxa"/>
            <w:tcBorders>
              <w:top w:val="nil"/>
              <w:left w:val="nil"/>
              <w:bottom w:val="single" w:sz="6" w:space="0" w:color="auto"/>
              <w:right w:val="single" w:sz="6" w:space="0" w:color="auto"/>
            </w:tcBorders>
            <w:shd w:val="clear" w:color="auto" w:fill="auto"/>
            <w:hideMark/>
          </w:tcPr>
          <w:p w14:paraId="4A8BB49E"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 </w:t>
            </w:r>
            <w:r w:rsidRPr="00C3541F">
              <w:rPr>
                <w:rFonts w:ascii="Times" w:eastAsia="Times New Roman" w:hAnsi="Times" w:cs="Times New Roman"/>
                <w:sz w:val="24"/>
                <w:szCs w:val="24"/>
              </w:rPr>
              <w:t>and embody caring in all its forms – personal, social, cultural, linguistic, and ecological – as essential to growing a positive learning and living environment. </w:t>
            </w:r>
          </w:p>
        </w:tc>
        <w:tc>
          <w:tcPr>
            <w:tcW w:w="1966" w:type="dxa"/>
            <w:tcBorders>
              <w:top w:val="nil"/>
              <w:left w:val="nil"/>
              <w:bottom w:val="single" w:sz="6" w:space="0" w:color="auto"/>
              <w:right w:val="single" w:sz="6" w:space="0" w:color="auto"/>
            </w:tcBorders>
            <w:shd w:val="clear" w:color="auto" w:fill="auto"/>
            <w:hideMark/>
          </w:tcPr>
          <w:p w14:paraId="6C9CDBF3"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xml:space="preserve"> activism in the curriculum by engaging children and youth in work that contributes to the creation </w:t>
            </w:r>
            <w:proofErr w:type="gramStart"/>
            <w:r w:rsidRPr="00C3541F">
              <w:rPr>
                <w:rFonts w:ascii="Times" w:eastAsia="Times New Roman" w:hAnsi="Times" w:cs="Times New Roman"/>
                <w:sz w:val="24"/>
                <w:szCs w:val="24"/>
              </w:rPr>
              <w:t>of  more</w:t>
            </w:r>
            <w:proofErr w:type="gramEnd"/>
            <w:r w:rsidRPr="00C3541F">
              <w:rPr>
                <w:rFonts w:ascii="Times" w:eastAsia="Times New Roman" w:hAnsi="Times" w:cs="Times New Roman"/>
                <w:sz w:val="24"/>
                <w:szCs w:val="24"/>
              </w:rPr>
              <w:t xml:space="preserve"> just, more caring, and more peaceful world.</w:t>
            </w:r>
            <w:r w:rsidRPr="00C3541F">
              <w:rPr>
                <w:rFonts w:ascii="Times" w:eastAsia="Times New Roman" w:hAnsi="Times" w:cs="Times New Roman"/>
                <w:b/>
                <w:bCs/>
                <w:sz w:val="24"/>
                <w:szCs w:val="24"/>
              </w:rPr>
              <w:t> </w:t>
            </w:r>
            <w:r w:rsidRPr="00C3541F">
              <w:rPr>
                <w:rFonts w:ascii="Times" w:eastAsia="Times New Roman" w:hAnsi="Times" w:cs="Times New Roman"/>
                <w:sz w:val="24"/>
                <w:szCs w:val="24"/>
              </w:rPr>
              <w:t> </w:t>
            </w:r>
          </w:p>
        </w:tc>
        <w:tc>
          <w:tcPr>
            <w:tcW w:w="2373" w:type="dxa"/>
            <w:tcBorders>
              <w:top w:val="nil"/>
              <w:left w:val="nil"/>
              <w:bottom w:val="single" w:sz="6" w:space="0" w:color="auto"/>
              <w:right w:val="single" w:sz="6" w:space="0" w:color="auto"/>
            </w:tcBorders>
            <w:shd w:val="clear" w:color="auto" w:fill="auto"/>
            <w:hideMark/>
          </w:tcPr>
          <w:p w14:paraId="58AEEF37"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metaphors for schools as nurturing spaces for the whole individual rather than as efficient factories or businesses that produce products and profit. </w:t>
            </w:r>
          </w:p>
        </w:tc>
      </w:tr>
      <w:tr w:rsidR="005D73DC" w:rsidRPr="00C3541F" w14:paraId="03C0D254" w14:textId="77777777" w:rsidTr="00F36785">
        <w:tc>
          <w:tcPr>
            <w:tcW w:w="1494" w:type="dxa"/>
            <w:tcBorders>
              <w:top w:val="nil"/>
              <w:left w:val="single" w:sz="6" w:space="0" w:color="auto"/>
              <w:bottom w:val="single" w:sz="6" w:space="0" w:color="auto"/>
              <w:right w:val="single" w:sz="6" w:space="0" w:color="auto"/>
            </w:tcBorders>
            <w:shd w:val="clear" w:color="auto" w:fill="auto"/>
            <w:vAlign w:val="center"/>
            <w:hideMark/>
          </w:tcPr>
          <w:p w14:paraId="2B82522C"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Communities</w:t>
            </w:r>
            <w:r w:rsidRPr="00C3541F">
              <w:rPr>
                <w:rFonts w:ascii="Times" w:eastAsia="Times New Roman" w:hAnsi="Times" w:cs="Times New Roman"/>
                <w:sz w:val="24"/>
                <w:szCs w:val="24"/>
              </w:rPr>
              <w:t> </w:t>
            </w:r>
          </w:p>
          <w:p w14:paraId="41971B01"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sz w:val="24"/>
                <w:szCs w:val="24"/>
              </w:rPr>
              <w:t> </w:t>
            </w:r>
          </w:p>
        </w:tc>
        <w:tc>
          <w:tcPr>
            <w:tcW w:w="2442" w:type="dxa"/>
            <w:tcBorders>
              <w:top w:val="nil"/>
              <w:left w:val="nil"/>
              <w:bottom w:val="single" w:sz="6" w:space="0" w:color="auto"/>
              <w:right w:val="single" w:sz="6" w:space="0" w:color="auto"/>
            </w:tcBorders>
            <w:shd w:val="clear" w:color="auto" w:fill="auto"/>
            <w:hideMark/>
          </w:tcPr>
          <w:p w14:paraId="5CF3D7F8"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are</w:t>
            </w:r>
            <w:r w:rsidRPr="00C3541F">
              <w:rPr>
                <w:rFonts w:ascii="Times" w:eastAsia="Times New Roman" w:hAnsi="Times" w:cs="Times New Roman"/>
                <w:sz w:val="24"/>
                <w:szCs w:val="24"/>
              </w:rPr>
              <w:t> members of a multiple communities— connected in ways that make our successes intertwined. </w:t>
            </w:r>
          </w:p>
        </w:tc>
        <w:tc>
          <w:tcPr>
            <w:tcW w:w="2255" w:type="dxa"/>
            <w:tcBorders>
              <w:top w:val="nil"/>
              <w:left w:val="nil"/>
              <w:bottom w:val="single" w:sz="6" w:space="0" w:color="auto"/>
              <w:right w:val="single" w:sz="6" w:space="0" w:color="auto"/>
            </w:tcBorders>
            <w:shd w:val="clear" w:color="auto" w:fill="auto"/>
            <w:hideMark/>
          </w:tcPr>
          <w:p w14:paraId="11B1206F"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value</w:t>
            </w:r>
            <w:r w:rsidRPr="00C3541F">
              <w:rPr>
                <w:rFonts w:ascii="Times" w:eastAsia="Times New Roman" w:hAnsi="Times" w:cs="Times New Roman"/>
                <w:sz w:val="24"/>
                <w:szCs w:val="24"/>
              </w:rPr>
              <w:t> inclusive learning communities that connect us within and outside of our classrooms. </w:t>
            </w:r>
          </w:p>
        </w:tc>
        <w:tc>
          <w:tcPr>
            <w:tcW w:w="1966" w:type="dxa"/>
            <w:tcBorders>
              <w:top w:val="nil"/>
              <w:left w:val="nil"/>
              <w:bottom w:val="single" w:sz="6" w:space="0" w:color="auto"/>
              <w:right w:val="single" w:sz="6" w:space="0" w:color="auto"/>
            </w:tcBorders>
            <w:shd w:val="clear" w:color="auto" w:fill="auto"/>
            <w:hideMark/>
          </w:tcPr>
          <w:p w14:paraId="533605E9"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practice</w:t>
            </w:r>
            <w:r w:rsidRPr="00C3541F">
              <w:rPr>
                <w:rFonts w:ascii="Times" w:eastAsia="Times New Roman" w:hAnsi="Times" w:cs="Times New Roman"/>
                <w:sz w:val="24"/>
                <w:szCs w:val="24"/>
              </w:rPr>
              <w:t> humility through our vulnerability; hope in the face of adversity; and resilience in response to our efforts that have fallen short.   </w:t>
            </w:r>
          </w:p>
        </w:tc>
        <w:tc>
          <w:tcPr>
            <w:tcW w:w="2373" w:type="dxa"/>
            <w:tcBorders>
              <w:top w:val="nil"/>
              <w:left w:val="nil"/>
              <w:bottom w:val="single" w:sz="6" w:space="0" w:color="auto"/>
              <w:right w:val="single" w:sz="6" w:space="0" w:color="auto"/>
            </w:tcBorders>
            <w:shd w:val="clear" w:color="auto" w:fill="auto"/>
            <w:hideMark/>
          </w:tcPr>
          <w:p w14:paraId="5A8D8F57" w14:textId="77777777" w:rsidR="005D73DC" w:rsidRPr="00C3541F" w:rsidRDefault="005D73DC" w:rsidP="00F36785">
            <w:pPr>
              <w:spacing w:line="240" w:lineRule="auto"/>
              <w:textAlignment w:val="baseline"/>
              <w:rPr>
                <w:rFonts w:ascii="Times New Roman" w:eastAsia="Times New Roman" w:hAnsi="Times New Roman" w:cs="Times New Roman"/>
                <w:sz w:val="24"/>
                <w:szCs w:val="24"/>
              </w:rPr>
            </w:pPr>
            <w:r w:rsidRPr="00C3541F">
              <w:rPr>
                <w:rFonts w:ascii="Times" w:eastAsia="Times New Roman" w:hAnsi="Times" w:cs="Times New Roman"/>
                <w:b/>
                <w:bCs/>
                <w:sz w:val="24"/>
                <w:szCs w:val="24"/>
              </w:rPr>
              <w:t>We imagine</w:t>
            </w:r>
            <w:r w:rsidRPr="00C3541F">
              <w:rPr>
                <w:rFonts w:ascii="Times" w:eastAsia="Times New Roman" w:hAnsi="Times" w:cs="Times New Roman"/>
                <w:sz w:val="24"/>
                <w:szCs w:val="24"/>
              </w:rPr>
              <w:t> schools as sustaining intersecting ways of being, knowing, and </w:t>
            </w:r>
            <w:proofErr w:type="spellStart"/>
            <w:r w:rsidRPr="00C3541F">
              <w:rPr>
                <w:rFonts w:ascii="Times" w:eastAsia="Times New Roman" w:hAnsi="Times" w:cs="Times New Roman"/>
                <w:sz w:val="24"/>
                <w:szCs w:val="24"/>
              </w:rPr>
              <w:t>languaging</w:t>
            </w:r>
            <w:proofErr w:type="spellEnd"/>
            <w:r w:rsidRPr="00C3541F">
              <w:rPr>
                <w:rFonts w:ascii="Times" w:eastAsia="Times New Roman" w:hAnsi="Times" w:cs="Times New Roman"/>
                <w:sz w:val="24"/>
                <w:szCs w:val="24"/>
              </w:rPr>
              <w:t>. </w:t>
            </w:r>
          </w:p>
        </w:tc>
      </w:tr>
    </w:tbl>
    <w:p w14:paraId="17518C34" w14:textId="77777777" w:rsidR="005D73DC" w:rsidRPr="00C3541F" w:rsidRDefault="005D73DC" w:rsidP="005D73DC">
      <w:pPr>
        <w:spacing w:line="240" w:lineRule="auto"/>
        <w:jc w:val="center"/>
        <w:textAlignment w:val="baseline"/>
        <w:rPr>
          <w:rFonts w:ascii="Segoe UI" w:eastAsia="Times New Roman" w:hAnsi="Segoe UI" w:cs="Segoe UI"/>
          <w:sz w:val="18"/>
          <w:szCs w:val="18"/>
        </w:rPr>
      </w:pPr>
      <w:r w:rsidRPr="00C3541F">
        <w:rPr>
          <w:rFonts w:ascii="Times" w:eastAsia="Times New Roman" w:hAnsi="Times" w:cs="Segoe UI"/>
          <w:sz w:val="24"/>
          <w:szCs w:val="24"/>
        </w:rPr>
        <w:t> </w:t>
      </w:r>
    </w:p>
    <w:p w14:paraId="2E7C5666" w14:textId="77777777" w:rsidR="005D73DC" w:rsidRPr="004300CE" w:rsidRDefault="005D73DC" w:rsidP="005D73DC"/>
    <w:p w14:paraId="34B6796F" w14:textId="77777777" w:rsidR="005D73DC" w:rsidRPr="00D03A9D" w:rsidRDefault="005D73DC" w:rsidP="005D73DC">
      <w:pPr>
        <w:rPr>
          <w:rFonts w:ascii="Times New Roman" w:eastAsia="Times New Roman" w:hAnsi="Times New Roman" w:cs="Times New Roman"/>
          <w:b/>
          <w:bCs/>
          <w:color w:val="00B050"/>
          <w:kern w:val="36"/>
        </w:rPr>
      </w:pPr>
      <w:r w:rsidRPr="00D03A9D">
        <w:rPr>
          <w:rFonts w:ascii="Times New Roman" w:eastAsia="Times New Roman" w:hAnsi="Times New Roman" w:cs="Times New Roman"/>
          <w:b/>
          <w:bCs/>
          <w:color w:val="00B050"/>
        </w:rPr>
        <w:lastRenderedPageBreak/>
        <w:t xml:space="preserve">Department of Teacher Education and Administration: </w:t>
      </w:r>
      <w:r w:rsidRPr="00D03A9D">
        <w:rPr>
          <w:rFonts w:ascii="Times New Roman" w:eastAsia="Times New Roman" w:hAnsi="Times New Roman" w:cs="Times New Roman"/>
          <w:b/>
          <w:bCs/>
          <w:color w:val="00B050"/>
          <w:kern w:val="36"/>
        </w:rPr>
        <w:t>Preparing Tomorrow’s Educators and Scholars</w:t>
      </w:r>
    </w:p>
    <w:p w14:paraId="575D6579" w14:textId="77777777" w:rsidR="005D73DC" w:rsidRPr="00D03A9D" w:rsidRDefault="005D73DC" w:rsidP="005D73DC">
      <w:pPr>
        <w:rPr>
          <w:rFonts w:ascii="Times New Roman" w:eastAsia="Times New Roman" w:hAnsi="Times New Roman" w:cs="Times New Roman"/>
          <w:b/>
          <w:bCs/>
          <w:color w:val="00B050"/>
        </w:rPr>
      </w:pPr>
    </w:p>
    <w:p w14:paraId="350ABE1B" w14:textId="77777777" w:rsidR="005D73DC" w:rsidRPr="00D03A9D" w:rsidRDefault="005D73DC" w:rsidP="005D73DC">
      <w:pPr>
        <w:rPr>
          <w:rFonts w:ascii="Times New Roman" w:eastAsia="Times New Roman" w:hAnsi="Times New Roman" w:cs="Times New Roman"/>
        </w:rPr>
      </w:pPr>
      <w:r w:rsidRPr="00D03A9D">
        <w:rPr>
          <w:rFonts w:ascii="Times New Roman" w:eastAsia="Times New Roman" w:hAnsi="Times New Roman" w:cs="Times New Roman"/>
        </w:rPr>
        <w:t xml:space="preserve">The </w:t>
      </w:r>
      <w:r w:rsidRPr="00D03A9D">
        <w:rPr>
          <w:rFonts w:ascii="Times New Roman" w:eastAsia="Times New Roman" w:hAnsi="Times New Roman" w:cs="Times New Roman"/>
          <w:b/>
          <w:bCs/>
        </w:rPr>
        <w:t>Department of Teacher Education and Administration</w:t>
      </w:r>
      <w:r w:rsidRPr="00D03A9D">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782BE1E7" w14:textId="77777777" w:rsidR="005D73DC" w:rsidRPr="00D03A9D" w:rsidRDefault="005D73DC" w:rsidP="005D73DC">
      <w:pPr>
        <w:pStyle w:val="Default"/>
        <w:rPr>
          <w:i/>
          <w:iCs/>
        </w:rPr>
      </w:pPr>
    </w:p>
    <w:p w14:paraId="468661CA" w14:textId="77777777" w:rsidR="005D73DC" w:rsidRPr="00D03A9D" w:rsidRDefault="005D73DC" w:rsidP="005D73DC">
      <w:pPr>
        <w:pStyle w:val="Default"/>
        <w:rPr>
          <w:b/>
          <w:bCs/>
        </w:rPr>
      </w:pPr>
      <w:r w:rsidRPr="00D03A9D">
        <w:rPr>
          <w:b/>
          <w:bCs/>
        </w:rPr>
        <w:t xml:space="preserve">Mission </w:t>
      </w:r>
    </w:p>
    <w:p w14:paraId="2C625A6D" w14:textId="77777777" w:rsidR="005D73DC" w:rsidRPr="00D03A9D" w:rsidRDefault="005D73DC" w:rsidP="005D73DC">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5433CB7B" w14:textId="77777777" w:rsidR="005D73DC" w:rsidRPr="00D03A9D" w:rsidRDefault="005D73DC" w:rsidP="005D73DC">
      <w:pPr>
        <w:pStyle w:val="Default"/>
      </w:pPr>
    </w:p>
    <w:p w14:paraId="62121D40" w14:textId="77777777" w:rsidR="005D73DC" w:rsidRPr="00D03A9D" w:rsidRDefault="005D73DC" w:rsidP="005D73DC">
      <w:pPr>
        <w:pStyle w:val="Default"/>
        <w:rPr>
          <w:b/>
          <w:bCs/>
        </w:rPr>
      </w:pPr>
      <w:r w:rsidRPr="00D03A9D">
        <w:rPr>
          <w:b/>
          <w:bCs/>
        </w:rPr>
        <w:t xml:space="preserve">Vision </w:t>
      </w:r>
    </w:p>
    <w:p w14:paraId="6BF90BD8" w14:textId="77777777" w:rsidR="005D73DC" w:rsidRPr="00D03A9D" w:rsidRDefault="005D73DC" w:rsidP="005D73DC">
      <w:pPr>
        <w:ind w:left="360"/>
        <w:rPr>
          <w:rFonts w:ascii="Times New Roman" w:hAnsi="Times New Roman" w:cs="Times New Roman"/>
        </w:rPr>
      </w:pPr>
      <w:r w:rsidRPr="00D03A9D">
        <w:rPr>
          <w:rFonts w:ascii="Times New Roman" w:hAnsi="Times New Roman" w:cs="Times New Roman"/>
        </w:rPr>
        <w:t>We aspire to be internationally recognized for developing visionary educators who provide leadership, promote social justice, and effectively educate all learners.</w:t>
      </w:r>
    </w:p>
    <w:p w14:paraId="4C485760" w14:textId="77777777" w:rsidR="005D73DC" w:rsidRPr="00D03A9D" w:rsidRDefault="005D73DC" w:rsidP="005D73DC">
      <w:pPr>
        <w:pBdr>
          <w:bottom w:val="single" w:sz="12" w:space="1" w:color="auto"/>
        </w:pBdr>
        <w:rPr>
          <w:rFonts w:ascii="Times New Roman" w:hAnsi="Times New Roman" w:cs="Times New Roman"/>
        </w:rPr>
      </w:pPr>
    </w:p>
    <w:p w14:paraId="0E4CEC19" w14:textId="77777777" w:rsidR="005D73DC" w:rsidRPr="00D03A9D" w:rsidRDefault="005D73DC" w:rsidP="005D73DC">
      <w:pPr>
        <w:rPr>
          <w:rFonts w:ascii="Times New Roman" w:eastAsia="Times New Roman" w:hAnsi="Times New Roman" w:cs="Times New Roman"/>
          <w:b/>
          <w:bCs/>
          <w:color w:val="00B050"/>
        </w:rPr>
      </w:pPr>
      <w:r w:rsidRPr="00D03A9D">
        <w:rPr>
          <w:rFonts w:ascii="Times New Roman" w:hAnsi="Times New Roman" w:cs="Times New Roman"/>
          <w:b/>
          <w:bCs/>
          <w:color w:val="00B050"/>
        </w:rPr>
        <w:t>UNT’s Course Policies</w:t>
      </w:r>
    </w:p>
    <w:p w14:paraId="380A35FA" w14:textId="77777777" w:rsidR="005D73DC" w:rsidRPr="00D03A9D" w:rsidRDefault="005D73DC" w:rsidP="005D73DC">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7AC588D1" w14:textId="77777777" w:rsidR="005D73DC" w:rsidRPr="00D03A9D" w:rsidRDefault="005D73DC" w:rsidP="005D73DC">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71EA155" w14:textId="77777777" w:rsidR="005D73DC" w:rsidRPr="00D03A9D" w:rsidRDefault="005D73DC" w:rsidP="005D73DC">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3D1FE078" w14:textId="77777777" w:rsidR="005D73DC" w:rsidRPr="00D03A9D" w:rsidRDefault="005D73DC" w:rsidP="005D73DC">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Attendance</w:t>
      </w:r>
    </w:p>
    <w:p w14:paraId="0AF323FA" w14:textId="77777777" w:rsidR="005D73DC" w:rsidRPr="00D03A9D" w:rsidRDefault="005D73DC" w:rsidP="005D73DC">
      <w:pPr>
        <w:rPr>
          <w:rFonts w:ascii="Times New Roman" w:hAnsi="Times New Roman" w:cs="Times New Roman"/>
          <w:color w:val="000000"/>
        </w:rPr>
      </w:pPr>
      <w:r w:rsidRPr="00D03A9D">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D03A9D">
        <w:rPr>
          <w:rStyle w:val="apple-converted-space"/>
          <w:rFonts w:ascii="Times New Roman" w:hAnsi="Times New Roman" w:cs="Times New Roman"/>
          <w:color w:val="000000"/>
        </w:rPr>
        <w:t> </w:t>
      </w:r>
    </w:p>
    <w:p w14:paraId="2CB7F321" w14:textId="77777777" w:rsidR="005D73DC" w:rsidRPr="00D03A9D" w:rsidRDefault="005D73DC" w:rsidP="005D73DC">
      <w:pPr>
        <w:rPr>
          <w:rFonts w:ascii="Times New Roman" w:hAnsi="Times New Roman" w:cs="Times New Roman"/>
          <w:color w:val="000000"/>
        </w:rPr>
      </w:pPr>
      <w:r w:rsidRPr="00D03A9D">
        <w:rPr>
          <w:rFonts w:ascii="Times New Roman" w:hAnsi="Times New Roman" w:cs="Times New Roman"/>
          <w:color w:val="000000"/>
        </w:rPr>
        <w:t> If you are experiencing any</w:t>
      </w:r>
      <w:r w:rsidRPr="00D03A9D">
        <w:rPr>
          <w:rStyle w:val="apple-converted-space"/>
          <w:rFonts w:ascii="Times New Roman" w:hAnsi="Times New Roman" w:cs="Times New Roman"/>
          <w:color w:val="000000"/>
        </w:rPr>
        <w:t> </w:t>
      </w:r>
      <w:hyperlink r:id="rId34" w:history="1">
        <w:r w:rsidRPr="00D03A9D">
          <w:rPr>
            <w:rStyle w:val="Hyperlink"/>
            <w:rFonts w:ascii="Times New Roman" w:hAnsi="Times New Roman" w:cs="Times New Roman"/>
          </w:rPr>
          <w:t>symptoms of COVID-19</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w:t>
      </w:r>
      <w:hyperlink r:id="rId35" w:history="1">
        <w:r w:rsidRPr="00D03A9D">
          <w:rPr>
            <w:rStyle w:val="Hyperlink"/>
            <w:rFonts w:ascii="Times New Roman" w:hAnsi="Times New Roman" w:cs="Times New Roman"/>
          </w:rPr>
          <w:t>https://www.cdc.gov/coronavirus/2019-ncov/symptoms-testing/symptoms.html</w:t>
        </w:r>
      </w:hyperlink>
      <w:r w:rsidRPr="00D03A9D">
        <w:rPr>
          <w:rFonts w:ascii="Times New Roman" w:hAnsi="Times New Roman" w:cs="Times New Roman"/>
          <w:color w:val="000000"/>
        </w:rPr>
        <w:t>) please seek medical attention from the Student Health and Wellness Center (940-565-2333 or</w:t>
      </w:r>
      <w:r w:rsidRPr="00D03A9D">
        <w:rPr>
          <w:rStyle w:val="apple-converted-space"/>
          <w:rFonts w:ascii="Times New Roman" w:hAnsi="Times New Roman" w:cs="Times New Roman"/>
          <w:color w:val="000000"/>
        </w:rPr>
        <w:t> </w:t>
      </w:r>
      <w:hyperlink r:id="rId36" w:history="1">
        <w:r w:rsidRPr="00D03A9D">
          <w:rPr>
            <w:rStyle w:val="Hyperlink"/>
            <w:rFonts w:ascii="Times New Roman" w:hAnsi="Times New Roman" w:cs="Times New Roman"/>
          </w:rPr>
          <w:t>askSHWC@unt.edu</w:t>
        </w:r>
      </w:hyperlink>
      <w:r w:rsidRPr="00D03A9D">
        <w:rPr>
          <w:rFonts w:ascii="Times New Roman" w:hAnsi="Times New Roman" w:cs="Times New Roman"/>
          <w:color w:val="000000"/>
        </w:rPr>
        <w:t>) or your health care provider PRIOR to coming to campus. UNT also requires you to contact the UNT COVID Team at</w:t>
      </w:r>
      <w:r w:rsidRPr="00D03A9D">
        <w:rPr>
          <w:rStyle w:val="apple-converted-space"/>
          <w:rFonts w:ascii="Times New Roman" w:hAnsi="Times New Roman" w:cs="Times New Roman"/>
          <w:color w:val="000000"/>
        </w:rPr>
        <w:t> </w:t>
      </w:r>
      <w:hyperlink r:id="rId37" w:history="1">
        <w:r w:rsidRPr="00D03A9D">
          <w:rPr>
            <w:rStyle w:val="Hyperlink"/>
            <w:rFonts w:ascii="Times New Roman" w:hAnsi="Times New Roman" w:cs="Times New Roman"/>
          </w:rPr>
          <w:t>COVID@unt.edu</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for guidance on actions to take due to symptoms, pending or positive test results, or potential exposure.</w:t>
      </w:r>
    </w:p>
    <w:p w14:paraId="27F71381" w14:textId="77777777" w:rsidR="005D73DC" w:rsidRPr="00D03A9D" w:rsidRDefault="005D73DC" w:rsidP="005D73DC">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4CB3FF86" w14:textId="77777777" w:rsidR="005D73DC" w:rsidRPr="00D03A9D" w:rsidRDefault="005D73DC" w:rsidP="005D73DC">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Course Materials for Remote Instruction</w:t>
      </w:r>
    </w:p>
    <w:p w14:paraId="305E9258" w14:textId="77777777" w:rsidR="005D73DC" w:rsidRPr="00D03A9D" w:rsidRDefault="005D73DC" w:rsidP="005D73DC">
      <w:pPr>
        <w:rPr>
          <w:rFonts w:ascii="Times New Roman" w:hAnsi="Times New Roman" w:cs="Times New Roman"/>
          <w:color w:val="000000"/>
        </w:rPr>
      </w:pPr>
      <w:r w:rsidRPr="00D03A9D">
        <w:rPr>
          <w:rFonts w:ascii="Times New Roman" w:hAnsi="Times New Roman" w:cs="Times New Roman"/>
          <w:color w:val="000000"/>
        </w:rP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w:t>
      </w:r>
      <w:r w:rsidRPr="00D03A9D">
        <w:rPr>
          <w:rFonts w:ascii="Times New Roman" w:hAnsi="Times New Roman" w:cs="Times New Roman"/>
          <w:color w:val="000000"/>
        </w:rPr>
        <w:lastRenderedPageBreak/>
        <w:t>supplies, equipment or system requirements needed for the course].  Information on how to be successful in a remote learning environment can be found at</w:t>
      </w:r>
      <w:r w:rsidRPr="00D03A9D">
        <w:rPr>
          <w:rStyle w:val="apple-converted-space"/>
          <w:rFonts w:ascii="Times New Roman" w:hAnsi="Times New Roman" w:cs="Times New Roman"/>
          <w:color w:val="000000"/>
        </w:rPr>
        <w:t> </w:t>
      </w:r>
      <w:hyperlink r:id="rId38" w:history="1">
        <w:r w:rsidRPr="00D03A9D">
          <w:rPr>
            <w:rStyle w:val="Hyperlink"/>
            <w:rFonts w:ascii="Times New Roman" w:hAnsi="Times New Roman" w:cs="Times New Roman"/>
          </w:rPr>
          <w:t>https://online.unt.edu/learn</w:t>
        </w:r>
      </w:hyperlink>
    </w:p>
    <w:p w14:paraId="37210B91" w14:textId="77777777" w:rsidR="005D73DC" w:rsidRPr="00D03A9D" w:rsidRDefault="005D73DC" w:rsidP="005D73DC">
      <w:pPr>
        <w:ind w:left="360"/>
        <w:rPr>
          <w:rFonts w:ascii="Times New Roman" w:hAnsi="Times New Roman" w:cs="Times New Roman"/>
        </w:rPr>
      </w:pPr>
    </w:p>
    <w:p w14:paraId="09C58C1A" w14:textId="77777777" w:rsidR="005D73DC" w:rsidRPr="00D03A9D" w:rsidRDefault="005D73DC" w:rsidP="005D73DC">
      <w:pPr>
        <w:pBdr>
          <w:bottom w:val="single" w:sz="12" w:space="1" w:color="auto"/>
        </w:pBdr>
        <w:rPr>
          <w:rFonts w:ascii="Times New Roman" w:hAnsi="Times New Roman" w:cs="Times New Roman"/>
        </w:rPr>
      </w:pPr>
    </w:p>
    <w:p w14:paraId="7A9C6D6D" w14:textId="77777777" w:rsidR="005D73DC" w:rsidRPr="00D03A9D" w:rsidRDefault="005D73DC" w:rsidP="005D73DC">
      <w:pPr>
        <w:rPr>
          <w:rFonts w:ascii="Times New Roman" w:eastAsia="Times New Roman" w:hAnsi="Times New Roman" w:cs="Times New Roman"/>
          <w:b/>
          <w:bCs/>
          <w:color w:val="00B050"/>
        </w:rPr>
      </w:pPr>
      <w:r w:rsidRPr="00D03A9D">
        <w:rPr>
          <w:rFonts w:ascii="Times New Roman" w:hAnsi="Times New Roman" w:cs="Times New Roman"/>
          <w:b/>
          <w:bCs/>
          <w:color w:val="00B050"/>
        </w:rPr>
        <w:t xml:space="preserve">UNT’s Standard Syllabus Statements </w:t>
      </w:r>
    </w:p>
    <w:p w14:paraId="5E1EE056" w14:textId="77777777" w:rsidR="005D73DC" w:rsidRPr="00D03A9D" w:rsidRDefault="005D73DC" w:rsidP="005D73DC">
      <w:pPr>
        <w:rPr>
          <w:rFonts w:ascii="Times New Roman" w:eastAsia="Times New Roman" w:hAnsi="Times New Roman" w:cs="Times New Roman"/>
          <w:b/>
          <w:bCs/>
        </w:rPr>
      </w:pPr>
    </w:p>
    <w:p w14:paraId="61913941" w14:textId="77777777" w:rsidR="005D73DC" w:rsidRPr="00D03A9D" w:rsidRDefault="005D73DC" w:rsidP="005D73DC">
      <w:pPr>
        <w:rPr>
          <w:rFonts w:ascii="Times New Roman" w:eastAsia="Times New Roman" w:hAnsi="Times New Roman" w:cs="Times New Roman"/>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B4E4FAD" w14:textId="77777777" w:rsidR="005D73DC" w:rsidRPr="00D03A9D" w:rsidRDefault="005D73DC" w:rsidP="005D73DC">
      <w:pPr>
        <w:rPr>
          <w:rFonts w:ascii="Times New Roman" w:eastAsia="Times New Roman" w:hAnsi="Times New Roman" w:cs="Times New Roman"/>
          <w:b/>
          <w:bCs/>
        </w:rPr>
      </w:pPr>
    </w:p>
    <w:p w14:paraId="26536A41" w14:textId="77777777" w:rsidR="005D73DC" w:rsidRPr="00D03A9D" w:rsidRDefault="005D73DC" w:rsidP="005D73DC">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69200140" w14:textId="77777777" w:rsidR="005D73DC" w:rsidRPr="00D03A9D" w:rsidRDefault="005D73DC" w:rsidP="005D73DC">
      <w:pPr>
        <w:pStyle w:val="NormalWeb"/>
        <w:spacing w:before="0" w:beforeAutospacing="0" w:after="0" w:afterAutospacing="0"/>
        <w:rPr>
          <w:b/>
          <w:bCs/>
        </w:rPr>
      </w:pPr>
    </w:p>
    <w:p w14:paraId="0BDCD297" w14:textId="77777777" w:rsidR="005D73DC" w:rsidRPr="00D03A9D" w:rsidRDefault="005D73DC" w:rsidP="005D73DC">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31879245" w14:textId="77777777" w:rsidR="005D73DC" w:rsidRPr="00D03A9D" w:rsidRDefault="005D73DC" w:rsidP="005D73DC">
      <w:pPr>
        <w:rPr>
          <w:rFonts w:ascii="Times New Roman" w:eastAsia="Times New Roman" w:hAnsi="Times New Roman" w:cs="Times New Roman"/>
          <w:b/>
          <w:bCs/>
        </w:rPr>
      </w:pPr>
    </w:p>
    <w:p w14:paraId="3903295F" w14:textId="77777777" w:rsidR="005D73DC" w:rsidRPr="00D03A9D" w:rsidRDefault="005D73DC" w:rsidP="005D73DC">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49570637" w14:textId="77777777" w:rsidR="005D73DC" w:rsidRPr="00D03A9D" w:rsidRDefault="005D73DC" w:rsidP="005D73DC">
      <w:pPr>
        <w:pBdr>
          <w:bottom w:val="single" w:sz="12" w:space="1" w:color="auto"/>
        </w:pBdr>
        <w:rPr>
          <w:rFonts w:ascii="Times New Roman" w:eastAsia="Times New Roman" w:hAnsi="Times New Roman" w:cs="Times New Roman"/>
        </w:rPr>
      </w:pPr>
    </w:p>
    <w:p w14:paraId="2A964A9E" w14:textId="77777777" w:rsidR="005D73DC" w:rsidRPr="00D03A9D" w:rsidRDefault="005D73DC" w:rsidP="005D73DC">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t>Department Syllabus Statements</w:t>
      </w:r>
    </w:p>
    <w:p w14:paraId="62B952AF" w14:textId="77777777" w:rsidR="005D73DC" w:rsidRPr="00D03A9D" w:rsidRDefault="005D73DC" w:rsidP="005D73DC">
      <w:pPr>
        <w:rPr>
          <w:rFonts w:ascii="Times New Roman" w:eastAsia="Times New Roman" w:hAnsi="Times New Roman" w:cs="Times New Roman"/>
        </w:rPr>
      </w:pPr>
    </w:p>
    <w:p w14:paraId="7AA5E1C1" w14:textId="77777777" w:rsidR="005D73DC" w:rsidRPr="00D03A9D" w:rsidRDefault="005D73DC" w:rsidP="005D73DC">
      <w:pPr>
        <w:rPr>
          <w:rFonts w:ascii="Times New Roman" w:eastAsia="Times New Roman" w:hAnsi="Times New Roman" w:cs="Times New Roman"/>
        </w:rPr>
      </w:pPr>
      <w:proofErr w:type="spellStart"/>
      <w:r w:rsidRPr="00D03A9D">
        <w:rPr>
          <w:rFonts w:ascii="Times New Roman" w:eastAsia="Times New Roman" w:hAnsi="Times New Roman" w:cs="Times New Roman"/>
          <w:b/>
          <w:bCs/>
        </w:rPr>
        <w:t>Foliotek</w:t>
      </w:r>
      <w:proofErr w:type="spellEnd"/>
      <w:r w:rsidRPr="00D03A9D">
        <w:rPr>
          <w:rFonts w:ascii="Times New Roman" w:eastAsia="Times New Roman" w:hAnsi="Times New Roman" w:cs="Times New Roman"/>
          <w:b/>
          <w:bCs/>
        </w:rPr>
        <w:t xml:space="preserve"> </w:t>
      </w:r>
      <w:proofErr w:type="spellStart"/>
      <w:r w:rsidRPr="00D03A9D">
        <w:rPr>
          <w:rFonts w:ascii="Times New Roman" w:eastAsia="Times New Roman" w:hAnsi="Times New Roman" w:cs="Times New Roman"/>
          <w:b/>
          <w:bCs/>
        </w:rPr>
        <w:t>ePortfolio</w:t>
      </w:r>
      <w:proofErr w:type="spellEnd"/>
      <w:r w:rsidRPr="00D03A9D">
        <w:rPr>
          <w:rFonts w:ascii="Times New Roman" w:eastAsia="Times New Roman" w:hAnsi="Times New Roman" w:cs="Times New Roman"/>
        </w:rPr>
        <w:t xml:space="preserve"> (where applicable).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48D2B5AE" w14:textId="77777777" w:rsidR="005D73DC" w:rsidRPr="00D03A9D" w:rsidRDefault="005D73DC" w:rsidP="005D73DC">
      <w:pPr>
        <w:pStyle w:val="NormalWeb"/>
      </w:pPr>
      <w:r w:rsidRPr="00D03A9D">
        <w:rPr>
          <w:b/>
          <w:bCs/>
        </w:rPr>
        <w:t xml:space="preserve">Student Evaluation Administration Dates. </w:t>
      </w:r>
      <w:r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Pr="00D03A9D">
        <w:t xml:space="preserve">during weeks 13, 14 and 15 of the long semesters </w:t>
      </w:r>
      <w:r w:rsidRPr="00D03A9D">
        <w:rPr>
          <w:color w:val="211E1E"/>
        </w:rPr>
        <w:t xml:space="preserve">to provide students with an opportunity to evaluate how this course is taught. Students will receive an email from "UNT SPOT Course Evaluations via </w:t>
      </w:r>
      <w:proofErr w:type="spellStart"/>
      <w:r w:rsidRPr="00D03A9D">
        <w:rPr>
          <w:i/>
          <w:iCs/>
          <w:color w:val="211E1E"/>
        </w:rPr>
        <w:t>IASystem</w:t>
      </w:r>
      <w:proofErr w:type="spellEnd"/>
      <w:r w:rsidRPr="00D03A9D">
        <w:rPr>
          <w:i/>
          <w:iCs/>
          <w:color w:val="211E1E"/>
        </w:rPr>
        <w:t xml:space="preserve"> </w:t>
      </w:r>
      <w:r w:rsidRPr="00D03A9D">
        <w:rPr>
          <w:color w:val="211E1E"/>
        </w:rPr>
        <w:t>Notification" (</w:t>
      </w:r>
      <w:r w:rsidRPr="00D03A9D">
        <w:rPr>
          <w:color w:val="0000FF"/>
        </w:rPr>
        <w:t>no-reply@iasystem.org</w:t>
      </w:r>
      <w:r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03A9D">
        <w:rPr>
          <w:color w:val="0000FF"/>
        </w:rPr>
        <w:t xml:space="preserve">www.spot.unt.edu </w:t>
      </w:r>
      <w:r w:rsidRPr="00D03A9D">
        <w:rPr>
          <w:color w:val="211E1E"/>
        </w:rPr>
        <w:t xml:space="preserve">or email </w:t>
      </w:r>
      <w:r w:rsidRPr="00D03A9D">
        <w:rPr>
          <w:color w:val="0000FF"/>
        </w:rPr>
        <w:t>spot@unt.edu</w:t>
      </w:r>
      <w:r w:rsidRPr="00D03A9D">
        <w:rPr>
          <w:color w:val="211E1E"/>
        </w:rPr>
        <w:t xml:space="preserve">. </w:t>
      </w:r>
    </w:p>
    <w:p w14:paraId="5690A4C2" w14:textId="77777777" w:rsidR="005D73DC" w:rsidRPr="00D03A9D" w:rsidRDefault="005D73DC" w:rsidP="005D73DC">
      <w:pPr>
        <w:pStyle w:val="NormalWeb"/>
        <w:rPr>
          <w:color w:val="211E1E"/>
        </w:rPr>
      </w:pPr>
      <w:r w:rsidRPr="00D03A9D">
        <w:rPr>
          <w:b/>
          <w:bCs/>
        </w:rPr>
        <w:t xml:space="preserve">Sexual Assault Prevention. </w:t>
      </w:r>
      <w:r w:rsidRPr="00D03A9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605986AE" w14:textId="77777777" w:rsidR="005D73DC" w:rsidRDefault="005D73DC">
      <w:pPr>
        <w:ind w:right="900"/>
      </w:pPr>
    </w:p>
    <w:sectPr w:rsidR="005D73DC">
      <w:footerReference w:type="even" r:id="rId39"/>
      <w:foot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51F5" w14:textId="77777777" w:rsidR="002B4AF3" w:rsidRDefault="002B4AF3" w:rsidP="00F93DBB">
      <w:pPr>
        <w:spacing w:line="240" w:lineRule="auto"/>
      </w:pPr>
      <w:r>
        <w:separator/>
      </w:r>
    </w:p>
  </w:endnote>
  <w:endnote w:type="continuationSeparator" w:id="0">
    <w:p w14:paraId="6E4C7EC1" w14:textId="77777777" w:rsidR="002B4AF3" w:rsidRDefault="002B4AF3" w:rsidP="00F9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9096824"/>
      <w:docPartObj>
        <w:docPartGallery w:val="Page Numbers (Bottom of Page)"/>
        <w:docPartUnique/>
      </w:docPartObj>
    </w:sdtPr>
    <w:sdtEndPr>
      <w:rPr>
        <w:rStyle w:val="PageNumber"/>
      </w:rPr>
    </w:sdtEndPr>
    <w:sdtContent>
      <w:p w14:paraId="2C55CB25"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F1358" w14:textId="77777777" w:rsidR="00F93DBB" w:rsidRDefault="00F93DBB" w:rsidP="00F93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26365"/>
      <w:docPartObj>
        <w:docPartGallery w:val="Page Numbers (Bottom of Page)"/>
        <w:docPartUnique/>
      </w:docPartObj>
    </w:sdtPr>
    <w:sdtEndPr>
      <w:rPr>
        <w:rStyle w:val="PageNumber"/>
      </w:rPr>
    </w:sdtEndPr>
    <w:sdtContent>
      <w:p w14:paraId="7FDFB61D"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683C">
          <w:rPr>
            <w:rStyle w:val="PageNumber"/>
            <w:noProof/>
          </w:rPr>
          <w:t>1</w:t>
        </w:r>
        <w:r>
          <w:rPr>
            <w:rStyle w:val="PageNumber"/>
          </w:rPr>
          <w:fldChar w:fldCharType="end"/>
        </w:r>
      </w:p>
    </w:sdtContent>
  </w:sdt>
  <w:p w14:paraId="445A632E" w14:textId="77777777" w:rsidR="00F93DBB" w:rsidRDefault="00F93DBB" w:rsidP="00F93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86D2" w14:textId="77777777" w:rsidR="002B4AF3" w:rsidRDefault="002B4AF3" w:rsidP="00F93DBB">
      <w:pPr>
        <w:spacing w:line="240" w:lineRule="auto"/>
      </w:pPr>
      <w:r>
        <w:separator/>
      </w:r>
    </w:p>
  </w:footnote>
  <w:footnote w:type="continuationSeparator" w:id="0">
    <w:p w14:paraId="16D3E3BC" w14:textId="77777777" w:rsidR="002B4AF3" w:rsidRDefault="002B4AF3" w:rsidP="00F93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240DE"/>
    <w:multiLevelType w:val="hybridMultilevel"/>
    <w:tmpl w:val="69AC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 w15:restartNumberingAfterBreak="0">
    <w:nsid w:val="7E530FFA"/>
    <w:multiLevelType w:val="multilevel"/>
    <w:tmpl w:val="D4741D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E"/>
    <w:rsid w:val="000852AA"/>
    <w:rsid w:val="000A17EF"/>
    <w:rsid w:val="001003FE"/>
    <w:rsid w:val="00122D41"/>
    <w:rsid w:val="00137DA3"/>
    <w:rsid w:val="0020683C"/>
    <w:rsid w:val="00226A53"/>
    <w:rsid w:val="002B4AF3"/>
    <w:rsid w:val="00357B9F"/>
    <w:rsid w:val="00513589"/>
    <w:rsid w:val="00522519"/>
    <w:rsid w:val="0057349A"/>
    <w:rsid w:val="005872DE"/>
    <w:rsid w:val="005D73DC"/>
    <w:rsid w:val="00651E5B"/>
    <w:rsid w:val="006B3AB4"/>
    <w:rsid w:val="006F660E"/>
    <w:rsid w:val="00754F81"/>
    <w:rsid w:val="0085211A"/>
    <w:rsid w:val="0088318F"/>
    <w:rsid w:val="00944835"/>
    <w:rsid w:val="00944E8D"/>
    <w:rsid w:val="0094726E"/>
    <w:rsid w:val="009E36AD"/>
    <w:rsid w:val="00BB0FBE"/>
    <w:rsid w:val="00BB624C"/>
    <w:rsid w:val="00C30853"/>
    <w:rsid w:val="00CB5F1C"/>
    <w:rsid w:val="00CC52C9"/>
    <w:rsid w:val="00D30070"/>
    <w:rsid w:val="00D53446"/>
    <w:rsid w:val="00D54CDB"/>
    <w:rsid w:val="00E00241"/>
    <w:rsid w:val="00E12DC0"/>
    <w:rsid w:val="00E1399B"/>
    <w:rsid w:val="00E66BD4"/>
    <w:rsid w:val="00E865AA"/>
    <w:rsid w:val="00EE6200"/>
    <w:rsid w:val="00F011C0"/>
    <w:rsid w:val="00F12FDB"/>
    <w:rsid w:val="00F93DBB"/>
    <w:rsid w:val="00F95502"/>
    <w:rsid w:val="00FD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71A"/>
  <w15:docId w15:val="{8B74E70B-1345-9E44-AD58-3213E6D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F93DBB"/>
    <w:rPr>
      <w:color w:val="0563C1"/>
      <w:u w:val="single"/>
    </w:rPr>
  </w:style>
  <w:style w:type="paragraph" w:styleId="Footer">
    <w:name w:val="footer"/>
    <w:basedOn w:val="Normal"/>
    <w:link w:val="FooterChar"/>
    <w:uiPriority w:val="99"/>
    <w:unhideWhenUsed/>
    <w:rsid w:val="00F93DBB"/>
    <w:pPr>
      <w:tabs>
        <w:tab w:val="center" w:pos="4680"/>
        <w:tab w:val="right" w:pos="9360"/>
      </w:tabs>
      <w:spacing w:line="240" w:lineRule="auto"/>
    </w:pPr>
  </w:style>
  <w:style w:type="character" w:customStyle="1" w:styleId="FooterChar">
    <w:name w:val="Footer Char"/>
    <w:basedOn w:val="DefaultParagraphFont"/>
    <w:link w:val="Footer"/>
    <w:uiPriority w:val="99"/>
    <w:rsid w:val="00F93DBB"/>
  </w:style>
  <w:style w:type="character" w:styleId="PageNumber">
    <w:name w:val="page number"/>
    <w:basedOn w:val="DefaultParagraphFont"/>
    <w:uiPriority w:val="99"/>
    <w:semiHidden/>
    <w:unhideWhenUsed/>
    <w:rsid w:val="00F93DBB"/>
  </w:style>
  <w:style w:type="paragraph" w:styleId="ListParagraph">
    <w:name w:val="List Paragraph"/>
    <w:basedOn w:val="Normal"/>
    <w:uiPriority w:val="34"/>
    <w:qFormat/>
    <w:rsid w:val="00EE6200"/>
    <w:pPr>
      <w:ind w:left="720"/>
      <w:contextualSpacing/>
    </w:pPr>
  </w:style>
  <w:style w:type="paragraph" w:styleId="BalloonText">
    <w:name w:val="Balloon Text"/>
    <w:basedOn w:val="Normal"/>
    <w:link w:val="BalloonTextChar"/>
    <w:uiPriority w:val="99"/>
    <w:semiHidden/>
    <w:unhideWhenUsed/>
    <w:rsid w:val="00754F8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4F81"/>
    <w:rPr>
      <w:rFonts w:ascii="Times New Roman" w:hAnsi="Times New Roman" w:cs="Times New Roman"/>
      <w:sz w:val="18"/>
      <w:szCs w:val="18"/>
    </w:rPr>
  </w:style>
  <w:style w:type="character" w:styleId="UnresolvedMention">
    <w:name w:val="Unresolved Mention"/>
    <w:basedOn w:val="DefaultParagraphFont"/>
    <w:uiPriority w:val="99"/>
    <w:rsid w:val="00651E5B"/>
    <w:rPr>
      <w:color w:val="605E5C"/>
      <w:shd w:val="clear" w:color="auto" w:fill="E1DFDD"/>
    </w:rPr>
  </w:style>
  <w:style w:type="paragraph" w:styleId="NormalWeb">
    <w:name w:val="Normal (Web)"/>
    <w:basedOn w:val="Normal"/>
    <w:uiPriority w:val="99"/>
    <w:unhideWhenUsed/>
    <w:rsid w:val="005D73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D73DC"/>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apple-converted-space">
    <w:name w:val="apple-converted-space"/>
    <w:basedOn w:val="DefaultParagraphFont"/>
    <w:rsid w:val="005D7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455">
      <w:bodyDiv w:val="1"/>
      <w:marLeft w:val="0"/>
      <w:marRight w:val="0"/>
      <w:marTop w:val="0"/>
      <w:marBottom w:val="0"/>
      <w:divBdr>
        <w:top w:val="none" w:sz="0" w:space="0" w:color="auto"/>
        <w:left w:val="none" w:sz="0" w:space="0" w:color="auto"/>
        <w:bottom w:val="none" w:sz="0" w:space="0" w:color="auto"/>
        <w:right w:val="none" w:sz="0" w:space="0" w:color="auto"/>
      </w:divBdr>
    </w:div>
    <w:div w:id="444886863">
      <w:bodyDiv w:val="1"/>
      <w:marLeft w:val="0"/>
      <w:marRight w:val="0"/>
      <w:marTop w:val="0"/>
      <w:marBottom w:val="0"/>
      <w:divBdr>
        <w:top w:val="none" w:sz="0" w:space="0" w:color="auto"/>
        <w:left w:val="none" w:sz="0" w:space="0" w:color="auto"/>
        <w:bottom w:val="none" w:sz="0" w:space="0" w:color="auto"/>
        <w:right w:val="none" w:sz="0" w:space="0" w:color="auto"/>
      </w:divBdr>
    </w:div>
    <w:div w:id="688725374">
      <w:bodyDiv w:val="1"/>
      <w:marLeft w:val="0"/>
      <w:marRight w:val="0"/>
      <w:marTop w:val="0"/>
      <w:marBottom w:val="0"/>
      <w:divBdr>
        <w:top w:val="none" w:sz="0" w:space="0" w:color="auto"/>
        <w:left w:val="none" w:sz="0" w:space="0" w:color="auto"/>
        <w:bottom w:val="none" w:sz="0" w:space="0" w:color="auto"/>
        <w:right w:val="none" w:sz="0" w:space="0" w:color="auto"/>
      </w:divBdr>
    </w:div>
    <w:div w:id="1083646190">
      <w:bodyDiv w:val="1"/>
      <w:marLeft w:val="0"/>
      <w:marRight w:val="0"/>
      <w:marTop w:val="0"/>
      <w:marBottom w:val="0"/>
      <w:divBdr>
        <w:top w:val="none" w:sz="0" w:space="0" w:color="auto"/>
        <w:left w:val="none" w:sz="0" w:space="0" w:color="auto"/>
        <w:bottom w:val="none" w:sz="0" w:space="0" w:color="auto"/>
        <w:right w:val="none" w:sz="0" w:space="0" w:color="auto"/>
      </w:divBdr>
    </w:div>
    <w:div w:id="1650355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yssa.armstrong@unt.edu" TargetMode="External"/><Relationship Id="rId18" Type="http://schemas.openxmlformats.org/officeDocument/2006/relationships/hyperlink" Target="http://careerconnect.unt.edu/default" TargetMode="External"/><Relationship Id="rId26" Type="http://schemas.openxmlformats.org/officeDocument/2006/relationships/hyperlink" Target="mailto:COVID@unt.eduf" TargetMode="External"/><Relationship Id="rId39" Type="http://schemas.openxmlformats.org/officeDocument/2006/relationships/footer" Target="footer1.xml"/><Relationship Id="rId21" Type="http://schemas.openxmlformats.org/officeDocument/2006/relationships/hyperlink" Target="http://policy.unt.edu/sites/default/files/untpolicy/pdf/7-Student_Affairs-Academic_Integrity.pdf" TargetMode="External"/><Relationship Id="rId3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tc.unt.edu/labs/unt-writing-lab-home" TargetMode="External"/><Relationship Id="rId20" Type="http://schemas.openxmlformats.org/officeDocument/2006/relationships/hyperlink" Target="http://www.unt.edu/oda" TargetMode="External"/><Relationship Id="rId29" Type="http://schemas.openxmlformats.org/officeDocument/2006/relationships/hyperlink" Target="http://www.coe.unt.edu/tex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lackboard.com/pages/viewpage.action?pageId=101285989" TargetMode="External"/><Relationship Id="rId24" Type="http://schemas.openxmlformats.org/officeDocument/2006/relationships/hyperlink" Target="https://deanofstudents.unt.edu/conduct" TargetMode="External"/><Relationship Id="rId32" Type="http://schemas.openxmlformats.org/officeDocument/2006/relationships/hyperlink" Target="https://success.unt.edu/" TargetMode="External"/><Relationship Id="rId37" Type="http://schemas.openxmlformats.org/officeDocument/2006/relationships/hyperlink" Target="mailto:COVID@unt.ed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deanofstudents.unt.edu/conduct" TargetMode="External"/><Relationship Id="rId28" Type="http://schemas.openxmlformats.org/officeDocument/2006/relationships/hyperlink" Target="http://www.coe.unt.edu/texes-advising-office/texes-exams" TargetMode="External"/><Relationship Id="rId36" Type="http://schemas.openxmlformats.org/officeDocument/2006/relationships/hyperlink" Target="mailto:askSHWC@unt.edu" TargetMode="External"/><Relationship Id="rId10" Type="http://schemas.openxmlformats.org/officeDocument/2006/relationships/hyperlink" Target="http://clt.odu.edu/oso/index.php?src=pe_comp_lit" TargetMode="External"/><Relationship Id="rId19" Type="http://schemas.openxmlformats.org/officeDocument/2006/relationships/hyperlink" Target="http://careerconnect.unt.edu/default" TargetMode="External"/><Relationship Id="rId31" Type="http://schemas.openxmlformats.org/officeDocument/2006/relationships/hyperlink" Target="http://www.texes.ets.org/" TargetMode="External"/><Relationship Id="rId4" Type="http://schemas.openxmlformats.org/officeDocument/2006/relationships/webSettings" Target="webSettings.xml"/><Relationship Id="rId9" Type="http://schemas.openxmlformats.org/officeDocument/2006/relationships/hyperlink" Target="http://ithelp.unt.ed/"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policy.unt.edu/sites/default/files/untpolicy/pdf/7-Student_Affairs-Academic_Integrity.pdf" TargetMode="External"/><Relationship Id="rId27" Type="http://schemas.openxmlformats.org/officeDocument/2006/relationships/hyperlink" Target="http://www.coe.unt.edu/texes-advising-office/texes-exams" TargetMode="External"/><Relationship Id="rId30" Type="http://schemas.openxmlformats.org/officeDocument/2006/relationships/hyperlink" Target="http://www.coe.unt.edu/texes" TargetMode="External"/><Relationship Id="rId3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8" Type="http://schemas.openxmlformats.org/officeDocument/2006/relationships/hyperlink" Target="mailto:krystle.brom@unt.edu" TargetMode="External"/><Relationship Id="rId3" Type="http://schemas.openxmlformats.org/officeDocument/2006/relationships/settings" Target="settings.xml"/><Relationship Id="rId12" Type="http://schemas.openxmlformats.org/officeDocument/2006/relationships/hyperlink" Target="https://it.unt.edu/installoffice365%20" TargetMode="External"/><Relationship Id="rId17" Type="http://schemas.openxmlformats.org/officeDocument/2006/relationships/hyperlink" Target="https://ltc.unt.edu/labs/unt-writing-lab-home"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success.unt.edu/" TargetMode="External"/><Relationship Id="rId38" Type="http://schemas.openxmlformats.org/officeDocument/2006/relationships/hyperlink" Target="https://online.unt.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2020-08-23T20:48:00Z</cp:lastPrinted>
  <dcterms:created xsi:type="dcterms:W3CDTF">2021-08-16T13:59:00Z</dcterms:created>
  <dcterms:modified xsi:type="dcterms:W3CDTF">2021-08-18T14:12:00Z</dcterms:modified>
</cp:coreProperties>
</file>