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p>
    <w:tbl>
      <w:tblPr>
        <w:tblStyle w:val="Table1"/>
        <w:tblW w:w="10290.0" w:type="dxa"/>
        <w:jc w:val="left"/>
        <w:tblInd w:w="66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1E0"/>
      </w:tblPr>
      <w:tblGrid>
        <w:gridCol w:w="5160"/>
        <w:gridCol w:w="5130"/>
        <w:tblGridChange w:id="0">
          <w:tblGrid>
            <w:gridCol w:w="5160"/>
            <w:gridCol w:w="5130"/>
          </w:tblGrid>
        </w:tblGridChange>
      </w:tblGrid>
      <w:tr>
        <w:trPr>
          <w:cantSplit w:val="0"/>
          <w:trHeight w:val="585" w:hRule="atLeast"/>
          <w:tblHeader w:val="0"/>
        </w:trPr>
        <w:tc>
          <w:tcPr>
            <w:gridSpan w:val="2"/>
            <w:tcBorders>
              <w:top w:color="000000" w:space="0" w:sz="4" w:val="single"/>
              <w:left w:color="000000" w:space="0" w:sz="4" w:val="single"/>
              <w:bottom w:color="000000" w:space="0" w:sz="4" w:val="single"/>
              <w:right w:color="000000" w:space="0" w:sz="4" w:val="single"/>
            </w:tcBorders>
            <w:shd w:fill="06893e" w:val="clear"/>
          </w:tcPr>
          <w:p w:rsidR="00000000" w:rsidDel="00000000" w:rsidP="00000000" w:rsidRDefault="00000000" w:rsidRPr="00000000" w14:paraId="00000002">
            <w:pPr>
              <w:widowControl w:val="1"/>
              <w:ind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EDCI 4060: Content Area Reading in Secondary Schools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w:t>
            </w:r>
          </w:p>
          <w:p w:rsidR="00000000" w:rsidDel="00000000" w:rsidP="00000000" w:rsidRDefault="00000000" w:rsidRPr="00000000" w14:paraId="0000000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Krystle Brom</w:t>
            </w:r>
            <w:r w:rsidDel="00000000" w:rsidR="00000000" w:rsidRPr="00000000">
              <w:rPr>
                <w:rFonts w:ascii="Times New Roman" w:cs="Times New Roman" w:eastAsia="Times New Roman" w:hAnsi="Times New Roman"/>
                <w:rtl w:val="0"/>
              </w:rPr>
              <w:t xml:space="preserve">, Ph.D.</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6">
            <w:pPr>
              <w:widowControl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Pronouns</w:t>
            </w:r>
            <w:r w:rsidDel="00000000" w:rsidR="00000000" w:rsidRPr="00000000">
              <w:rPr>
                <w:rtl w:val="0"/>
              </w:rPr>
            </w:r>
          </w:p>
          <w:p w:rsidR="00000000" w:rsidDel="00000000" w:rsidP="00000000" w:rsidRDefault="00000000" w:rsidRPr="00000000" w14:paraId="00000007">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she/her</w:t>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8">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location</w:t>
            </w:r>
          </w:p>
          <w:p w:rsidR="00000000" w:rsidDel="00000000" w:rsidP="00000000" w:rsidRDefault="00000000" w:rsidRPr="00000000" w14:paraId="0000000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Hours    </w:t>
            </w:r>
          </w:p>
          <w:p w:rsidR="00000000" w:rsidDel="00000000" w:rsidP="00000000" w:rsidRDefault="00000000" w:rsidRPr="00000000" w14:paraId="0000000B">
            <w:pPr>
              <w:widowControl w:val="1"/>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M/W   8-11am</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info</w:t>
            </w:r>
          </w:p>
          <w:p w:rsidR="00000000" w:rsidDel="00000000" w:rsidP="00000000" w:rsidRDefault="00000000" w:rsidRPr="00000000" w14:paraId="0000000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940-565-2826; Canvas Message</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 Date/Time/Place</w:t>
            </w:r>
          </w:p>
          <w:p w:rsidR="00000000" w:rsidDel="00000000" w:rsidP="00000000" w:rsidRDefault="00000000" w:rsidRPr="00000000" w14:paraId="0000000F">
            <w:pPr>
              <w:widowControl w:val="1"/>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Insert from course schedule</w:t>
            </w:r>
          </w:p>
        </w:tc>
      </w:tr>
    </w:tbl>
    <w:p w:rsidR="00000000" w:rsidDel="00000000" w:rsidP="00000000" w:rsidRDefault="00000000" w:rsidRPr="00000000" w14:paraId="00000010">
      <w:pPr>
        <w:pStyle w:val="Heading1"/>
        <w:keepNext w:val="1"/>
        <w:widowControl w:val="1"/>
        <w:tabs>
          <w:tab w:val="left" w:pos="20880"/>
          <w:tab w:val="left" w:pos="21600"/>
        </w:tabs>
        <w:ind w:left="0" w:firstLine="0"/>
        <w:rPr>
          <w:rFonts w:ascii="Times New Roman" w:cs="Times New Roman" w:eastAsia="Times New Roman" w:hAnsi="Times New Roman"/>
          <w:b w:val="0"/>
        </w:rPr>
      </w:pPr>
      <w:bookmarkStart w:colFirst="0" w:colLast="0" w:name="_heading=h.1kqjna39srwt" w:id="0"/>
      <w:bookmarkEnd w:id="0"/>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11">
      <w:pPr>
        <w:widowControl w:val="1"/>
        <w:ind w:left="540" w:firstLine="0"/>
        <w:rPr>
          <w:rFonts w:ascii="Times New Roman" w:cs="Times New Roman" w:eastAsia="Times New Roman" w:hAnsi="Times New Roman"/>
          <w:b w:val="1"/>
          <w:color w:val="00b050"/>
        </w:rPr>
      </w:pPr>
      <w:r w:rsidDel="00000000" w:rsidR="00000000" w:rsidRPr="00000000">
        <w:rPr>
          <w:rtl w:val="0"/>
        </w:rPr>
      </w:r>
    </w:p>
    <w:p w:rsidR="00000000" w:rsidDel="00000000" w:rsidP="00000000" w:rsidRDefault="00000000" w:rsidRPr="00000000" w14:paraId="00000012">
      <w:pPr>
        <w:widowControl w:val="1"/>
        <w:ind w:left="540" w:firstLine="0"/>
        <w:rPr>
          <w:rFonts w:ascii="Times New Roman" w:cs="Times New Roman" w:eastAsia="Times New Roman" w:hAnsi="Times New Roman"/>
          <w:b w:val="1"/>
          <w:color w:val="00b050"/>
        </w:rPr>
      </w:pPr>
      <w:r w:rsidDel="00000000" w:rsidR="00000000" w:rsidRPr="00000000">
        <w:rPr>
          <w:rtl w:val="0"/>
        </w:rPr>
      </w:r>
    </w:p>
    <w:p w:rsidR="00000000" w:rsidDel="00000000" w:rsidP="00000000" w:rsidRDefault="00000000" w:rsidRPr="00000000" w14:paraId="00000013">
      <w:pPr>
        <w:widowControl w:val="1"/>
        <w:ind w:left="540" w:firstLine="0"/>
        <w:rPr>
          <w:rFonts w:ascii="Times New Roman" w:cs="Times New Roman" w:eastAsia="Times New Roman" w:hAnsi="Times New Roman"/>
          <w:b w:val="1"/>
          <w:color w:val="00b050"/>
        </w:rPr>
      </w:pPr>
      <w:r w:rsidDel="00000000" w:rsidR="00000000" w:rsidRPr="00000000">
        <w:rPr>
          <w:rFonts w:ascii="Times New Roman" w:cs="Times New Roman" w:eastAsia="Times New Roman" w:hAnsi="Times New Roman"/>
          <w:b w:val="1"/>
          <w:color w:val="00b050"/>
          <w:rtl w:val="0"/>
        </w:rPr>
        <w:t xml:space="preserve">DEPARTMENT OF TEACHER EDUCATION AND ADMINISTRATION: PREPARING TOMORROW’S EDUCATORS AND SCHOLARS</w:t>
      </w:r>
    </w:p>
    <w:p w:rsidR="00000000" w:rsidDel="00000000" w:rsidP="00000000" w:rsidRDefault="00000000" w:rsidRPr="00000000" w14:paraId="00000014">
      <w:pPr>
        <w:widowControl w:val="1"/>
        <w:ind w:left="540" w:firstLine="0"/>
        <w:rPr>
          <w:rFonts w:ascii="Times New Roman" w:cs="Times New Roman" w:eastAsia="Times New Roman" w:hAnsi="Times New Roman"/>
          <w:b w:val="1"/>
          <w:color w:val="00b050"/>
        </w:rPr>
      </w:pPr>
      <w:r w:rsidDel="00000000" w:rsidR="00000000" w:rsidRPr="00000000">
        <w:rPr>
          <w:rtl w:val="0"/>
        </w:rPr>
      </w:r>
    </w:p>
    <w:p w:rsidR="00000000" w:rsidDel="00000000" w:rsidP="00000000" w:rsidRDefault="00000000" w:rsidRPr="00000000" w14:paraId="00000015">
      <w:pPr>
        <w:widowControl w:val="1"/>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Department of Teacher Education and Administration</w:t>
      </w:r>
      <w:r w:rsidDel="00000000" w:rsidR="00000000" w:rsidRPr="00000000">
        <w:rPr>
          <w:rFonts w:ascii="Times New Roman" w:cs="Times New Roman" w:eastAsia="Times New Roman" w:hAnsi="Times New Roman"/>
          <w:rtl w:val="0"/>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rsidR="00000000" w:rsidDel="00000000" w:rsidP="00000000" w:rsidRDefault="00000000" w:rsidRPr="00000000" w14:paraId="00000016">
      <w:pPr>
        <w:widowControl w:val="1"/>
        <w:ind w:left="5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1"/>
        <w:ind w:left="5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Mission </w:t>
      </w:r>
    </w:p>
    <w:p w:rsidR="00000000" w:rsidDel="00000000" w:rsidP="00000000" w:rsidRDefault="00000000" w:rsidRPr="00000000" w14:paraId="00000018">
      <w:pPr>
        <w:widowControl w:val="1"/>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Department of Teacher Education and Administration integrates theory, research, and practice to generate knowledge and to develop educational leaders who advance the potential of all learners.</w:t>
      </w:r>
    </w:p>
    <w:p w:rsidR="00000000" w:rsidDel="00000000" w:rsidP="00000000" w:rsidRDefault="00000000" w:rsidRPr="00000000" w14:paraId="00000019">
      <w:pPr>
        <w:widowControl w:val="1"/>
        <w:ind w:left="5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widowControl w:val="1"/>
        <w:ind w:left="5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Vision </w:t>
      </w:r>
    </w:p>
    <w:p w:rsidR="00000000" w:rsidDel="00000000" w:rsidP="00000000" w:rsidRDefault="00000000" w:rsidRPr="00000000" w14:paraId="0000001B">
      <w:pPr>
        <w:widowControl w:val="1"/>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aspire to be internationally recognized for developing visionary educators who provide leadership, promote social justice, and effectively educate all learners.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ind w:firstLine="5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Required Text</w:t>
      </w:r>
    </w:p>
    <w:p w:rsidR="00000000" w:rsidDel="00000000" w:rsidP="00000000" w:rsidRDefault="00000000" w:rsidRPr="00000000" w14:paraId="0000001E">
      <w:pPr>
        <w:spacing w:before="40" w:line="295" w:lineRule="auto"/>
        <w:ind w:left="579" w:right="196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F">
      <w:pPr>
        <w:spacing w:before="40" w:line="295" w:lineRule="auto"/>
        <w:ind w:left="579" w:right="196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Readings available on Library Course guide </w:t>
      </w:r>
      <w:hyperlink r:id="rId7">
        <w:r w:rsidDel="00000000" w:rsidR="00000000" w:rsidRPr="00000000">
          <w:rPr>
            <w:rFonts w:ascii="Times New Roman" w:cs="Times New Roman" w:eastAsia="Times New Roman" w:hAnsi="Times New Roman"/>
            <w:color w:val="1155cc"/>
            <w:u w:val="single"/>
            <w:rtl w:val="0"/>
          </w:rPr>
          <w:t xml:space="preserve">https://guides.library.unt.edu/edci4060</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numPr>
          <w:ilvl w:val="0"/>
          <w:numId w:val="2"/>
        </w:numPr>
        <w:spacing w:before="40" w:line="295" w:lineRule="auto"/>
        <w:ind w:left="1440" w:right="1966"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Password located in Canvas.</w:t>
      </w:r>
      <w:r w:rsidDel="00000000" w:rsidR="00000000" w:rsidRPr="00000000">
        <w:rPr>
          <w:rtl w:val="0"/>
        </w:rPr>
      </w:r>
    </w:p>
    <w:p w:rsidR="00000000" w:rsidDel="00000000" w:rsidP="00000000" w:rsidRDefault="00000000" w:rsidRPr="00000000" w14:paraId="00000021">
      <w:pPr>
        <w:pStyle w:val="Heading1"/>
        <w:ind w:firstLine="57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Style w:val="Heading1"/>
        <w:ind w:firstLine="5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Description</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0" w:line="276" w:lineRule="auto"/>
        <w:ind w:left="579" w:right="1048"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This course was designed to help middle and secondary teacher education 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understanding of the importance and the process of recognizing and assessing the typically diverse population of classroom learners, and using that information to scaffold learning and differentiate instruction. For each course topic, relevant theory and research will be provided, however, practical application of course material to your future or current classroom is emphasized. Areas studied will include literacy (basic, intermediate, and disciplinary), cognition and metacognition, readiness to learn, concept development, teaching within an instructional framework, content literacy, instructional scaffolding, writing as a tool for thinking, classroom assessment, text analysis, academic diversity and use of alternate resources to improve teaching and learning. Students will explore and understand existing knowledge and theory regarding literacy in its many forms and apply that information to practical classroom situations.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ind w:firstLine="57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Style w:val="Heading1"/>
        <w:ind w:firstLine="5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Requirements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579" w:right="0" w:firstLine="0"/>
        <w:jc w:val="left"/>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Microsoft Office Suite</w:t>
        </w:r>
      </w:hyperlink>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579" w:right="1966"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Internet Access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579" w:right="1966"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Style w:val="Heading1"/>
        <w:ind w:firstLine="579"/>
        <w:rPr>
          <w:rFonts w:ascii="Times New Roman" w:cs="Times New Roman" w:eastAsia="Times New Roman" w:hAnsi="Times New Roman"/>
        </w:rPr>
      </w:pPr>
      <w:bookmarkStart w:colFirst="0" w:colLast="0" w:name="_heading=h.4ttuxn2e4yge" w:id="1"/>
      <w:bookmarkEnd w:id="1"/>
      <w:r w:rsidDel="00000000" w:rsidR="00000000" w:rsidRPr="00000000">
        <w:rPr>
          <w:rFonts w:ascii="Times New Roman" w:cs="Times New Roman" w:eastAsia="Times New Roman" w:hAnsi="Times New Roman"/>
          <w:rtl w:val="0"/>
        </w:rPr>
        <w:t xml:space="preserve">Technical Support </w:t>
      </w:r>
    </w:p>
    <w:p w:rsidR="00000000" w:rsidDel="00000000" w:rsidP="00000000" w:rsidRDefault="00000000" w:rsidRPr="00000000" w14:paraId="0000002B">
      <w:pPr>
        <w:spacing w:before="40" w:lineRule="auto"/>
        <w:ind w:left="579" w:firstLine="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UNT IT and Tech Support</w:t>
        </w:r>
      </w:hyperlink>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579" w:right="1966"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UNT Student Help Desk</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i w:val="0"/>
            <w:smallCaps w:val="0"/>
            <w:strike w:val="0"/>
            <w:color w:val="0000ff"/>
            <w:u w:val="none"/>
            <w:shd w:fill="auto" w:val="clear"/>
            <w:vertAlign w:val="baseline"/>
            <w:rtl w:val="0"/>
          </w:rPr>
          <w:t xml:space="preserve">helpdesk@unt.edu </w:t>
        </w:r>
      </w:hyperlink>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Phone: 940-565-2324</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579" w:right="0" w:firstLine="0"/>
        <w:jc w:val="left"/>
        <w:rPr>
          <w:rFonts w:ascii="Times New Roman" w:cs="Times New Roman" w:eastAsia="Times New Roman" w:hAnsi="Times New Roman"/>
          <w:i w:val="0"/>
          <w:smallCaps w:val="0"/>
          <w:strike w:val="0"/>
          <w:color w:val="000000"/>
          <w:u w:val="none"/>
          <w:shd w:fill="auto" w:val="clear"/>
          <w:vertAlign w:val="baseline"/>
        </w:rPr>
        <w:sectPr>
          <w:footerReference r:id="rId11" w:type="default"/>
          <w:pgSz w:h="15840" w:w="12240" w:orient="portrait"/>
          <w:pgMar w:bottom="940" w:top="1280" w:left="880" w:right="480" w:header="0" w:footer="749"/>
          <w:pgNumType w:start="1"/>
        </w:sect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you need assistance with Foliotek, contact </w:t>
      </w:r>
      <w:hyperlink r:id="rId12">
        <w:r w:rsidDel="00000000" w:rsidR="00000000" w:rsidRPr="00000000">
          <w:rPr>
            <w:rFonts w:ascii="Times New Roman" w:cs="Times New Roman" w:eastAsia="Times New Roman" w:hAnsi="Times New Roman"/>
            <w:i w:val="0"/>
            <w:smallCaps w:val="0"/>
            <w:strike w:val="0"/>
            <w:color w:val="0563c1"/>
            <w:u w:val="single"/>
            <w:shd w:fill="auto" w:val="clear"/>
            <w:vertAlign w:val="baseline"/>
            <w:rtl w:val="0"/>
          </w:rPr>
          <w:t xml:space="preserve">alyssa.armstrong@unt.edu</w:t>
        </w:r>
      </w:hyperlink>
      <w:r w:rsidDel="00000000" w:rsidR="00000000" w:rsidRPr="00000000">
        <w:rPr>
          <w:rtl w:val="0"/>
        </w:rPr>
      </w:r>
    </w:p>
    <w:p w:rsidR="00000000" w:rsidDel="00000000" w:rsidP="00000000" w:rsidRDefault="00000000" w:rsidRPr="00000000" w14:paraId="0000002E">
      <w:pPr>
        <w:pStyle w:val="Heading1"/>
        <w:spacing w:before="79" w:lineRule="auto"/>
        <w:ind w:firstLine="5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Objectives</w:t>
      </w:r>
    </w:p>
    <w:p w:rsidR="00000000" w:rsidDel="00000000" w:rsidP="00000000" w:rsidRDefault="00000000" w:rsidRPr="00000000" w14:paraId="0000002F">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35" w:line="240" w:lineRule="auto"/>
        <w:ind w:left="1399" w:right="1368"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Appreciate the value of an informed and reflective mindset about one’s instructional decision-making.</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3" w:line="278.00000000000006" w:lineRule="auto"/>
        <w:ind w:left="1399" w:right="2081"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Recognize and describe the impact of students’ cognitive and metacognitive processing on thinking and learning.</w:t>
      </w:r>
      <w:r w:rsidDel="00000000" w:rsidR="00000000" w:rsidRPr="00000000">
        <w:rPr>
          <w:rtl w:val="0"/>
        </w:rPr>
      </w:r>
    </w:p>
    <w:p w:rsidR="00000000" w:rsidDel="00000000" w:rsidP="00000000" w:rsidRDefault="00000000" w:rsidRPr="00000000" w14:paraId="0000003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0" w:line="278.00000000000006" w:lineRule="auto"/>
        <w:ind w:left="1399" w:right="1384"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Explain and apply to instructional decision-making an understanding of how reader, text, and context factors interact to affect the construction of meaning.</w:t>
      </w:r>
      <w:r w:rsidDel="00000000" w:rsidR="00000000" w:rsidRPr="00000000">
        <w:rPr>
          <w:rtl w:val="0"/>
        </w:rPr>
      </w:r>
    </w:p>
    <w:p w:rsidR="00000000" w:rsidDel="00000000" w:rsidP="00000000" w:rsidRDefault="00000000" w:rsidRPr="00000000" w14:paraId="0000003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0" w:line="237" w:lineRule="auto"/>
        <w:ind w:left="1399" w:right="1521"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Delineate the distinctions among Basic literacy, Intermediate Literacy, Disciplinary Literacy, and Critical Literacy</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55"/>
        </w:tabs>
        <w:spacing w:after="0" w:before="0" w:line="246.99999999999994" w:lineRule="auto"/>
        <w:ind w:left="1399" w:right="2238"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 strategies to use to modify instructional approaches based on student abilities, needs, interests, and cultural characteristics (to include language differences), narrowing the gap between students’ readiness to learn and the teacher’s instructional goals.</w:t>
      </w:r>
      <w:r w:rsidDel="00000000" w:rsidR="00000000" w:rsidRPr="00000000">
        <w:rPr>
          <w:rtl w:val="0"/>
        </w:rPr>
      </w:r>
    </w:p>
    <w:p w:rsidR="00000000" w:rsidDel="00000000" w:rsidP="00000000" w:rsidRDefault="00000000" w:rsidRPr="00000000" w14:paraId="0000003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0" w:line="273" w:lineRule="auto"/>
        <w:ind w:left="1399" w:right="147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Incorporate content literacy strategies into instruction with the goal of creating self- regulated, independent and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engaged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learners.</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440"/>
          <w:tab w:val="left" w:pos="1441"/>
        </w:tabs>
        <w:spacing w:after="0" w:before="0" w:line="240" w:lineRule="auto"/>
        <w:ind w:left="1440" w:right="0" w:hanging="40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Plan instruction which facilitates and scaffolds students' learning from text.</w:t>
      </w:r>
      <w:r w:rsidDel="00000000" w:rsidR="00000000" w:rsidRPr="00000000">
        <w:rPr>
          <w:rtl w:val="0"/>
        </w:rPr>
      </w:r>
    </w:p>
    <w:p w:rsidR="00000000" w:rsidDel="00000000" w:rsidP="00000000" w:rsidRDefault="00000000" w:rsidRPr="00000000" w14:paraId="0000003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38" w:line="273" w:lineRule="auto"/>
        <w:ind w:left="1399" w:right="1727"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 an awareness of anti-biased and anti-racist instructional resources and strategies and approaches for implementing such.</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4" w:line="273" w:lineRule="auto"/>
        <w:ind w:left="1399" w:right="1948"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Identify professional literature, technology resources, and literature created to engage young people related to being literate in his/her specific content area.</w:t>
      </w:r>
      <w:r w:rsidDel="00000000" w:rsidR="00000000" w:rsidRPr="00000000">
        <w:rPr>
          <w:rtl w:val="0"/>
        </w:rPr>
      </w:r>
    </w:p>
    <w:p w:rsidR="00000000" w:rsidDel="00000000" w:rsidP="00000000" w:rsidRDefault="00000000" w:rsidRPr="00000000" w14:paraId="00000038">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415"/>
        </w:tabs>
        <w:spacing w:after="0" w:before="4" w:line="278.00000000000006" w:lineRule="auto"/>
        <w:ind w:left="1399" w:right="2818"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Choose and teach content vocabulary in ways that increase concept development and independent vocabulary learning.</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415"/>
        </w:tabs>
        <w:spacing w:after="0" w:before="0" w:line="237" w:lineRule="auto"/>
        <w:ind w:left="1399" w:right="995"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Recognize the need for and beginning ways to support students with exceptionalities in the content classroom.</w:t>
      </w:r>
      <w:r w:rsidDel="00000000" w:rsidR="00000000" w:rsidRPr="00000000">
        <w:rPr>
          <w:rtl w:val="0"/>
        </w:rPr>
      </w:r>
    </w:p>
    <w:p w:rsidR="00000000" w:rsidDel="00000000" w:rsidP="00000000" w:rsidRDefault="00000000" w:rsidRPr="00000000" w14:paraId="0000003A">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415"/>
        </w:tabs>
        <w:spacing w:after="0" w:before="0" w:line="237" w:lineRule="auto"/>
        <w:ind w:left="1399" w:right="113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Purposefully choose and incorporate selected content literacy and disciplinary literacy strategies into his/her instructional-decision making, drawing from diverse modalities that are most aligned with specific areas.</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ind w:firstLine="5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Foliotek e-Portfolio</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spacing w:line="213" w:lineRule="auto"/>
        <w:ind w:left="579" w:right="938"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w:t>
      </w:r>
      <w:r w:rsidDel="00000000" w:rsidR="00000000" w:rsidRPr="00000000">
        <w:rPr>
          <w:rFonts w:ascii="Times New Roman" w:cs="Times New Roman" w:eastAsia="Times New Roman" w:hAnsi="Times New Roman"/>
          <w:i w:val="1"/>
          <w:rtl w:val="0"/>
        </w:rPr>
        <w:t xml:space="preserve">This course requires one assignment (e.g., Common Lesson Plan) to be uploaded and graded in Foliotek. You will upload to Foliotek directly from your Canvas assignment page by clicking on the load button at the bottom of the assignment page.</w:t>
      </w:r>
    </w:p>
    <w:p w:rsidR="00000000" w:rsidDel="00000000" w:rsidP="00000000" w:rsidRDefault="00000000" w:rsidRPr="00000000" w14:paraId="0000003F">
      <w:pPr>
        <w:spacing w:line="213" w:lineRule="auto"/>
        <w:ind w:left="579" w:right="9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students with visual impairments, please reach out to your instructor to develop alternate accommodations.</w:t>
      </w:r>
    </w:p>
    <w:p w:rsidR="00000000" w:rsidDel="00000000" w:rsidP="00000000" w:rsidRDefault="00000000" w:rsidRPr="00000000" w14:paraId="00000040">
      <w:pPr>
        <w:spacing w:line="213" w:lineRule="auto"/>
        <w:ind w:left="579" w:right="93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College of Education will track your progress in your program through this data to verify that you have successfully met the competencies required in your program of study. </w:t>
      </w:r>
      <w:r w:rsidDel="00000000" w:rsidR="00000000" w:rsidRPr="00000000">
        <w:rPr>
          <w:rFonts w:ascii="Times New Roman" w:cs="Times New Roman" w:eastAsia="Times New Roman" w:hAnsi="Times New Roman"/>
          <w:b w:val="1"/>
          <w:rtl w:val="0"/>
        </w:rPr>
        <w:t xml:space="preserve">All students must register in the (free) program portfolio that aligns with their degree plan.</w:t>
      </w:r>
    </w:p>
    <w:p w:rsidR="00000000" w:rsidDel="00000000" w:rsidP="00000000" w:rsidRDefault="00000000" w:rsidRPr="00000000" w14:paraId="00000041">
      <w:pPr>
        <w:spacing w:line="213" w:lineRule="auto"/>
        <w:ind w:left="0" w:right="20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579" w:right="1966" w:firstLine="0"/>
        <w:jc w:val="left"/>
        <w:rPr>
          <w:rFonts w:ascii="Times New Roman" w:cs="Times New Roman" w:eastAsia="Times New Roman" w:hAnsi="Times New Roman"/>
          <w:i w:val="0"/>
          <w:smallCaps w:val="0"/>
          <w:strike w:val="0"/>
          <w:color w:val="000000"/>
          <w:u w:val="none"/>
          <w:shd w:fill="auto" w:val="clear"/>
          <w:vertAlign w:val="baseline"/>
        </w:rPr>
        <w:sectPr>
          <w:type w:val="nextPage"/>
          <w:pgSz w:h="15840" w:w="12240" w:orient="portrait"/>
          <w:pgMar w:bottom="940" w:top="1380" w:left="880" w:right="480" w:header="0" w:footer="749"/>
        </w:sect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Instructor Communication: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Instructor communication to the student is conducted through Canvas message and Canvas Announcements. It is the student’s responsibility to read these messages and announcements regularly.</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bl>
      <w:tblPr>
        <w:tblStyle w:val="Table2"/>
        <w:tblW w:w="10620.0" w:type="dxa"/>
        <w:jc w:val="left"/>
        <w:tblInd w:w="13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855"/>
        <w:gridCol w:w="765"/>
        <w:tblGridChange w:id="0">
          <w:tblGrid>
            <w:gridCol w:w="9855"/>
            <w:gridCol w:w="765"/>
          </w:tblGrid>
        </w:tblGridChange>
      </w:tblGrid>
      <w:tr>
        <w:trPr>
          <w:cantSplit w:val="0"/>
          <w:trHeight w:val="767" w:hRule="atLeast"/>
          <w:tblHeader w:val="0"/>
        </w:trPr>
        <w:tc>
          <w:tcPr>
            <w:shd w:fill="bfbfbf"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9" w:line="240" w:lineRule="auto"/>
              <w:ind w:left="3722" w:right="3465" w:hanging="211.9999999999999"/>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COURSE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ASSIGNMENTS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9" w:line="240" w:lineRule="auto"/>
              <w:ind w:left="3722" w:right="3465" w:hanging="211.9999999999999"/>
              <w:jc w:val="center"/>
              <w:rPr>
                <w:rFonts w:ascii="Times New Roman" w:cs="Times New Roman" w:eastAsia="Times New Roman" w:hAnsi="Times New Roman"/>
                <w:b w:val="1"/>
              </w:rPr>
            </w:pPr>
            <w:hyperlink r:id="rId13">
              <w:r w:rsidDel="00000000" w:rsidR="00000000" w:rsidRPr="00000000">
                <w:rPr>
                  <w:rFonts w:ascii="Times New Roman" w:cs="Times New Roman" w:eastAsia="Times New Roman" w:hAnsi="Times New Roman"/>
                  <w:b w:val="1"/>
                  <w:color w:val="1155cc"/>
                  <w:u w:val="single"/>
                  <w:rtl w:val="0"/>
                </w:rPr>
                <w:t xml:space="preserve">View Course Schedule w/dates</w:t>
              </w:r>
            </w:hyperlink>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3176"/>
              </w:tabs>
              <w:spacing w:after="0" w:before="59" w:line="240" w:lineRule="auto"/>
              <w:ind w:left="7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*Subject to change</w:t>
              <w:tab/>
              <w:t xml:space="preserve">**Grades are weighted by assignment group</w:t>
            </w:r>
          </w:p>
        </w:tc>
        <w:tc>
          <w:tcPr>
            <w:shd w:fill="bfbfbf"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6" w:right="-15"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Points</w:t>
            </w:r>
          </w:p>
        </w:tc>
      </w:tr>
      <w:tr>
        <w:trPr>
          <w:cantSplit w:val="0"/>
          <w:trHeight w:val="1549" w:hRule="atLeast"/>
          <w:tblHeader w:val="0"/>
        </w:trPr>
        <w:tc>
          <w:tcPr>
            <w:tcBorders>
              <w:bottom w:color="000000" w:space="0" w:sz="4" w:val="single"/>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9" w:line="295" w:lineRule="auto"/>
              <w:ind w:left="129" w:right="3375"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PARTICIPATION AND PROFESSIONALISM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19" w:line="295" w:lineRule="auto"/>
              <w:ind w:left="129" w:right="3375"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5%</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Online learning course norms quiz (45 points)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129" w:right="95"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Respectful conversations with instructor and peers. Active participant in course, evidenced in response to peers and instructor (20 points)</w:t>
            </w:r>
          </w:p>
        </w:tc>
        <w:tc>
          <w:tcPr>
            <w:tcBorders>
              <w:bottom w:color="000000" w:space="0" w:sz="4" w:val="single"/>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 w:line="239" w:lineRule="auto"/>
              <w:ind w:left="172" w:right="104"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65</w:t>
            </w:r>
          </w:p>
        </w:tc>
      </w:tr>
      <w:tr>
        <w:trPr>
          <w:cantSplit w:val="0"/>
          <w:trHeight w:val="2562" w:hRule="atLeast"/>
          <w:tblHeader w:val="0"/>
        </w:trPr>
        <w:tc>
          <w:tcPr>
            <w:tcBorders>
              <w:top w:color="000000" w:space="0" w:sz="4" w:val="single"/>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9" w:line="240" w:lineRule="auto"/>
              <w:ind w:left="12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CHECKPOINT ACTIVITIES (Modules 1, 3, 5, 7; 10 points each)</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2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10%</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54" w:line="295"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You will encounter different Content Literacy Strategy designed to connect you to the topic in some way. These are the types of activities you should use with your own</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31"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students to scaffold their understanding of material in your own classroom.</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54" w:line="291.99999999999994" w:lineRule="auto"/>
              <w:ind w:left="129" w:right="0" w:firstLine="0.9999999999999964"/>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Completing them will give you a chance to see what the strengths and weaknesses of the activities are, and consider modifications to make each work more effectively in your discipline.</w:t>
            </w:r>
          </w:p>
        </w:tc>
        <w:tc>
          <w:tcPr>
            <w:tcBorders>
              <w:top w:color="000000" w:space="0" w:sz="4" w:val="single"/>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72" w:right="104"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40</w:t>
            </w:r>
          </w:p>
        </w:tc>
      </w:tr>
      <w:tr>
        <w:trPr>
          <w:cantSplit w:val="0"/>
          <w:trHeight w:val="1626" w:hRule="atLeast"/>
          <w:tblHeader w:val="0"/>
        </w:trPr>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9" w:line="240" w:lineRule="auto"/>
              <w:ind w:left="12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CASE STUDIES (Modules 2, 4, 6; 15 points each)</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12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25%</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59" w:line="291.99999999999994"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Thinking critically about, analyzing problems of practice, and sharing thoughts and ideas with other teachers is essential to your continued growth as an educator. These case studies are designed </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help prepare you for the everyday challenges of a teacher.</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 w:right="6"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45</w:t>
            </w:r>
          </w:p>
        </w:tc>
      </w:tr>
      <w:tr>
        <w:trPr>
          <w:cantSplit w:val="0"/>
          <w:trHeight w:val="2250" w:hRule="atLeast"/>
          <w:tblHeader w:val="0"/>
        </w:trPr>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12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CLASSROOM APPLICATION (Modules 1-7; 25 points each, Mod 3 CA* = 45 points)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12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35%</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59" w:line="290"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Each module will provide an opportunity for you to apply what you have learned to a hypothetical (or actual, if currently teaching) classroom setting which should</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simulate your desired future teaching context as closely as possible.</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59" w:line="290"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 3 CA is a teacher certification required assessment and must be uploaded to Foliotek through the Canvas assignment submission page.</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 w:right="6"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195</w:t>
            </w:r>
          </w:p>
        </w:tc>
      </w:tr>
      <w:tr>
        <w:trPr>
          <w:cantSplit w:val="0"/>
          <w:trHeight w:val="1640" w:hRule="atLeast"/>
          <w:tblHeader w:val="0"/>
        </w:trPr>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3" w:line="290" w:lineRule="auto"/>
              <w:ind w:left="129" w:right="8495"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FINAL EXAM 25%</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7" w:line="291.99999999999994"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To ensure your understanding of the material in this course and to prepare you to be successful on your TExES and SoTR Exam, there will be a final exam which will test your knowledge and understanding of key concepts and objectives.</w:t>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 w:right="6"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72</w:t>
            </w:r>
          </w:p>
        </w:tc>
      </w:tr>
    </w:tbl>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1"/>
        <w:spacing w:before="116" w:lineRule="auto"/>
        <w:ind w:firstLine="5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 SCALE</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45" w:line="240" w:lineRule="auto"/>
        <w:ind w:left="63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 90-100% B// 80-89% C// 70-79% D// 60-69% F// below 60%</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579" w:right="1086" w:firstLine="0"/>
        <w:jc w:val="left"/>
        <w:rPr>
          <w:rFonts w:ascii="Times New Roman" w:cs="Times New Roman" w:eastAsia="Times New Roman" w:hAnsi="Times New Roman"/>
          <w:i w:val="0"/>
          <w:smallCaps w:val="0"/>
          <w:strike w:val="0"/>
          <w:color w:val="000000"/>
          <w:u w:val="none"/>
          <w:shd w:fill="auto" w:val="clear"/>
          <w:vertAlign w:val="baseline"/>
        </w:rPr>
        <w:sectPr>
          <w:type w:val="nextPage"/>
          <w:pgSz w:h="15840" w:w="12240" w:orient="portrait"/>
          <w:pgMar w:bottom="940" w:top="1460" w:left="880" w:right="480" w:header="0" w:footer="749"/>
        </w:sect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Late Work: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Assignments submitted after the due date are late and points will be deducted from the final grade. For each day an assignment is late, 10% will be deducted from the score earned. On the 8</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tl w:val="0"/>
        </w:rPr>
        <w:t xml:space="preserve">th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day after the due date, the assignment will remain a 0% in the grade book.</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bl>
      <w:tblPr>
        <w:tblStyle w:val="Table3"/>
        <w:tblW w:w="7630.999999999999" w:type="dxa"/>
        <w:jc w:val="left"/>
        <w:tblInd w:w="59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294"/>
        <w:gridCol w:w="2337"/>
        <w:tblGridChange w:id="0">
          <w:tblGrid>
            <w:gridCol w:w="5294"/>
            <w:gridCol w:w="2337"/>
          </w:tblGrid>
        </w:tblGridChange>
      </w:tblGrid>
      <w:tr>
        <w:trPr>
          <w:cantSplit w:val="0"/>
          <w:trHeight w:val="314" w:hRule="atLeast"/>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9" w:line="274" w:lineRule="auto"/>
              <w:ind w:left="14"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u w:val="none"/>
                <w:shd w:fill="auto" w:val="clear"/>
                <w:vertAlign w:val="baseline"/>
                <w:rtl w:val="0"/>
              </w:rPr>
              <w:t xml:space="preserve">ASSIGNMENT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9" w:line="274" w:lineRule="auto"/>
              <w:ind w:left="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u w:val="none"/>
                <w:shd w:fill="auto" w:val="clear"/>
                <w:vertAlign w:val="baseline"/>
                <w:rtl w:val="0"/>
              </w:rPr>
              <w:t xml:space="preserve">DUE DATE</w:t>
            </w: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65"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Participation: Self-Introductions</w:t>
            </w:r>
          </w:p>
        </w:tc>
        <w:tc>
          <w:tcPr>
            <w:tcBorders>
              <w:top w:color="000000" w:space="0" w:sz="0" w:val="nil"/>
            </w:tcBorders>
          </w:tcPr>
          <w:p w:rsidR="00000000" w:rsidDel="00000000" w:rsidP="00000000" w:rsidRDefault="00000000" w:rsidRPr="00000000" w14:paraId="00000084">
            <w:pPr>
              <w:spacing w:line="265"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06/09</w:t>
            </w:r>
          </w:p>
        </w:tc>
      </w:tr>
      <w:tr>
        <w:trPr>
          <w:cantSplit w:val="0"/>
          <w:trHeight w:val="292" w:hRule="atLeast"/>
          <w:tblHeader w:val="0"/>
        </w:trPr>
        <w:tc>
          <w:tcPr>
            <w:shd w:fill="d9d9d9" w:val="cle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Participation QUIZ: Online Course Norms</w:t>
            </w:r>
          </w:p>
        </w:tc>
        <w:tc>
          <w:tcPr>
            <w:shd w:fill="d9d9d9" w:val="clear"/>
          </w:tcPr>
          <w:p w:rsidR="00000000" w:rsidDel="00000000" w:rsidP="00000000" w:rsidRDefault="00000000" w:rsidRPr="00000000" w14:paraId="00000086">
            <w:pPr>
              <w:spacing w:before="5" w:line="267"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06/16</w:t>
            </w:r>
          </w:p>
        </w:tc>
      </w:tr>
      <w:tr>
        <w:trPr>
          <w:cantSplit w:val="0"/>
          <w:trHeight w:val="297" w:hRule="atLeast"/>
          <w:tblHeader w:val="0"/>
        </w:trPr>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9"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1: Checkpoint</w:t>
            </w:r>
          </w:p>
        </w:tc>
        <w:tc>
          <w:tcPr/>
          <w:p w:rsidR="00000000" w:rsidDel="00000000" w:rsidP="00000000" w:rsidRDefault="00000000" w:rsidRPr="00000000" w14:paraId="00000088">
            <w:pPr>
              <w:spacing w:before="9" w:line="267" w:lineRule="auto"/>
              <w:ind w:left="2"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Thursday, 06/23</w:t>
            </w:r>
          </w:p>
        </w:tc>
      </w:tr>
      <w:tr>
        <w:trPr>
          <w:cantSplit w:val="0"/>
          <w:trHeight w:val="292" w:hRule="atLeast"/>
          <w:tblHeader w:val="0"/>
        </w:trPr>
        <w:tc>
          <w:tcPr>
            <w:shd w:fill="ffffff" w:val="cle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1: Classroom Application</w:t>
            </w:r>
          </w:p>
        </w:tc>
        <w:tc>
          <w:tcPr>
            <w:shd w:fill="ffffff" w:val="clear"/>
          </w:tcPr>
          <w:p w:rsidR="00000000" w:rsidDel="00000000" w:rsidP="00000000" w:rsidRDefault="00000000" w:rsidRPr="00000000" w14:paraId="0000008A">
            <w:pPr>
              <w:spacing w:before="5" w:line="267" w:lineRule="auto"/>
              <w:ind w:left="2"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Thursday, 06/23</w:t>
            </w:r>
          </w:p>
        </w:tc>
      </w:tr>
      <w:tr>
        <w:trPr>
          <w:cantSplit w:val="0"/>
          <w:trHeight w:val="292" w:hRule="atLeast"/>
          <w:tblHeader w:val="0"/>
        </w:trPr>
        <w:tc>
          <w:tcPr>
            <w:shd w:fill="d9d9d9" w:val="clea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2: Case Study</w:t>
            </w:r>
          </w:p>
        </w:tc>
        <w:tc>
          <w:tcPr>
            <w:shd w:fill="d9d9d9" w:val="clear"/>
          </w:tcPr>
          <w:p w:rsidR="00000000" w:rsidDel="00000000" w:rsidP="00000000" w:rsidRDefault="00000000" w:rsidRPr="00000000" w14:paraId="0000008C">
            <w:pPr>
              <w:spacing w:before="5" w:line="267"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06/30</w:t>
            </w:r>
          </w:p>
        </w:tc>
      </w:tr>
      <w:tr>
        <w:trPr>
          <w:cantSplit w:val="0"/>
          <w:trHeight w:val="292" w:hRule="atLeast"/>
          <w:tblHeader w:val="0"/>
        </w:trPr>
        <w:tc>
          <w:tcPr>
            <w:shd w:fill="d9d9d9" w:val="clea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2: Classroom Application</w:t>
            </w:r>
          </w:p>
        </w:tc>
        <w:tc>
          <w:tcPr>
            <w:shd w:fill="d9d9d9" w:val="clear"/>
          </w:tcPr>
          <w:p w:rsidR="00000000" w:rsidDel="00000000" w:rsidP="00000000" w:rsidRDefault="00000000" w:rsidRPr="00000000" w14:paraId="0000008E">
            <w:pPr>
              <w:spacing w:before="5" w:line="267"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06/30</w:t>
            </w:r>
          </w:p>
        </w:tc>
      </w:tr>
      <w:tr>
        <w:trPr>
          <w:cantSplit w:val="0"/>
          <w:trHeight w:val="292" w:hRule="atLeast"/>
          <w:tblHeader w:val="0"/>
        </w:trPr>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3: Checkpoint</w:t>
            </w:r>
          </w:p>
        </w:tc>
        <w:tc>
          <w:tcPr/>
          <w:p w:rsidR="00000000" w:rsidDel="00000000" w:rsidP="00000000" w:rsidRDefault="00000000" w:rsidRPr="00000000" w14:paraId="00000090">
            <w:pPr>
              <w:spacing w:before="5" w:line="267"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07/07</w:t>
            </w:r>
          </w:p>
        </w:tc>
      </w:tr>
      <w:tr>
        <w:trPr>
          <w:cantSplit w:val="0"/>
          <w:trHeight w:val="292" w:hRule="atLeast"/>
          <w:tblHeader w:val="0"/>
        </w:trPr>
        <w:tc>
          <w:tcPr>
            <w:shd w:fill="ffffff" w:val="clea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3: Classroom Application</w:t>
            </w:r>
          </w:p>
        </w:tc>
        <w:tc>
          <w:tcPr/>
          <w:p w:rsidR="00000000" w:rsidDel="00000000" w:rsidP="00000000" w:rsidRDefault="00000000" w:rsidRPr="00000000" w14:paraId="00000092">
            <w:pPr>
              <w:spacing w:before="5" w:line="267"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07/07</w:t>
            </w:r>
          </w:p>
        </w:tc>
      </w:tr>
      <w:tr>
        <w:trPr>
          <w:cantSplit w:val="0"/>
          <w:trHeight w:val="296" w:hRule="atLeast"/>
          <w:tblHeader w:val="0"/>
        </w:trPr>
        <w:tc>
          <w:tcPr>
            <w:shd w:fill="d9d9d9" w:val="clea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9"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4: Case Study</w:t>
            </w:r>
          </w:p>
        </w:tc>
        <w:tc>
          <w:tcPr>
            <w:shd w:fill="d9d9d9" w:val="clear"/>
          </w:tcPr>
          <w:p w:rsidR="00000000" w:rsidDel="00000000" w:rsidP="00000000" w:rsidRDefault="00000000" w:rsidRPr="00000000" w14:paraId="00000094">
            <w:pPr>
              <w:spacing w:before="9" w:line="267"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07/14</w:t>
            </w:r>
          </w:p>
        </w:tc>
      </w:tr>
      <w:tr>
        <w:trPr>
          <w:cantSplit w:val="0"/>
          <w:trHeight w:val="292" w:hRule="atLeast"/>
          <w:tblHeader w:val="0"/>
        </w:trPr>
        <w:tc>
          <w:tcPr>
            <w:shd w:fill="d9d9d9" w:val="clea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4: Classroom Application</w:t>
            </w:r>
          </w:p>
        </w:tc>
        <w:tc>
          <w:tcPr>
            <w:shd w:fill="d9d9d9" w:val="clear"/>
          </w:tcPr>
          <w:p w:rsidR="00000000" w:rsidDel="00000000" w:rsidP="00000000" w:rsidRDefault="00000000" w:rsidRPr="00000000" w14:paraId="00000096">
            <w:pPr>
              <w:spacing w:before="5" w:line="267"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07/14</w:t>
            </w:r>
          </w:p>
        </w:tc>
      </w:tr>
      <w:tr>
        <w:trPr>
          <w:cantSplit w:val="0"/>
          <w:trHeight w:val="292" w:hRule="atLeast"/>
          <w:tblHeader w:val="0"/>
        </w:trPr>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5: Checkpoint</w:t>
            </w:r>
          </w:p>
        </w:tc>
        <w:tc>
          <w:tcPr/>
          <w:p w:rsidR="00000000" w:rsidDel="00000000" w:rsidP="00000000" w:rsidRDefault="00000000" w:rsidRPr="00000000" w14:paraId="00000098">
            <w:pPr>
              <w:spacing w:before="5" w:line="267"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07/21</w:t>
            </w:r>
          </w:p>
        </w:tc>
      </w:tr>
      <w:tr>
        <w:trPr>
          <w:cantSplit w:val="0"/>
          <w:trHeight w:val="292" w:hRule="atLeast"/>
          <w:tblHeader w:val="0"/>
        </w:trPr>
        <w:tc>
          <w:tcPr>
            <w:shd w:fill="ffffff" w:val="clea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5: Classroom Application</w:t>
            </w:r>
          </w:p>
        </w:tc>
        <w:tc>
          <w:tcPr/>
          <w:p w:rsidR="00000000" w:rsidDel="00000000" w:rsidP="00000000" w:rsidRDefault="00000000" w:rsidRPr="00000000" w14:paraId="0000009A">
            <w:pPr>
              <w:spacing w:before="5" w:line="267"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07/21</w:t>
            </w:r>
          </w:p>
        </w:tc>
      </w:tr>
      <w:tr>
        <w:trPr>
          <w:cantSplit w:val="0"/>
          <w:trHeight w:val="292" w:hRule="atLeast"/>
          <w:tblHeader w:val="0"/>
        </w:trPr>
        <w:tc>
          <w:tcPr>
            <w:shd w:fill="d9d9d9" w:val="cle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6: Case Study</w:t>
            </w:r>
          </w:p>
        </w:tc>
        <w:tc>
          <w:tcPr>
            <w:shd w:fill="d9d9d9" w:val="clear"/>
          </w:tcPr>
          <w:p w:rsidR="00000000" w:rsidDel="00000000" w:rsidP="00000000" w:rsidRDefault="00000000" w:rsidRPr="00000000" w14:paraId="0000009C">
            <w:pPr>
              <w:spacing w:before="5" w:line="267"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07/28</w:t>
            </w:r>
          </w:p>
        </w:tc>
      </w:tr>
      <w:tr>
        <w:trPr>
          <w:cantSplit w:val="0"/>
          <w:trHeight w:val="292" w:hRule="atLeast"/>
          <w:tblHeader w:val="0"/>
        </w:trPr>
        <w:tc>
          <w:tcPr>
            <w:shd w:fill="d9d9d9" w:val="clea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6: Classroom Application</w:t>
            </w:r>
          </w:p>
        </w:tc>
        <w:tc>
          <w:tcPr>
            <w:shd w:fill="d9d9d9" w:val="clear"/>
          </w:tcPr>
          <w:p w:rsidR="00000000" w:rsidDel="00000000" w:rsidP="00000000" w:rsidRDefault="00000000" w:rsidRPr="00000000" w14:paraId="0000009E">
            <w:pPr>
              <w:spacing w:before="5" w:line="267"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07/28</w:t>
            </w:r>
          </w:p>
        </w:tc>
      </w:tr>
      <w:tr>
        <w:trPr>
          <w:cantSplit w:val="0"/>
          <w:trHeight w:val="297" w:hRule="atLeast"/>
          <w:tblHeader w:val="0"/>
        </w:trPr>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9"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7: Checkpoint</w:t>
            </w:r>
          </w:p>
        </w:tc>
        <w:tc>
          <w:tcPr/>
          <w:p w:rsidR="00000000" w:rsidDel="00000000" w:rsidP="00000000" w:rsidRDefault="00000000" w:rsidRPr="00000000" w14:paraId="000000A0">
            <w:pPr>
              <w:spacing w:before="9" w:line="267"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08/04</w:t>
            </w:r>
          </w:p>
        </w:tc>
      </w:tr>
      <w:tr>
        <w:trPr>
          <w:cantSplit w:val="0"/>
          <w:trHeight w:val="292" w:hRule="atLeast"/>
          <w:tblHeader w:val="0"/>
        </w:trPr>
        <w:tc>
          <w:tcPr>
            <w:shd w:fill="ffffff" w:val="cle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7: Classroom Application</w:t>
            </w:r>
          </w:p>
        </w:tc>
        <w:tc>
          <w:tcPr/>
          <w:p w:rsidR="00000000" w:rsidDel="00000000" w:rsidP="00000000" w:rsidRDefault="00000000" w:rsidRPr="00000000" w14:paraId="000000A2">
            <w:pPr>
              <w:spacing w:before="5" w:line="267"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08/04</w:t>
            </w:r>
          </w:p>
        </w:tc>
      </w:tr>
      <w:tr>
        <w:trPr>
          <w:cantSplit w:val="0"/>
          <w:trHeight w:val="292" w:hRule="atLeast"/>
          <w:tblHeader w:val="0"/>
        </w:trPr>
        <w:tc>
          <w:tcPr>
            <w:shd w:fill="d9d9d9" w:val="cle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FINAL EXAM</w:t>
            </w:r>
          </w:p>
        </w:tc>
        <w:tc>
          <w:tcPr>
            <w:shd w:fill="d9d9d9" w:val="clear"/>
          </w:tcPr>
          <w:p w:rsidR="00000000" w:rsidDel="00000000" w:rsidP="00000000" w:rsidRDefault="00000000" w:rsidRPr="00000000" w14:paraId="000000A4">
            <w:pPr>
              <w:spacing w:before="5" w:line="267" w:lineRule="auto"/>
              <w:ind w:left="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Saturday, 08/12</w:t>
            </w:r>
          </w:p>
        </w:tc>
      </w:tr>
    </w:tbl>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6">
      <w:pPr>
        <w:spacing w:before="19" w:lineRule="auto"/>
        <w:ind w:left="3240" w:right="3465" w:hanging="21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READINGS</w:t>
      </w:r>
    </w:p>
    <w:p w:rsidR="00000000" w:rsidDel="00000000" w:rsidP="00000000" w:rsidRDefault="00000000" w:rsidRPr="00000000" w14:paraId="000000A7">
      <w:pPr>
        <w:spacing w:before="19" w:lineRule="auto"/>
        <w:ind w:left="2610" w:right="2505" w:hanging="21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*You’ll read those relevant to your discipline.</w:t>
      </w:r>
    </w:p>
    <w:p w:rsidR="00000000" w:rsidDel="00000000" w:rsidP="00000000" w:rsidRDefault="00000000" w:rsidRPr="00000000" w14:paraId="000000A8">
      <w:pPr>
        <w:widowControl w:val="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widowControl w:val="1"/>
        <w:jc w:val="left"/>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EDCI 4060 Course Guide</w:t>
        </w:r>
      </w:hyperlink>
      <w:r w:rsidDel="00000000" w:rsidR="00000000" w:rsidRPr="00000000">
        <w:rPr>
          <w:rFonts w:ascii="Times New Roman" w:cs="Times New Roman" w:eastAsia="Times New Roman" w:hAnsi="Times New Roman"/>
          <w:sz w:val="24"/>
          <w:szCs w:val="24"/>
          <w:rtl w:val="0"/>
        </w:rPr>
        <w:t xml:space="preserve"> Password: located in Canvas</w:t>
      </w:r>
    </w:p>
    <w:p w:rsidR="00000000" w:rsidDel="00000000" w:rsidP="00000000" w:rsidRDefault="00000000" w:rsidRPr="00000000" w14:paraId="000000AA">
      <w:pPr>
        <w:spacing w:before="40" w:line="295" w:lineRule="auto"/>
        <w:ind w:left="0" w:right="196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Accessible (i.e., screenreader ready) HTML copies available on Course Guide: Supplemental tab. IF HTML is unavailable, request an accessible PDF from the instructor.</w:t>
      </w:r>
    </w:p>
    <w:p w:rsidR="00000000" w:rsidDel="00000000" w:rsidP="00000000" w:rsidRDefault="00000000" w:rsidRPr="00000000" w14:paraId="000000AB">
      <w:pPr>
        <w:widowControl w:val="1"/>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sz w:val="24"/>
            <w:szCs w:val="24"/>
            <w:u w:val="single"/>
            <w:rtl w:val="0"/>
          </w:rPr>
          <w:t xml:space="preserve">2-minute training on accessing UNT Library Databases</w:t>
        </w:r>
      </w:hyperlink>
      <w:r w:rsidDel="00000000" w:rsidR="00000000" w:rsidRPr="00000000">
        <w:rPr>
          <w:rtl w:val="0"/>
        </w:rPr>
      </w:r>
    </w:p>
    <w:p w:rsidR="00000000" w:rsidDel="00000000" w:rsidP="00000000" w:rsidRDefault="00000000" w:rsidRPr="00000000" w14:paraId="000000AC">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1</w:t>
      </w:r>
    </w:p>
    <w:p w:rsidR="00000000" w:rsidDel="00000000" w:rsidP="00000000" w:rsidRDefault="00000000" w:rsidRPr="00000000" w14:paraId="000000AE">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Brundin, J. (2018, October 26). </w:t>
      </w:r>
      <w:r w:rsidDel="00000000" w:rsidR="00000000" w:rsidRPr="00000000">
        <w:rPr>
          <w:rFonts w:ascii="Times New Roman" w:cs="Times New Roman" w:eastAsia="Times New Roman" w:hAnsi="Times New Roman"/>
          <w:i w:val="1"/>
          <w:rtl w:val="0"/>
        </w:rPr>
        <w:t xml:space="preserve">5 ways to make classrooms more inclusive</w:t>
      </w:r>
      <w:r w:rsidDel="00000000" w:rsidR="00000000" w:rsidRPr="00000000">
        <w:rPr>
          <w:rFonts w:ascii="Times New Roman" w:cs="Times New Roman" w:eastAsia="Times New Roman" w:hAnsi="Times New Roman"/>
          <w:rtl w:val="0"/>
        </w:rPr>
        <w:t xml:space="preserve">. NPR. </w:t>
      </w:r>
      <w:hyperlink r:id="rId16">
        <w:r w:rsidDel="00000000" w:rsidR="00000000" w:rsidRPr="00000000">
          <w:rPr>
            <w:rFonts w:ascii="Times New Roman" w:cs="Times New Roman" w:eastAsia="Times New Roman" w:hAnsi="Times New Roman"/>
            <w:color w:val="1155cc"/>
            <w:u w:val="single"/>
            <w:rtl w:val="0"/>
          </w:rPr>
          <w:t xml:space="preserve">https://www.npr.org/2018/10/26/659571443/5-ways-to-make-classrooms-more-inclusive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F">
      <w:pPr>
        <w:widowControl w:val="1"/>
        <w:spacing w:after="240" w:befor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2</w:t>
      </w:r>
    </w:p>
    <w:p w:rsidR="00000000" w:rsidDel="00000000" w:rsidP="00000000" w:rsidRDefault="00000000" w:rsidRPr="00000000" w14:paraId="000000B0">
      <w:pPr>
        <w:widowControl w:val="1"/>
        <w:shd w:fill="ffffff" w:val="clea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Fang, Z., &amp; Coatoam, S. (2013). Disciplinary literacy : What you want to know about it. </w:t>
      </w:r>
      <w:r w:rsidDel="00000000" w:rsidR="00000000" w:rsidRPr="00000000">
        <w:rPr>
          <w:rFonts w:ascii="Times New Roman" w:cs="Times New Roman" w:eastAsia="Times New Roman" w:hAnsi="Times New Roman"/>
          <w:i w:val="1"/>
          <w:rtl w:val="0"/>
        </w:rPr>
        <w:t xml:space="preserve">Journal of Adolescent &amp; Adult Literacy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56</w:t>
      </w:r>
      <w:r w:rsidDel="00000000" w:rsidR="00000000" w:rsidRPr="00000000">
        <w:rPr>
          <w:rFonts w:ascii="Times New Roman" w:cs="Times New Roman" w:eastAsia="Times New Roman" w:hAnsi="Times New Roman"/>
          <w:rtl w:val="0"/>
        </w:rPr>
        <w:t xml:space="preserve">(8), 627–632. </w:t>
      </w:r>
      <w:hyperlink r:id="rId17">
        <w:r w:rsidDel="00000000" w:rsidR="00000000" w:rsidRPr="00000000">
          <w:rPr>
            <w:rFonts w:ascii="Times New Roman" w:cs="Times New Roman" w:eastAsia="Times New Roman" w:hAnsi="Times New Roman"/>
            <w:color w:val="1155cc"/>
            <w:u w:val="single"/>
            <w:rtl w:val="0"/>
          </w:rPr>
          <w:t xml:space="preserve">https://doi.org/10.1002/jaal.190</w:t>
        </w:r>
      </w:hyperlink>
      <w:r w:rsidDel="00000000" w:rsidR="00000000" w:rsidRPr="00000000">
        <w:rPr>
          <w:rtl w:val="0"/>
        </w:rPr>
      </w:r>
    </w:p>
    <w:p w:rsidR="00000000" w:rsidDel="00000000" w:rsidP="00000000" w:rsidRDefault="00000000" w:rsidRPr="00000000" w14:paraId="000000B1">
      <w:pPr>
        <w:widowControl w:val="1"/>
        <w:shd w:fill="ffffff" w:val="clea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Literacy Association. (2017). </w:t>
      </w:r>
      <w:r w:rsidDel="00000000" w:rsidR="00000000" w:rsidRPr="00000000">
        <w:rPr>
          <w:rFonts w:ascii="Times New Roman" w:cs="Times New Roman" w:eastAsia="Times New Roman" w:hAnsi="Times New Roman"/>
          <w:i w:val="1"/>
          <w:rtl w:val="0"/>
        </w:rPr>
        <w:t xml:space="preserve">Content area and disciplinary literacy: Strategies and frameworks </w:t>
      </w:r>
      <w:r w:rsidDel="00000000" w:rsidR="00000000" w:rsidRPr="00000000">
        <w:rPr>
          <w:rFonts w:ascii="Times New Roman" w:cs="Times New Roman" w:eastAsia="Times New Roman" w:hAnsi="Times New Roman"/>
          <w:rtl w:val="0"/>
        </w:rPr>
        <w:t xml:space="preserve">[Literacy leadership brief]. Newark, DE: Author.</w:t>
      </w:r>
    </w:p>
    <w:p w:rsidR="00000000" w:rsidDel="00000000" w:rsidP="00000000" w:rsidRDefault="00000000" w:rsidRPr="00000000" w14:paraId="000000B2">
      <w:pPr>
        <w:widowControl w:val="1"/>
        <w:spacing w:after="380" w:lineRule="auto"/>
        <w:ind w:left="720"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Moore, D. W. (2006). </w:t>
      </w:r>
      <w:r w:rsidDel="00000000" w:rsidR="00000000" w:rsidRPr="00000000">
        <w:rPr>
          <w:rFonts w:ascii="Times New Roman" w:cs="Times New Roman" w:eastAsia="Times New Roman" w:hAnsi="Times New Roman"/>
          <w:i w:val="1"/>
          <w:rtl w:val="0"/>
        </w:rPr>
        <w:t xml:space="preserve">Developing readers and writers in the content areas K-12</w:t>
      </w:r>
      <w:r w:rsidDel="00000000" w:rsidR="00000000" w:rsidRPr="00000000">
        <w:rPr>
          <w:rFonts w:ascii="Times New Roman" w:cs="Times New Roman" w:eastAsia="Times New Roman" w:hAnsi="Times New Roman"/>
          <w:rtl w:val="0"/>
        </w:rPr>
        <w:t xml:space="preserve">. (Ch.1). Pearson/Allyn and Bacon. </w:t>
      </w:r>
      <w:r w:rsidDel="00000000" w:rsidR="00000000" w:rsidRPr="00000000">
        <w:rPr>
          <w:rFonts w:ascii="Times New Roman" w:cs="Times New Roman" w:eastAsia="Times New Roman" w:hAnsi="Times New Roman"/>
          <w:color w:val="222222"/>
          <w:rtl w:val="0"/>
        </w:rPr>
        <w:t xml:space="preserve">Ch 1: Content Area Reading and Writing</w:t>
      </w:r>
    </w:p>
    <w:p w:rsidR="00000000" w:rsidDel="00000000" w:rsidP="00000000" w:rsidRDefault="00000000" w:rsidRPr="00000000" w14:paraId="000000B3">
      <w:pPr>
        <w:widowControl w:val="1"/>
        <w:numPr>
          <w:ilvl w:val="0"/>
          <w:numId w:val="1"/>
        </w:numPr>
        <w:spacing w:after="380"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Available on UNT eReserve spring 2022</w:t>
      </w:r>
    </w:p>
    <w:p w:rsidR="00000000" w:rsidDel="00000000" w:rsidP="00000000" w:rsidRDefault="00000000" w:rsidRPr="00000000" w14:paraId="000000B4">
      <w:pPr>
        <w:widowControl w:val="1"/>
        <w:spacing w:after="38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3</w:t>
      </w:r>
    </w:p>
    <w:p w:rsidR="00000000" w:rsidDel="00000000" w:rsidP="00000000" w:rsidRDefault="00000000" w:rsidRPr="00000000" w14:paraId="000000B5">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w:t>
      </w:r>
    </w:p>
    <w:p w:rsidR="00000000" w:rsidDel="00000000" w:rsidP="00000000" w:rsidRDefault="00000000" w:rsidRPr="00000000" w14:paraId="000000B6">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Katz, A. (2013). Positioning students in a new Lens: Art historians, Readers and Writers. </w:t>
      </w:r>
      <w:r w:rsidDel="00000000" w:rsidR="00000000" w:rsidRPr="00000000">
        <w:rPr>
          <w:rFonts w:ascii="Times New Roman" w:cs="Times New Roman" w:eastAsia="Times New Roman" w:hAnsi="Times New Roman"/>
          <w:i w:val="1"/>
          <w:rtl w:val="0"/>
        </w:rPr>
        <w:t xml:space="preserve">Journal of Content Area Reading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10</w:t>
      </w:r>
      <w:r w:rsidDel="00000000" w:rsidR="00000000" w:rsidRPr="00000000">
        <w:rPr>
          <w:rFonts w:ascii="Times New Roman" w:cs="Times New Roman" w:eastAsia="Times New Roman" w:hAnsi="Times New Roman"/>
          <w:rtl w:val="0"/>
        </w:rPr>
        <w:t xml:space="preserve">(1), 7–28. </w:t>
      </w:r>
    </w:p>
    <w:p w:rsidR="00000000" w:rsidDel="00000000" w:rsidP="00000000" w:rsidRDefault="00000000" w:rsidRPr="00000000" w14:paraId="000000B7">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ELA</w:t>
      </w:r>
    </w:p>
    <w:p w:rsidR="00000000" w:rsidDel="00000000" w:rsidP="00000000" w:rsidRDefault="00000000" w:rsidRPr="00000000" w14:paraId="000000B8">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Pytash, K. (2011). Teaching PSTS to Take a Disciplinary Approach to Teaching Writing. </w:t>
      </w:r>
      <w:r w:rsidDel="00000000" w:rsidR="00000000" w:rsidRPr="00000000">
        <w:rPr>
          <w:rFonts w:ascii="Times New Roman" w:cs="Times New Roman" w:eastAsia="Times New Roman" w:hAnsi="Times New Roman"/>
          <w:i w:val="1"/>
          <w:rtl w:val="0"/>
        </w:rPr>
        <w:t xml:space="preserve">Journal of Content Area Reading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9</w:t>
      </w:r>
      <w:r w:rsidDel="00000000" w:rsidR="00000000" w:rsidRPr="00000000">
        <w:rPr>
          <w:rFonts w:ascii="Times New Roman" w:cs="Times New Roman" w:eastAsia="Times New Roman" w:hAnsi="Times New Roman"/>
          <w:rtl w:val="0"/>
        </w:rPr>
        <w:t xml:space="preserve">(1), 105–122. </w:t>
      </w:r>
    </w:p>
    <w:p w:rsidR="00000000" w:rsidDel="00000000" w:rsidP="00000000" w:rsidRDefault="00000000" w:rsidRPr="00000000" w14:paraId="000000B9">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Math</w:t>
      </w:r>
    </w:p>
    <w:p w:rsidR="00000000" w:rsidDel="00000000" w:rsidP="00000000" w:rsidRDefault="00000000" w:rsidRPr="00000000" w14:paraId="000000BA">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Spitler, E. (2011). From resistance to advocacy for math literacy: One teacher's literacy identity transformation. </w:t>
      </w:r>
      <w:r w:rsidDel="00000000" w:rsidR="00000000" w:rsidRPr="00000000">
        <w:rPr>
          <w:rFonts w:ascii="Times New Roman" w:cs="Times New Roman" w:eastAsia="Times New Roman" w:hAnsi="Times New Roman"/>
          <w:i w:val="1"/>
          <w:rtl w:val="0"/>
        </w:rPr>
        <w:t xml:space="preserve">Journal of Adolescent &amp; Adult Literacy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55</w:t>
      </w:r>
      <w:r w:rsidDel="00000000" w:rsidR="00000000" w:rsidRPr="00000000">
        <w:rPr>
          <w:rFonts w:ascii="Times New Roman" w:cs="Times New Roman" w:eastAsia="Times New Roman" w:hAnsi="Times New Roman"/>
          <w:rtl w:val="0"/>
        </w:rPr>
        <w:t xml:space="preserve">(4), 306–315. </w:t>
      </w:r>
      <w:hyperlink r:id="rId18">
        <w:r w:rsidDel="00000000" w:rsidR="00000000" w:rsidRPr="00000000">
          <w:rPr>
            <w:rFonts w:ascii="Times New Roman" w:cs="Times New Roman" w:eastAsia="Times New Roman" w:hAnsi="Times New Roman"/>
            <w:color w:val="1155cc"/>
            <w:u w:val="single"/>
            <w:rtl w:val="0"/>
          </w:rPr>
          <w:t xml:space="preserve">https://doi.org/10.1002/jaal.00037</w:t>
        </w:r>
      </w:hyperlink>
      <w:r w:rsidDel="00000000" w:rsidR="00000000" w:rsidRPr="00000000">
        <w:rPr>
          <w:rtl w:val="0"/>
        </w:rPr>
      </w:r>
    </w:p>
    <w:p w:rsidR="00000000" w:rsidDel="00000000" w:rsidP="00000000" w:rsidRDefault="00000000" w:rsidRPr="00000000" w14:paraId="000000BB">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Music</w:t>
      </w:r>
    </w:p>
    <w:p w:rsidR="00000000" w:rsidDel="00000000" w:rsidP="00000000" w:rsidRDefault="00000000" w:rsidRPr="00000000" w14:paraId="000000BC">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Lenley, S. M. (2018). Using Inquiry to Develop Art and Music Preservice Teachers' Disciplinary Literacy Pedagogy. </w:t>
      </w:r>
      <w:r w:rsidDel="00000000" w:rsidR="00000000" w:rsidRPr="00000000">
        <w:rPr>
          <w:rFonts w:ascii="Times New Roman" w:cs="Times New Roman" w:eastAsia="Times New Roman" w:hAnsi="Times New Roman"/>
          <w:i w:val="1"/>
          <w:rtl w:val="0"/>
        </w:rPr>
        <w:t xml:space="preserve">The Journal of Literature, Literacy, and the Arts, Research Strand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rtl w:val="0"/>
        </w:rPr>
        <w:t xml:space="preserve">(1), 49–73. </w:t>
      </w:r>
      <w:hyperlink r:id="rId19">
        <w:r w:rsidDel="00000000" w:rsidR="00000000" w:rsidRPr="00000000">
          <w:rPr>
            <w:rFonts w:ascii="Times New Roman" w:cs="Times New Roman" w:eastAsia="Times New Roman" w:hAnsi="Times New Roman"/>
            <w:color w:val="1155cc"/>
            <w:u w:val="single"/>
            <w:rtl w:val="0"/>
          </w:rPr>
          <w:t xml:space="preserve">http://ed-ubiquity.gsu.edu/wordpress/wp-content/uploads/2018/10/Lemley-and-Hart-5-1b.pdf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D">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Science</w:t>
      </w:r>
    </w:p>
    <w:p w:rsidR="00000000" w:rsidDel="00000000" w:rsidP="00000000" w:rsidRDefault="00000000" w:rsidRPr="00000000" w14:paraId="000000BE">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Cervetti, G., &amp; Pearson, P. (2012). Reading, writing, and thinking like a scientist. </w:t>
      </w:r>
      <w:r w:rsidDel="00000000" w:rsidR="00000000" w:rsidRPr="00000000">
        <w:rPr>
          <w:rFonts w:ascii="Times New Roman" w:cs="Times New Roman" w:eastAsia="Times New Roman" w:hAnsi="Times New Roman"/>
          <w:i w:val="1"/>
          <w:rtl w:val="0"/>
        </w:rPr>
        <w:t xml:space="preserve">Journal of Adolescent &amp; Adult Literacy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55</w:t>
      </w:r>
      <w:r w:rsidDel="00000000" w:rsidR="00000000" w:rsidRPr="00000000">
        <w:rPr>
          <w:rFonts w:ascii="Times New Roman" w:cs="Times New Roman" w:eastAsia="Times New Roman" w:hAnsi="Times New Roman"/>
          <w:rtl w:val="0"/>
        </w:rPr>
        <w:t xml:space="preserve">(7), 580–586. </w:t>
      </w:r>
      <w:hyperlink r:id="rId20">
        <w:r w:rsidDel="00000000" w:rsidR="00000000" w:rsidRPr="00000000">
          <w:rPr>
            <w:rFonts w:ascii="Times New Roman" w:cs="Times New Roman" w:eastAsia="Times New Roman" w:hAnsi="Times New Roman"/>
            <w:color w:val="1155cc"/>
            <w:u w:val="single"/>
            <w:rtl w:val="0"/>
          </w:rPr>
          <w:t xml:space="preserve">https://doi.org/10.1002/jaal.00069</w:t>
        </w:r>
      </w:hyperlink>
      <w:r w:rsidDel="00000000" w:rsidR="00000000" w:rsidRPr="00000000">
        <w:rPr>
          <w:rtl w:val="0"/>
        </w:rPr>
      </w:r>
    </w:p>
    <w:p w:rsidR="00000000" w:rsidDel="00000000" w:rsidP="00000000" w:rsidRDefault="00000000" w:rsidRPr="00000000" w14:paraId="000000BF">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Social Studies</w:t>
      </w:r>
    </w:p>
    <w:p w:rsidR="00000000" w:rsidDel="00000000" w:rsidP="00000000" w:rsidRDefault="00000000" w:rsidRPr="00000000" w14:paraId="000000C0">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Damico, J., Baildon, M., Exter, M., &amp; Guo, S.-J. (2009). Where we read from matters: Disciplinary literacy in a ninth-grade social studies classroom. </w:t>
      </w:r>
      <w:r w:rsidDel="00000000" w:rsidR="00000000" w:rsidRPr="00000000">
        <w:rPr>
          <w:rFonts w:ascii="Times New Roman" w:cs="Times New Roman" w:eastAsia="Times New Roman" w:hAnsi="Times New Roman"/>
          <w:i w:val="1"/>
          <w:rtl w:val="0"/>
        </w:rPr>
        <w:t xml:space="preserve">Journal of Adolescent &amp; Adult Literacy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53</w:t>
      </w:r>
      <w:r w:rsidDel="00000000" w:rsidR="00000000" w:rsidRPr="00000000">
        <w:rPr>
          <w:rFonts w:ascii="Times New Roman" w:cs="Times New Roman" w:eastAsia="Times New Roman" w:hAnsi="Times New Roman"/>
          <w:rtl w:val="0"/>
        </w:rPr>
        <w:t xml:space="preserve">(4), 325–335. </w:t>
      </w:r>
      <w:hyperlink r:id="rId21">
        <w:r w:rsidDel="00000000" w:rsidR="00000000" w:rsidRPr="00000000">
          <w:rPr>
            <w:rFonts w:ascii="Times New Roman" w:cs="Times New Roman" w:eastAsia="Times New Roman" w:hAnsi="Times New Roman"/>
            <w:color w:val="1155cc"/>
            <w:u w:val="single"/>
            <w:rtl w:val="0"/>
          </w:rPr>
          <w:t xml:space="preserve">https://doi.org/10.1598/jaal.53.4.6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1">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Spanish</w:t>
      </w:r>
    </w:p>
    <w:p w:rsidR="00000000" w:rsidDel="00000000" w:rsidP="00000000" w:rsidRDefault="00000000" w:rsidRPr="00000000" w14:paraId="000000C2">
      <w:pPr>
        <w:widowControl w:val="1"/>
        <w:spacing w:after="380" w:lineRule="auto"/>
        <w:ind w:left="720" w:firstLine="0"/>
        <w:rPr>
          <w:rFonts w:ascii="Times New Roman" w:cs="Times New Roman" w:eastAsia="Times New Roman" w:hAnsi="Times New Roman"/>
          <w:color w:val="555555"/>
          <w:highlight w:val="white"/>
        </w:rPr>
      </w:pPr>
      <w:r w:rsidDel="00000000" w:rsidR="00000000" w:rsidRPr="00000000">
        <w:rPr>
          <w:rFonts w:ascii="Times New Roman" w:cs="Times New Roman" w:eastAsia="Times New Roman" w:hAnsi="Times New Roman"/>
          <w:highlight w:val="white"/>
          <w:rtl w:val="0"/>
        </w:rPr>
        <w:t xml:space="preserve">Hayes, K., Rueda, R., &amp; Chilton, S. (2009). Scaffolding language, literacy, and academic content in english and spanish: The linguistic highway from mesoamerica to southern california.</w:t>
      </w:r>
      <w:r w:rsidDel="00000000" w:rsidR="00000000" w:rsidRPr="00000000">
        <w:rPr>
          <w:rFonts w:ascii="Times New Roman" w:cs="Times New Roman" w:eastAsia="Times New Roman" w:hAnsi="Times New Roman"/>
          <w:i w:val="1"/>
          <w:rtl w:val="0"/>
        </w:rPr>
        <w:t xml:space="preserve"> English Teaching, 8</w:t>
      </w:r>
      <w:r w:rsidDel="00000000" w:rsidR="00000000" w:rsidRPr="00000000">
        <w:rPr>
          <w:rFonts w:ascii="Times New Roman" w:cs="Times New Roman" w:eastAsia="Times New Roman" w:hAnsi="Times New Roman"/>
          <w:highlight w:val="white"/>
          <w:rtl w:val="0"/>
        </w:rPr>
        <w:t xml:space="preserve">(2), 137. </w:t>
      </w:r>
      <w:hyperlink r:id="rId22">
        <w:r w:rsidDel="00000000" w:rsidR="00000000" w:rsidRPr="00000000">
          <w:rPr>
            <w:rFonts w:ascii="Times New Roman" w:cs="Times New Roman" w:eastAsia="Times New Roman" w:hAnsi="Times New Roman"/>
            <w:color w:val="1155cc"/>
            <w:highlight w:val="white"/>
            <w:u w:val="single"/>
            <w:rtl w:val="0"/>
          </w:rPr>
          <w:t xml:space="preserve">https://libproxy.library.unt.edu/login?url=https://www-proquest-com.libproxy.library.unt.edu/scholarly-journals/scaffolding-language-literacy-academic-content/docview/926191047/se-2?accountid=7113</w:t>
        </w:r>
      </w:hyperlink>
      <w:r w:rsidDel="00000000" w:rsidR="00000000" w:rsidRPr="00000000">
        <w:rPr>
          <w:rtl w:val="0"/>
        </w:rPr>
      </w:r>
    </w:p>
    <w:p w:rsidR="00000000" w:rsidDel="00000000" w:rsidP="00000000" w:rsidRDefault="00000000" w:rsidRPr="00000000" w14:paraId="000000C3">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Physical Education</w:t>
      </w:r>
    </w:p>
    <w:p w:rsidR="00000000" w:rsidDel="00000000" w:rsidP="00000000" w:rsidRDefault="00000000" w:rsidRPr="00000000" w14:paraId="000000C4">
      <w:pPr>
        <w:widowControl w:val="1"/>
        <w:spacing w:after="240" w:befor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Wickens, C. M., Manderino, M., Parker, J., &amp; Jung, J. (2015). Habits of practice. </w:t>
      </w:r>
      <w:r w:rsidDel="00000000" w:rsidR="00000000" w:rsidRPr="00000000">
        <w:rPr>
          <w:rFonts w:ascii="Times New Roman" w:cs="Times New Roman" w:eastAsia="Times New Roman" w:hAnsi="Times New Roman"/>
          <w:i w:val="1"/>
          <w:rtl w:val="0"/>
        </w:rPr>
        <w:t xml:space="preserve">Journal of Adolescent &amp; Adult Literacy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59</w:t>
      </w:r>
      <w:r w:rsidDel="00000000" w:rsidR="00000000" w:rsidRPr="00000000">
        <w:rPr>
          <w:rFonts w:ascii="Times New Roman" w:cs="Times New Roman" w:eastAsia="Times New Roman" w:hAnsi="Times New Roman"/>
          <w:rtl w:val="0"/>
        </w:rPr>
        <w:t xml:space="preserve">(1), 75–82. </w:t>
      </w:r>
      <w:hyperlink r:id="rId23">
        <w:r w:rsidDel="00000000" w:rsidR="00000000" w:rsidRPr="00000000">
          <w:rPr>
            <w:rFonts w:ascii="Times New Roman" w:cs="Times New Roman" w:eastAsia="Times New Roman" w:hAnsi="Times New Roman"/>
            <w:color w:val="1155cc"/>
            <w:u w:val="single"/>
            <w:rtl w:val="0"/>
          </w:rPr>
          <w:t xml:space="preserve">https://doi.org/10.1002/jaal.429</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C5">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Theatre</w:t>
      </w:r>
    </w:p>
    <w:p w:rsidR="00000000" w:rsidDel="00000000" w:rsidP="00000000" w:rsidRDefault="00000000" w:rsidRPr="00000000" w14:paraId="000000C6">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Flynn, R. M. (2004). Curriculum-based readers theatre: Setting the stage for reading and retention. </w:t>
      </w:r>
      <w:r w:rsidDel="00000000" w:rsidR="00000000" w:rsidRPr="00000000">
        <w:rPr>
          <w:rFonts w:ascii="Times New Roman" w:cs="Times New Roman" w:eastAsia="Times New Roman" w:hAnsi="Times New Roman"/>
          <w:i w:val="1"/>
          <w:rtl w:val="0"/>
        </w:rPr>
        <w:t xml:space="preserve">The Reading Teacher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58</w:t>
      </w:r>
      <w:r w:rsidDel="00000000" w:rsidR="00000000" w:rsidRPr="00000000">
        <w:rPr>
          <w:rFonts w:ascii="Times New Roman" w:cs="Times New Roman" w:eastAsia="Times New Roman" w:hAnsi="Times New Roman"/>
          <w:rtl w:val="0"/>
        </w:rPr>
        <w:t xml:space="preserve">(4), 360–365. </w:t>
      </w:r>
      <w:hyperlink r:id="rId24">
        <w:r w:rsidDel="00000000" w:rsidR="00000000" w:rsidRPr="00000000">
          <w:rPr>
            <w:rFonts w:ascii="Times New Roman" w:cs="Times New Roman" w:eastAsia="Times New Roman" w:hAnsi="Times New Roman"/>
            <w:color w:val="1155cc"/>
            <w:u w:val="single"/>
            <w:rtl w:val="0"/>
          </w:rPr>
          <w:t xml:space="preserve">https://doi.org/10.1598/rt.58.4.5</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7">
      <w:pPr>
        <w:widowControl w:val="1"/>
        <w:spacing w:after="38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4</w:t>
      </w:r>
    </w:p>
    <w:p w:rsidR="00000000" w:rsidDel="00000000" w:rsidP="00000000" w:rsidRDefault="00000000" w:rsidRPr="00000000" w14:paraId="000000C8">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Corbin, C. B. (2016). Implications of physical literacy for Research and Practice: A Commentary. </w:t>
      </w:r>
      <w:r w:rsidDel="00000000" w:rsidR="00000000" w:rsidRPr="00000000">
        <w:rPr>
          <w:rFonts w:ascii="Times New Roman" w:cs="Times New Roman" w:eastAsia="Times New Roman" w:hAnsi="Times New Roman"/>
          <w:i w:val="1"/>
          <w:rtl w:val="0"/>
        </w:rPr>
        <w:t xml:space="preserve">Research Quarterly for Exercise and Sport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87</w:t>
      </w:r>
      <w:r w:rsidDel="00000000" w:rsidR="00000000" w:rsidRPr="00000000">
        <w:rPr>
          <w:rFonts w:ascii="Times New Roman" w:cs="Times New Roman" w:eastAsia="Times New Roman" w:hAnsi="Times New Roman"/>
          <w:rtl w:val="0"/>
        </w:rPr>
        <w:t xml:space="preserve">(1), 14–27. </w:t>
      </w:r>
      <w:hyperlink r:id="rId25">
        <w:r w:rsidDel="00000000" w:rsidR="00000000" w:rsidRPr="00000000">
          <w:rPr>
            <w:rFonts w:ascii="Times New Roman" w:cs="Times New Roman" w:eastAsia="Times New Roman" w:hAnsi="Times New Roman"/>
            <w:color w:val="1155cc"/>
            <w:u w:val="single"/>
            <w:rtl w:val="0"/>
          </w:rPr>
          <w:t xml:space="preserve">https://doi.org/10.1080/02701367.2016.1124722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9">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Munger, E. by K. A. (n.d.). </w:t>
      </w:r>
      <w:r w:rsidDel="00000000" w:rsidR="00000000" w:rsidRPr="00000000">
        <w:rPr>
          <w:rFonts w:ascii="Times New Roman" w:cs="Times New Roman" w:eastAsia="Times New Roman" w:hAnsi="Times New Roman"/>
          <w:i w:val="1"/>
          <w:rtl w:val="0"/>
        </w:rPr>
        <w:t xml:space="preserve">Steps to success: Crossing the bridge between Literacy Research and Practice</w:t>
      </w:r>
      <w:r w:rsidDel="00000000" w:rsidR="00000000" w:rsidRPr="00000000">
        <w:rPr>
          <w:rFonts w:ascii="Times New Roman" w:cs="Times New Roman" w:eastAsia="Times New Roman" w:hAnsi="Times New Roman"/>
          <w:rtl w:val="0"/>
        </w:rPr>
        <w:t xml:space="preserve">. Disciplinary Literacy | Steps to Success: Crossing the Bridge Between Literacy Research and Practice. Retrieved September 22, 2021, from </w:t>
      </w:r>
      <w:hyperlink r:id="rId26">
        <w:r w:rsidDel="00000000" w:rsidR="00000000" w:rsidRPr="00000000">
          <w:rPr>
            <w:rFonts w:ascii="Times New Roman" w:cs="Times New Roman" w:eastAsia="Times New Roman" w:hAnsi="Times New Roman"/>
            <w:color w:val="1155cc"/>
            <w:u w:val="single"/>
            <w:rtl w:val="0"/>
          </w:rPr>
          <w:t xml:space="preserve">https://courses.lumenlearning.com/suny-hccc-childrenslit/chapter/disciplinary-literacy/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A">
      <w:pPr>
        <w:widowControl w:val="1"/>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5</w:t>
      </w:r>
    </w:p>
    <w:p w:rsidR="00000000" w:rsidDel="00000000" w:rsidP="00000000" w:rsidRDefault="00000000" w:rsidRPr="00000000" w14:paraId="000000CB">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Lent, R. C., &amp; Voigt, M. M. (2019). Creating a schoolwide culture of disciplinary thinking. In R. C. Lent and M. M. Voigt, (Eds), </w:t>
      </w:r>
      <w:r w:rsidDel="00000000" w:rsidR="00000000" w:rsidRPr="00000000">
        <w:rPr>
          <w:rFonts w:ascii="Times New Roman" w:cs="Times New Roman" w:eastAsia="Times New Roman" w:hAnsi="Times New Roman"/>
          <w:i w:val="1"/>
          <w:rtl w:val="0"/>
        </w:rPr>
        <w:t xml:space="preserve">Disciplinary Literacy in Action: How to create and sustain a school-wide culture of deep reading, writing, and thinking</w:t>
      </w:r>
      <w:r w:rsidDel="00000000" w:rsidR="00000000" w:rsidRPr="00000000">
        <w:rPr>
          <w:rFonts w:ascii="Times New Roman" w:cs="Times New Roman" w:eastAsia="Times New Roman" w:hAnsi="Times New Roman"/>
          <w:rtl w:val="0"/>
        </w:rPr>
        <w:t xml:space="preserve"> (pp. 125-155).</w:t>
      </w:r>
    </w:p>
    <w:p w:rsidR="00000000" w:rsidDel="00000000" w:rsidP="00000000" w:rsidRDefault="00000000" w:rsidRPr="00000000" w14:paraId="000000CC">
      <w:pPr>
        <w:widowControl w:val="1"/>
        <w:numPr>
          <w:ilvl w:val="0"/>
          <w:numId w:val="3"/>
        </w:numPr>
        <w:shd w:fill="ffffff"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ebook access to the entire book - Ch 5 referenced in citation above.</w:t>
      </w:r>
    </w:p>
    <w:p w:rsidR="00000000" w:rsidDel="00000000" w:rsidP="00000000" w:rsidRDefault="00000000" w:rsidRPr="00000000" w14:paraId="000000CD">
      <w:pPr>
        <w:widowControl w:val="1"/>
        <w:numPr>
          <w:ilvl w:val="1"/>
          <w:numId w:val="3"/>
        </w:numPr>
        <w:shd w:fill="ffffff" w:val="clear"/>
        <w:ind w:left="1440" w:hanging="360"/>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u w:val="single"/>
            <w:rtl w:val="0"/>
          </w:rPr>
          <w:t xml:space="preserve">Access in Discover*</w:t>
        </w:r>
      </w:hyperlink>
      <w:r w:rsidDel="00000000" w:rsidR="00000000" w:rsidRPr="00000000">
        <w:rPr>
          <w:rtl w:val="0"/>
        </w:rPr>
      </w:r>
    </w:p>
    <w:p w:rsidR="00000000" w:rsidDel="00000000" w:rsidP="00000000" w:rsidRDefault="00000000" w:rsidRPr="00000000" w14:paraId="000000CE">
      <w:pPr>
        <w:widowControl w:val="1"/>
        <w:numPr>
          <w:ilvl w:val="1"/>
          <w:numId w:val="3"/>
        </w:numPr>
        <w:shd w:fill="ffffff" w:val="clear"/>
        <w:ind w:left="1440" w:hanging="360"/>
        <w:rPr>
          <w:rFonts w:ascii="Times New Roman" w:cs="Times New Roman" w:eastAsia="Times New Roman" w:hAnsi="Times New Roman"/>
        </w:rPr>
      </w:pPr>
      <w:hyperlink r:id="rId28">
        <w:r w:rsidDel="00000000" w:rsidR="00000000" w:rsidRPr="00000000">
          <w:rPr>
            <w:rFonts w:ascii="Times New Roman" w:cs="Times New Roman" w:eastAsia="Times New Roman" w:hAnsi="Times New Roman"/>
            <w:color w:val="1155cc"/>
            <w:u w:val="single"/>
            <w:rtl w:val="0"/>
          </w:rPr>
          <w:t xml:space="preserve">Access in the old Catalog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F">
      <w:pPr>
        <w:widowControl w:val="1"/>
        <w:spacing w:after="280" w:lineRule="auto"/>
        <w:rPr>
          <w:rFonts w:ascii="Times New Roman" w:cs="Times New Roman" w:eastAsia="Times New Roman" w:hAnsi="Times New Roman"/>
        </w:rPr>
      </w:pPr>
      <w:hyperlink r:id="rId29">
        <w:r w:rsidDel="00000000" w:rsidR="00000000" w:rsidRPr="00000000">
          <w:rPr>
            <w:rFonts w:ascii="Times New Roman" w:cs="Times New Roman" w:eastAsia="Times New Roman" w:hAnsi="Times New Roman"/>
            <w:color w:val="1155cc"/>
            <w:u w:val="single"/>
            <w:rtl w:val="0"/>
          </w:rPr>
          <w:t xml:space="preserve">Reaching every learner: Differentiating instruction in theory and practice</w:t>
        </w:r>
      </w:hyperlink>
      <w:r w:rsidDel="00000000" w:rsidR="00000000" w:rsidRPr="00000000">
        <w:rPr>
          <w:rtl w:val="0"/>
        </w:rPr>
      </w:r>
    </w:p>
    <w:p w:rsidR="00000000" w:rsidDel="00000000" w:rsidP="00000000" w:rsidRDefault="00000000" w:rsidRPr="00000000" w14:paraId="000000D0">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6</w:t>
      </w:r>
    </w:p>
    <w:p w:rsidR="00000000" w:rsidDel="00000000" w:rsidP="00000000" w:rsidRDefault="00000000" w:rsidRPr="00000000" w14:paraId="000000D1">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Harmon, J. M., Hedrick, W. B., &amp; Wood, K. D. (2005). Research on vocabulary instruction in the content areas: Implications for struggling readers. </w:t>
      </w:r>
      <w:r w:rsidDel="00000000" w:rsidR="00000000" w:rsidRPr="00000000">
        <w:rPr>
          <w:rFonts w:ascii="Times New Roman" w:cs="Times New Roman" w:eastAsia="Times New Roman" w:hAnsi="Times New Roman"/>
          <w:i w:val="1"/>
          <w:rtl w:val="0"/>
        </w:rPr>
        <w:t xml:space="preserve">Reading &amp; Writing Quarterly, 21</w:t>
      </w:r>
      <w:r w:rsidDel="00000000" w:rsidR="00000000" w:rsidRPr="00000000">
        <w:rPr>
          <w:rFonts w:ascii="Times New Roman" w:cs="Times New Roman" w:eastAsia="Times New Roman" w:hAnsi="Times New Roman"/>
          <w:rtl w:val="0"/>
        </w:rPr>
        <w:t xml:space="preserve">(3), 261-280. </w:t>
      </w:r>
      <w:hyperlink r:id="rId30">
        <w:r w:rsidDel="00000000" w:rsidR="00000000" w:rsidRPr="00000000">
          <w:rPr>
            <w:rFonts w:ascii="Times New Roman" w:cs="Times New Roman" w:eastAsia="Times New Roman" w:hAnsi="Times New Roman"/>
            <w:color w:val="1155cc"/>
            <w:u w:val="single"/>
            <w:rtl w:val="0"/>
          </w:rPr>
          <w:t xml:space="preserve">https://doi.org/10.1080/10573560590949377</w:t>
        </w:r>
      </w:hyperlink>
      <w:r w:rsidDel="00000000" w:rsidR="00000000" w:rsidRPr="00000000">
        <w:rPr>
          <w:rtl w:val="0"/>
        </w:rPr>
      </w:r>
    </w:p>
    <w:p w:rsidR="00000000" w:rsidDel="00000000" w:rsidP="00000000" w:rsidRDefault="00000000" w:rsidRPr="00000000" w14:paraId="000000D2">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Swanson, E., Wanzek, J., McCulley, L., Stillman-Spisak, S., Vaughn, S., Simmons, D., ... &amp; Hairrell, A. (2016). Literacy and text reading in middle and high school social studies and English language arts classrooms. </w:t>
      </w:r>
      <w:r w:rsidDel="00000000" w:rsidR="00000000" w:rsidRPr="00000000">
        <w:rPr>
          <w:rFonts w:ascii="Times New Roman" w:cs="Times New Roman" w:eastAsia="Times New Roman" w:hAnsi="Times New Roman"/>
          <w:i w:val="1"/>
          <w:rtl w:val="0"/>
        </w:rPr>
        <w:t xml:space="preserve">Reading &amp; Writing Quarterly, 32</w:t>
      </w:r>
      <w:r w:rsidDel="00000000" w:rsidR="00000000" w:rsidRPr="00000000">
        <w:rPr>
          <w:rFonts w:ascii="Times New Roman" w:cs="Times New Roman" w:eastAsia="Times New Roman" w:hAnsi="Times New Roman"/>
          <w:rtl w:val="0"/>
        </w:rPr>
        <w:t xml:space="preserve">(3), 199-222. </w:t>
      </w:r>
      <w:hyperlink r:id="rId31">
        <w:r w:rsidDel="00000000" w:rsidR="00000000" w:rsidRPr="00000000">
          <w:rPr>
            <w:rFonts w:ascii="Times New Roman" w:cs="Times New Roman" w:eastAsia="Times New Roman" w:hAnsi="Times New Roman"/>
            <w:color w:val="1155cc"/>
            <w:u w:val="single"/>
            <w:rtl w:val="0"/>
          </w:rPr>
          <w:t xml:space="preserve">https://doi.org/10.1080/10573569.2014.910718</w:t>
        </w:r>
      </w:hyperlink>
      <w:r w:rsidDel="00000000" w:rsidR="00000000" w:rsidRPr="00000000">
        <w:rPr>
          <w:rtl w:val="0"/>
        </w:rPr>
      </w:r>
    </w:p>
    <w:p w:rsidR="00000000" w:rsidDel="00000000" w:rsidP="00000000" w:rsidRDefault="00000000" w:rsidRPr="00000000" w14:paraId="000000D3">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Riccomini, P. J., Smith, G. W., Hughes, E. M., &amp; Fries, K. M. (2015). The language of mathematics: The importance of teaching and learning mathematical vocabulary. </w:t>
      </w:r>
      <w:r w:rsidDel="00000000" w:rsidR="00000000" w:rsidRPr="00000000">
        <w:rPr>
          <w:rFonts w:ascii="Times New Roman" w:cs="Times New Roman" w:eastAsia="Times New Roman" w:hAnsi="Times New Roman"/>
          <w:i w:val="1"/>
          <w:rtl w:val="0"/>
        </w:rPr>
        <w:t xml:space="preserve">Reading &amp; Writing Quarterly, 31</w:t>
      </w:r>
      <w:r w:rsidDel="00000000" w:rsidR="00000000" w:rsidRPr="00000000">
        <w:rPr>
          <w:rFonts w:ascii="Times New Roman" w:cs="Times New Roman" w:eastAsia="Times New Roman" w:hAnsi="Times New Roman"/>
          <w:rtl w:val="0"/>
        </w:rPr>
        <w:t xml:space="preserve">(3), 235-252. </w:t>
      </w:r>
      <w:hyperlink r:id="rId32">
        <w:r w:rsidDel="00000000" w:rsidR="00000000" w:rsidRPr="00000000">
          <w:rPr>
            <w:rFonts w:ascii="Times New Roman" w:cs="Times New Roman" w:eastAsia="Times New Roman" w:hAnsi="Times New Roman"/>
            <w:color w:val="1155cc"/>
            <w:u w:val="single"/>
            <w:rtl w:val="0"/>
          </w:rPr>
          <w:t xml:space="preserve">https://doi.org/10.1080/10573569.2015.1030995</w:t>
        </w:r>
      </w:hyperlink>
      <w:r w:rsidDel="00000000" w:rsidR="00000000" w:rsidRPr="00000000">
        <w:rPr>
          <w:rtl w:val="0"/>
        </w:rPr>
      </w:r>
    </w:p>
    <w:p w:rsidR="00000000" w:rsidDel="00000000" w:rsidP="00000000" w:rsidRDefault="00000000" w:rsidRPr="00000000" w14:paraId="000000D4">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Medina, S. L. (1990). The Effects of Music upon Second Language Vocabulary Acquisition.</w:t>
      </w:r>
      <w:r w:rsidDel="00000000" w:rsidR="00000000" w:rsidRPr="00000000">
        <w:rPr>
          <w:rFonts w:ascii="Times New Roman" w:cs="Times New Roman" w:eastAsia="Times New Roman" w:hAnsi="Times New Roman"/>
          <w:rtl w:val="0"/>
        </w:rPr>
        <w:t xml:space="preserve"> Paper presented at the Annual Meeting of the Teachers of English to Speakers of Other Languages (San Francisco, CA, March 1990).</w:t>
      </w:r>
      <w:r w:rsidDel="00000000" w:rsidR="00000000" w:rsidRPr="00000000">
        <w:rPr>
          <w:rFonts w:ascii="Times New Roman" w:cs="Times New Roman" w:eastAsia="Times New Roman" w:hAnsi="Times New Roman"/>
          <w:color w:val="222222"/>
          <w:rtl w:val="0"/>
        </w:rPr>
        <w:t xml:space="preserve"> </w:t>
      </w:r>
      <w:hyperlink r:id="rId33">
        <w:r w:rsidDel="00000000" w:rsidR="00000000" w:rsidRPr="00000000">
          <w:rPr>
            <w:rFonts w:ascii="Times New Roman" w:cs="Times New Roman" w:eastAsia="Times New Roman" w:hAnsi="Times New Roman"/>
            <w:color w:val="1155cc"/>
            <w:u w:val="single"/>
            <w:rtl w:val="0"/>
          </w:rPr>
          <w:t xml:space="preserve">https://eric.ed.gov/?id=ED352834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5">
      <w:pPr>
        <w:widowControl w:val="1"/>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7</w:t>
      </w:r>
    </w:p>
    <w:p w:rsidR="00000000" w:rsidDel="00000000" w:rsidP="00000000" w:rsidRDefault="00000000" w:rsidRPr="00000000" w14:paraId="000000D6">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Lent, R. C., &amp; Voigt, M. M. (2019). Creating a schoolwide culture of disciplinary thinking. In R. C. Lent and M. M. Voigt, (Eds), </w:t>
      </w:r>
      <w:r w:rsidDel="00000000" w:rsidR="00000000" w:rsidRPr="00000000">
        <w:rPr>
          <w:rFonts w:ascii="Times New Roman" w:cs="Times New Roman" w:eastAsia="Times New Roman" w:hAnsi="Times New Roman"/>
          <w:i w:val="1"/>
          <w:rtl w:val="0"/>
        </w:rPr>
        <w:t xml:space="preserve">Disciplinary Literacy in Action: How to create and sustain a school-wide culture of deep reading, writing, and thinking</w:t>
      </w:r>
      <w:r w:rsidDel="00000000" w:rsidR="00000000" w:rsidRPr="00000000">
        <w:rPr>
          <w:rFonts w:ascii="Times New Roman" w:cs="Times New Roman" w:eastAsia="Times New Roman" w:hAnsi="Times New Roman"/>
          <w:rtl w:val="0"/>
        </w:rPr>
        <w:t xml:space="preserve"> (pp. 125-155).</w:t>
      </w:r>
    </w:p>
    <w:p w:rsidR="00000000" w:rsidDel="00000000" w:rsidP="00000000" w:rsidRDefault="00000000" w:rsidRPr="00000000" w14:paraId="000000D7">
      <w:pPr>
        <w:widowControl w:val="1"/>
        <w:spacing w:after="240" w:before="240" w:lineRule="auto"/>
        <w:ind w:left="720" w:firstLine="0"/>
        <w:rPr>
          <w:rFonts w:ascii="Times New Roman" w:cs="Times New Roman" w:eastAsia="Times New Roman" w:hAnsi="Times New Roman"/>
          <w:shd w:fill="f2f2f2" w:val="clear"/>
        </w:rPr>
      </w:pPr>
      <w:r w:rsidDel="00000000" w:rsidR="00000000" w:rsidRPr="00000000">
        <w:rPr>
          <w:rFonts w:ascii="Times New Roman" w:cs="Times New Roman" w:eastAsia="Times New Roman" w:hAnsi="Times New Roman"/>
          <w:highlight w:val="white"/>
          <w:rtl w:val="0"/>
        </w:rPr>
        <w:t xml:space="preserve">Watkins, N. M., &amp; Lindahl, K. M. (2010). Targeting content area literacy instruction to meet the needs of adolescent english language learners.</w:t>
      </w:r>
      <w:r w:rsidDel="00000000" w:rsidR="00000000" w:rsidRPr="00000000">
        <w:rPr>
          <w:rFonts w:ascii="Times New Roman" w:cs="Times New Roman" w:eastAsia="Times New Roman" w:hAnsi="Times New Roman"/>
          <w:i w:val="1"/>
          <w:rtl w:val="0"/>
        </w:rPr>
        <w:t xml:space="preserve"> Middle School Journal, 41</w:t>
      </w:r>
      <w:r w:rsidDel="00000000" w:rsidR="00000000" w:rsidRPr="00000000">
        <w:rPr>
          <w:rFonts w:ascii="Times New Roman" w:cs="Times New Roman" w:eastAsia="Times New Roman" w:hAnsi="Times New Roman"/>
          <w:highlight w:val="white"/>
          <w:rtl w:val="0"/>
        </w:rPr>
        <w:t xml:space="preserve">(3), 23-32. </w:t>
      </w:r>
      <w:hyperlink r:id="rId34">
        <w:r w:rsidDel="00000000" w:rsidR="00000000" w:rsidRPr="00000000">
          <w:rPr>
            <w:rFonts w:ascii="Times New Roman" w:cs="Times New Roman" w:eastAsia="Times New Roman" w:hAnsi="Times New Roman"/>
            <w:color w:val="1155cc"/>
            <w:highlight w:val="white"/>
            <w:u w:val="single"/>
            <w:rtl w:val="0"/>
          </w:rPr>
          <w:t xml:space="preserve">https://libproxy.library.unt.edu/login?url=https://www-proquest-com.libproxy.library.unt.edu/scholarly-journals/targeting-content-area-literacy-instruction-meet/docview/217433626/se-2?accountid=7113</w:t>
        </w:r>
      </w:hyperlink>
      <w:r w:rsidDel="00000000" w:rsidR="00000000" w:rsidRPr="00000000">
        <w:rPr>
          <w:rtl w:val="0"/>
        </w:rPr>
      </w:r>
    </w:p>
    <w:p w:rsidR="00000000" w:rsidDel="00000000" w:rsidP="00000000" w:rsidRDefault="00000000" w:rsidRPr="00000000" w14:paraId="000000D8">
      <w:pPr>
        <w:widowControl w:val="1"/>
        <w:spacing w:after="240" w:befor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*Supplemental Readings Relevant to Culturally Responsive Teaching</w:t>
      </w:r>
    </w:p>
    <w:p w:rsidR="00000000" w:rsidDel="00000000" w:rsidP="00000000" w:rsidRDefault="00000000" w:rsidRPr="00000000" w14:paraId="000000D9">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*Readings from an honors project, “Designing Anti-Biased and Anti-Racist Instruction in a Secondary English Classroom”</w:t>
      </w:r>
    </w:p>
    <w:p w:rsidR="00000000" w:rsidDel="00000000" w:rsidP="00000000" w:rsidRDefault="00000000" w:rsidRPr="00000000" w14:paraId="000000DA">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Arneback, E. &amp; Englund, T. (2020). Teachers’ deliberation on communicative potentials in classrooms when students express racism. </w:t>
      </w:r>
      <w:r w:rsidDel="00000000" w:rsidR="00000000" w:rsidRPr="00000000">
        <w:rPr>
          <w:rFonts w:ascii="Times New Roman" w:cs="Times New Roman" w:eastAsia="Times New Roman" w:hAnsi="Times New Roman"/>
          <w:i w:val="1"/>
          <w:rtl w:val="0"/>
        </w:rPr>
        <w:t xml:space="preserve">Reflective Practice, 21</w:t>
      </w:r>
      <w:r w:rsidDel="00000000" w:rsidR="00000000" w:rsidRPr="00000000">
        <w:rPr>
          <w:rFonts w:ascii="Times New Roman" w:cs="Times New Roman" w:eastAsia="Times New Roman" w:hAnsi="Times New Roman"/>
          <w:rtl w:val="0"/>
        </w:rPr>
        <w:t xml:space="preserve">(1), 28-40. </w:t>
      </w:r>
      <w:hyperlink r:id="rId35">
        <w:r w:rsidDel="00000000" w:rsidR="00000000" w:rsidRPr="00000000">
          <w:rPr>
            <w:rFonts w:ascii="Times New Roman" w:cs="Times New Roman" w:eastAsia="Times New Roman" w:hAnsi="Times New Roman"/>
            <w:color w:val="1155cc"/>
            <w:u w:val="single"/>
            <w:rtl w:val="0"/>
          </w:rPr>
          <w:t xml:space="preserve">https://doi.org/10.1080/14623943.2019.1708304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B">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Arneback, E. &amp; Jämte, J. (2021). How to counteract racism in education: A typology of teachers’ anti-racist actions. </w:t>
      </w:r>
      <w:r w:rsidDel="00000000" w:rsidR="00000000" w:rsidRPr="00000000">
        <w:rPr>
          <w:rFonts w:ascii="Times New Roman" w:cs="Times New Roman" w:eastAsia="Times New Roman" w:hAnsi="Times New Roman"/>
          <w:i w:val="1"/>
          <w:rtl w:val="0"/>
        </w:rPr>
        <w:t xml:space="preserve">Race Ethnicity and Education. </w:t>
      </w:r>
      <w:hyperlink r:id="rId36">
        <w:r w:rsidDel="00000000" w:rsidR="00000000" w:rsidRPr="00000000">
          <w:rPr>
            <w:rFonts w:ascii="Times New Roman" w:cs="Times New Roman" w:eastAsia="Times New Roman" w:hAnsi="Times New Roman"/>
            <w:color w:val="1155cc"/>
            <w:u w:val="single"/>
            <w:rtl w:val="0"/>
          </w:rPr>
          <w:t xml:space="preserve">https://doi.org/10.1080/13613324.2021.1890566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C">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Baker-Bell, A. (2020). Dismantling anti-black linguistic racism in English language arts classrooms: Toward an anti-racist black language pedagogy. Theory Into Practice, 59(1), 8–21. </w:t>
      </w:r>
      <w:hyperlink r:id="rId37">
        <w:r w:rsidDel="00000000" w:rsidR="00000000" w:rsidRPr="00000000">
          <w:rPr>
            <w:rFonts w:ascii="Times New Roman" w:cs="Times New Roman" w:eastAsia="Times New Roman" w:hAnsi="Times New Roman"/>
            <w:color w:val="1155cc"/>
            <w:u w:val="single"/>
            <w:rtl w:val="0"/>
          </w:rPr>
          <w:t xml:space="preserve">https://doi-org.libproxy.library.unt.edu/10.1080/00405841.2019.1665415</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D">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Darling-Hammond, L. (2017). Teaching for social justice: Resources, relationships, and anti-racist practice. </w:t>
      </w:r>
      <w:r w:rsidDel="00000000" w:rsidR="00000000" w:rsidRPr="00000000">
        <w:rPr>
          <w:rFonts w:ascii="Times New Roman" w:cs="Times New Roman" w:eastAsia="Times New Roman" w:hAnsi="Times New Roman"/>
          <w:i w:val="1"/>
          <w:rtl w:val="0"/>
        </w:rPr>
        <w:t xml:space="preserve">Multicultural Perspectives, 19</w:t>
      </w:r>
      <w:r w:rsidDel="00000000" w:rsidR="00000000" w:rsidRPr="00000000">
        <w:rPr>
          <w:rFonts w:ascii="Times New Roman" w:cs="Times New Roman" w:eastAsia="Times New Roman" w:hAnsi="Times New Roman"/>
          <w:rtl w:val="0"/>
        </w:rPr>
        <w:t xml:space="preserve">(3), 133-138. </w:t>
      </w:r>
      <w:hyperlink r:id="rId38">
        <w:r w:rsidDel="00000000" w:rsidR="00000000" w:rsidRPr="00000000">
          <w:rPr>
            <w:rFonts w:ascii="Times New Roman" w:cs="Times New Roman" w:eastAsia="Times New Roman" w:hAnsi="Times New Roman"/>
            <w:color w:val="1155cc"/>
            <w:u w:val="single"/>
            <w:rtl w:val="0"/>
          </w:rPr>
          <w:t xml:space="preserve">https://doi.org/10.1080/15210960.2017.1335039</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E">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Dei, G. J. S. (2001). Rescuing theory: Anti-Racism and inclusive education. </w:t>
      </w:r>
      <w:r w:rsidDel="00000000" w:rsidR="00000000" w:rsidRPr="00000000">
        <w:rPr>
          <w:rFonts w:ascii="Times New Roman" w:cs="Times New Roman" w:eastAsia="Times New Roman" w:hAnsi="Times New Roman"/>
          <w:i w:val="1"/>
          <w:rtl w:val="0"/>
        </w:rPr>
        <w:t xml:space="preserve">Race, Gender &amp; Class, 8</w:t>
      </w:r>
      <w:r w:rsidDel="00000000" w:rsidR="00000000" w:rsidRPr="00000000">
        <w:rPr>
          <w:rFonts w:ascii="Times New Roman" w:cs="Times New Roman" w:eastAsia="Times New Roman" w:hAnsi="Times New Roman"/>
          <w:rtl w:val="0"/>
        </w:rPr>
        <w:t xml:space="preserve">(1), 139. </w:t>
      </w:r>
      <w:hyperlink r:id="rId39">
        <w:r w:rsidDel="00000000" w:rsidR="00000000" w:rsidRPr="00000000">
          <w:rPr>
            <w:rFonts w:ascii="Times New Roman" w:cs="Times New Roman" w:eastAsia="Times New Roman" w:hAnsi="Times New Roman"/>
            <w:color w:val="1155cc"/>
            <w:u w:val="single"/>
            <w:rtl w:val="0"/>
          </w:rPr>
          <w:t xml:space="preserve">https://libproxy.library.unt.edu/login?url=https://www-proquest-com.libproxy.library.unt.edu/scholarly-journals/rescuing-theory-anti-racism-inclusive-education/docview/218857970/se-2?accountid=7113</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F">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Ebarvia, T. (2021). Starting With self: Identity work and anti-racist literacy practices. </w:t>
      </w:r>
      <w:r w:rsidDel="00000000" w:rsidR="00000000" w:rsidRPr="00000000">
        <w:rPr>
          <w:rFonts w:ascii="Times New Roman" w:cs="Times New Roman" w:eastAsia="Times New Roman" w:hAnsi="Times New Roman"/>
          <w:i w:val="1"/>
          <w:rtl w:val="0"/>
        </w:rPr>
        <w:t xml:space="preserve">Journal of Adolescent and Adult Literacy, 64</w:t>
      </w:r>
      <w:r w:rsidDel="00000000" w:rsidR="00000000" w:rsidRPr="00000000">
        <w:rPr>
          <w:rFonts w:ascii="Times New Roman" w:cs="Times New Roman" w:eastAsia="Times New Roman" w:hAnsi="Times New Roman"/>
          <w:rtl w:val="0"/>
        </w:rPr>
        <w:t xml:space="preserve">(5), 581-584. </w:t>
      </w:r>
      <w:hyperlink r:id="rId40">
        <w:r w:rsidDel="00000000" w:rsidR="00000000" w:rsidRPr="00000000">
          <w:rPr>
            <w:rFonts w:ascii="Times New Roman" w:cs="Times New Roman" w:eastAsia="Times New Roman" w:hAnsi="Times New Roman"/>
            <w:color w:val="1155cc"/>
            <w:u w:val="single"/>
            <w:rtl w:val="0"/>
          </w:rPr>
          <w:t xml:space="preserve">https://doi-org.libproxy.library.unt.edu/10.1002/jaal.1140</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0">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Hinton, M., &amp; Ono-George, M.  (2020). Teaching a history of “race” and anti-racist action in an academic classroom. </w:t>
      </w:r>
      <w:r w:rsidDel="00000000" w:rsidR="00000000" w:rsidRPr="00000000">
        <w:rPr>
          <w:rFonts w:ascii="Times New Roman" w:cs="Times New Roman" w:eastAsia="Times New Roman" w:hAnsi="Times New Roman"/>
          <w:i w:val="1"/>
          <w:rtl w:val="0"/>
        </w:rPr>
        <w:t xml:space="preserve">AREA, 52,</w:t>
      </w:r>
      <w:r w:rsidDel="00000000" w:rsidR="00000000" w:rsidRPr="00000000">
        <w:rPr>
          <w:rFonts w:ascii="Times New Roman" w:cs="Times New Roman" w:eastAsia="Times New Roman" w:hAnsi="Times New Roman"/>
          <w:rtl w:val="0"/>
        </w:rPr>
        <w:t xml:space="preserve"> 716-721. </w:t>
      </w:r>
      <w:hyperlink r:id="rId41">
        <w:r w:rsidDel="00000000" w:rsidR="00000000" w:rsidRPr="00000000">
          <w:rPr>
            <w:rFonts w:ascii="Times New Roman" w:cs="Times New Roman" w:eastAsia="Times New Roman" w:hAnsi="Times New Roman"/>
            <w:color w:val="1155cc"/>
            <w:u w:val="single"/>
            <w:rtl w:val="0"/>
          </w:rPr>
          <w:t xml:space="preserve">https://doi-org.libproxy.library.unt.edu/10.1111/area.12536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1">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T. &amp; Evans, L. M. (2018). Preparing preservice teachers for bilingual and bicultural classrooms in an era of political change. </w:t>
      </w:r>
      <w:r w:rsidDel="00000000" w:rsidR="00000000" w:rsidRPr="00000000">
        <w:rPr>
          <w:rFonts w:ascii="Times New Roman" w:cs="Times New Roman" w:eastAsia="Times New Roman" w:hAnsi="Times New Roman"/>
          <w:i w:val="1"/>
          <w:rtl w:val="0"/>
        </w:rPr>
        <w:t xml:space="preserve">Bilingual Research Journal, 41</w:t>
      </w:r>
      <w:r w:rsidDel="00000000" w:rsidR="00000000" w:rsidRPr="00000000">
        <w:rPr>
          <w:rFonts w:ascii="Times New Roman" w:cs="Times New Roman" w:eastAsia="Times New Roman" w:hAnsi="Times New Roman"/>
          <w:rtl w:val="0"/>
        </w:rPr>
        <w:t xml:space="preserve">(1), 52-68. </w:t>
      </w:r>
      <w:hyperlink r:id="rId42">
        <w:r w:rsidDel="00000000" w:rsidR="00000000" w:rsidRPr="00000000">
          <w:rPr>
            <w:rFonts w:ascii="Times New Roman" w:cs="Times New Roman" w:eastAsia="Times New Roman" w:hAnsi="Times New Roman"/>
            <w:color w:val="1155cc"/>
            <w:u w:val="single"/>
            <w:rtl w:val="0"/>
          </w:rPr>
          <w:t xml:space="preserve">https://doi.org/10.1080/15235882.2017.1415237</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2">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Kishimoto, K. (2018). Anti-racist pedagogy: From faculty’s self-reflection to organizing within and beyond the classroom, </w:t>
      </w:r>
      <w:r w:rsidDel="00000000" w:rsidR="00000000" w:rsidRPr="00000000">
        <w:rPr>
          <w:rFonts w:ascii="Times New Roman" w:cs="Times New Roman" w:eastAsia="Times New Roman" w:hAnsi="Times New Roman"/>
          <w:i w:val="1"/>
          <w:rtl w:val="0"/>
        </w:rPr>
        <w:t xml:space="preserve">Race Ethnicity and Education, 21</w:t>
      </w:r>
      <w:r w:rsidDel="00000000" w:rsidR="00000000" w:rsidRPr="00000000">
        <w:rPr>
          <w:rFonts w:ascii="Times New Roman" w:cs="Times New Roman" w:eastAsia="Times New Roman" w:hAnsi="Times New Roman"/>
          <w:rtl w:val="0"/>
        </w:rPr>
        <w:t xml:space="preserve">(4), 540-554. </w:t>
      </w:r>
      <w:hyperlink r:id="rId43">
        <w:r w:rsidDel="00000000" w:rsidR="00000000" w:rsidRPr="00000000">
          <w:rPr>
            <w:rFonts w:ascii="Times New Roman" w:cs="Times New Roman" w:eastAsia="Times New Roman" w:hAnsi="Times New Roman"/>
            <w:color w:val="1155cc"/>
            <w:u w:val="single"/>
            <w:rtl w:val="0"/>
          </w:rPr>
          <w:t xml:space="preserve">https://doi.org/10.1080/13613324.2016.1248824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3">
      <w:pPr>
        <w:widowControl w:val="1"/>
        <w:spacing w:after="240" w:before="240" w:lineRule="auto"/>
        <w:ind w:left="720" w:firstLine="0"/>
        <w:rPr>
          <w:rFonts w:ascii="Times New Roman" w:cs="Times New Roman" w:eastAsia="Times New Roman" w:hAnsi="Times New Roman"/>
          <w:b w:val="1"/>
          <w:color w:val="00b050"/>
        </w:rPr>
      </w:pPr>
      <w:r w:rsidDel="00000000" w:rsidR="00000000" w:rsidRPr="00000000">
        <w:rPr>
          <w:rFonts w:ascii="Times New Roman" w:cs="Times New Roman" w:eastAsia="Times New Roman" w:hAnsi="Times New Roman"/>
          <w:rtl w:val="0"/>
        </w:rPr>
        <w:t xml:space="preserve">Watt, D. (2017). Dealing with difficult conversations: anti-racism in youth &amp; community work training. </w:t>
      </w:r>
      <w:r w:rsidDel="00000000" w:rsidR="00000000" w:rsidRPr="00000000">
        <w:rPr>
          <w:rFonts w:ascii="Times New Roman" w:cs="Times New Roman" w:eastAsia="Times New Roman" w:hAnsi="Times New Roman"/>
          <w:i w:val="1"/>
          <w:rtl w:val="0"/>
        </w:rPr>
        <w:t xml:space="preserve">Race Ethnicity and Education, 20</w:t>
      </w:r>
      <w:r w:rsidDel="00000000" w:rsidR="00000000" w:rsidRPr="00000000">
        <w:rPr>
          <w:rFonts w:ascii="Times New Roman" w:cs="Times New Roman" w:eastAsia="Times New Roman" w:hAnsi="Times New Roman"/>
          <w:rtl w:val="0"/>
        </w:rPr>
        <w:t xml:space="preserve">(3), 401-413. </w:t>
      </w:r>
      <w:hyperlink r:id="rId44">
        <w:r w:rsidDel="00000000" w:rsidR="00000000" w:rsidRPr="00000000">
          <w:rPr>
            <w:rFonts w:ascii="Times New Roman" w:cs="Times New Roman" w:eastAsia="Times New Roman" w:hAnsi="Times New Roman"/>
            <w:color w:val="1155cc"/>
            <w:u w:val="single"/>
            <w:rtl w:val="0"/>
          </w:rPr>
          <w:t xml:space="preserve">https://doi.org/10.1080/13613324.2016.1260235</w:t>
        </w:r>
      </w:hyperlink>
      <w:r w:rsidDel="00000000" w:rsidR="00000000" w:rsidRPr="00000000">
        <w:rPr>
          <w:rFonts w:ascii="Times New Roman" w:cs="Times New Roman" w:eastAsia="Times New Roman" w:hAnsi="Times New Roman"/>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E4">
      <w:pPr>
        <w:widowControl w:val="1"/>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color w:val="00b050"/>
          <w:rtl w:val="0"/>
        </w:rPr>
        <w:t xml:space="preserve">UNT’S STANDARD SYLLABUS STATEMENTS </w:t>
      </w:r>
      <w:r w:rsidDel="00000000" w:rsidR="00000000" w:rsidRPr="00000000">
        <w:rPr>
          <w:rtl w:val="0"/>
        </w:rPr>
      </w:r>
    </w:p>
    <w:p w:rsidR="00000000" w:rsidDel="00000000" w:rsidP="00000000" w:rsidRDefault="00000000" w:rsidRPr="00000000" w14:paraId="000000E5">
      <w:pPr>
        <w:pStyle w:val="Heading3"/>
        <w:keepNext w:val="0"/>
        <w:keepLines w:val="0"/>
        <w:widowControl w:val="1"/>
        <w:shd w:fill="ffffff" w:val="clear"/>
        <w:spacing w:after="0" w:before="0" w:line="254.4" w:lineRule="auto"/>
        <w:rPr>
          <w:rFonts w:ascii="Times New Roman" w:cs="Times New Roman" w:eastAsia="Times New Roman" w:hAnsi="Times New Roman"/>
          <w:b w:val="0"/>
          <w:color w:val="1f3763"/>
          <w:sz w:val="22"/>
          <w:szCs w:val="22"/>
        </w:rPr>
      </w:pPr>
      <w:bookmarkStart w:colFirst="0" w:colLast="0" w:name="_heading=h.83lhzvws6xb7" w:id="2"/>
      <w:bookmarkEnd w:id="2"/>
      <w:r w:rsidDel="00000000" w:rsidR="00000000" w:rsidRPr="00000000">
        <w:rPr>
          <w:rFonts w:ascii="Times New Roman" w:cs="Times New Roman" w:eastAsia="Times New Roman" w:hAnsi="Times New Roman"/>
          <w:b w:val="0"/>
          <w:color w:val="1f3763"/>
          <w:sz w:val="22"/>
          <w:szCs w:val="22"/>
          <w:rtl w:val="0"/>
        </w:rPr>
        <w:t xml:space="preserve"> </w:t>
      </w:r>
    </w:p>
    <w:p w:rsidR="00000000" w:rsidDel="00000000" w:rsidP="00000000" w:rsidRDefault="00000000" w:rsidRPr="00000000" w14:paraId="000000E6">
      <w:pPr>
        <w:pStyle w:val="Heading3"/>
        <w:keepNext w:val="0"/>
        <w:keepLines w:val="0"/>
        <w:widowControl w:val="1"/>
        <w:shd w:fill="ffffff" w:val="clear"/>
        <w:spacing w:after="0" w:before="0" w:line="254.4" w:lineRule="auto"/>
        <w:rPr>
          <w:rFonts w:ascii="Times New Roman" w:cs="Times New Roman" w:eastAsia="Times New Roman" w:hAnsi="Times New Roman"/>
          <w:b w:val="0"/>
          <w:sz w:val="22"/>
          <w:szCs w:val="22"/>
        </w:rPr>
      </w:pPr>
      <w:bookmarkStart w:colFirst="0" w:colLast="0" w:name="_heading=h.5ga6jg2luguv" w:id="3"/>
      <w:bookmarkEnd w:id="3"/>
      <w:r w:rsidDel="00000000" w:rsidR="00000000" w:rsidRPr="00000000">
        <w:rPr>
          <w:rFonts w:ascii="Times New Roman" w:cs="Times New Roman" w:eastAsia="Times New Roman" w:hAnsi="Times New Roman"/>
          <w:sz w:val="22"/>
          <w:szCs w:val="22"/>
          <w:rtl w:val="0"/>
        </w:rPr>
        <w:t xml:space="preserve">Attendance.</w:t>
      </w:r>
      <w:r w:rsidDel="00000000" w:rsidR="00000000" w:rsidRPr="00000000">
        <w:rPr>
          <w:rFonts w:ascii="Times New Roman" w:cs="Times New Roman" w:eastAsia="Times New Roman" w:hAnsi="Times New Roman"/>
          <w:b w:val="0"/>
          <w:color w:val="1f3763"/>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rsidR="00000000" w:rsidDel="00000000" w:rsidP="00000000" w:rsidRDefault="00000000" w:rsidRPr="00000000" w14:paraId="000000E7">
      <w:pPr>
        <w:pStyle w:val="Heading3"/>
        <w:keepNext w:val="0"/>
        <w:keepLines w:val="0"/>
        <w:widowControl w:val="1"/>
        <w:shd w:fill="ffffff" w:val="clear"/>
        <w:spacing w:after="0" w:before="0" w:line="254.4" w:lineRule="auto"/>
        <w:rPr>
          <w:rFonts w:ascii="Times New Roman" w:cs="Times New Roman" w:eastAsia="Times New Roman" w:hAnsi="Times New Roman"/>
          <w:b w:val="0"/>
          <w:color w:val="1f3763"/>
          <w:sz w:val="22"/>
          <w:szCs w:val="22"/>
        </w:rPr>
      </w:pPr>
      <w:bookmarkStart w:colFirst="0" w:colLast="0" w:name="_heading=h.vcxd1semj8uq" w:id="4"/>
      <w:bookmarkEnd w:id="4"/>
      <w:r w:rsidDel="00000000" w:rsidR="00000000" w:rsidRPr="00000000">
        <w:rPr>
          <w:rFonts w:ascii="Times New Roman" w:cs="Times New Roman" w:eastAsia="Times New Roman" w:hAnsi="Times New Roman"/>
          <w:b w:val="0"/>
          <w:color w:val="1f3763"/>
          <w:sz w:val="22"/>
          <w:szCs w:val="22"/>
          <w:rtl w:val="0"/>
        </w:rPr>
        <w:t xml:space="preserve"> </w:t>
      </w:r>
    </w:p>
    <w:p w:rsidR="00000000" w:rsidDel="00000000" w:rsidP="00000000" w:rsidRDefault="00000000" w:rsidRPr="00000000" w14:paraId="000000E8">
      <w:pPr>
        <w:pStyle w:val="Heading3"/>
        <w:keepNext w:val="0"/>
        <w:keepLines w:val="0"/>
        <w:widowControl w:val="1"/>
        <w:shd w:fill="ffffff" w:val="clear"/>
        <w:spacing w:after="0" w:before="0" w:line="254.4" w:lineRule="auto"/>
        <w:rPr>
          <w:rFonts w:ascii="Times New Roman" w:cs="Times New Roman" w:eastAsia="Times New Roman" w:hAnsi="Times New Roman"/>
          <w:b w:val="0"/>
          <w:color w:val="0563c1"/>
          <w:sz w:val="22"/>
          <w:szCs w:val="22"/>
          <w:u w:val="single"/>
        </w:rPr>
      </w:pPr>
      <w:bookmarkStart w:colFirst="0" w:colLast="0" w:name="_heading=h.u87f9eyzw875" w:id="5"/>
      <w:bookmarkEnd w:id="5"/>
      <w:r w:rsidDel="00000000" w:rsidR="00000000" w:rsidRPr="00000000">
        <w:rPr>
          <w:rFonts w:ascii="Times New Roman" w:cs="Times New Roman" w:eastAsia="Times New Roman" w:hAnsi="Times New Roman"/>
          <w:sz w:val="22"/>
          <w:szCs w:val="22"/>
          <w:rtl w:val="0"/>
        </w:rPr>
        <w:t xml:space="preserve">Course Materials for Remote Instruction. </w:t>
      </w:r>
      <w:r w:rsidDel="00000000" w:rsidR="00000000" w:rsidRPr="00000000">
        <w:rPr>
          <w:rFonts w:ascii="Times New Roman" w:cs="Times New Roman" w:eastAsia="Times New Roman" w:hAnsi="Times New Roman"/>
          <w:b w:val="0"/>
          <w:sz w:val="22"/>
          <w:szCs w:val="22"/>
          <w:rtl w:val="0"/>
        </w:rPr>
        <w:t xml:space="preserve">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45">
        <w:r w:rsidDel="00000000" w:rsidR="00000000" w:rsidRPr="00000000">
          <w:rPr>
            <w:rFonts w:ascii="Times New Roman" w:cs="Times New Roman" w:eastAsia="Times New Roman" w:hAnsi="Times New Roman"/>
            <w:b w:val="0"/>
            <w:color w:val="0563c1"/>
            <w:sz w:val="22"/>
            <w:szCs w:val="22"/>
            <w:u w:val="single"/>
            <w:rtl w:val="0"/>
          </w:rPr>
          <w:t xml:space="preserve">https://online.unt.edu/learn</w:t>
        </w:r>
      </w:hyperlink>
      <w:r w:rsidDel="00000000" w:rsidR="00000000" w:rsidRPr="00000000">
        <w:rPr>
          <w:rtl w:val="0"/>
        </w:rPr>
      </w:r>
    </w:p>
    <w:p w:rsidR="00000000" w:rsidDel="00000000" w:rsidP="00000000" w:rsidRDefault="00000000" w:rsidRPr="00000000" w14:paraId="000000E9">
      <w:pPr>
        <w:widowControl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Academic Integrity Standards and Consequences. </w:t>
      </w:r>
      <w:r w:rsidDel="00000000" w:rsidR="00000000" w:rsidRPr="00000000">
        <w:rPr>
          <w:rFonts w:ascii="Times New Roman" w:cs="Times New Roman" w:eastAsia="Times New Roman" w:hAnsi="Times New Roman"/>
          <w:rtl w:val="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000000" w:rsidDel="00000000" w:rsidP="00000000" w:rsidRDefault="00000000" w:rsidRPr="00000000" w14:paraId="000000EB">
      <w:pPr>
        <w:widowControl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ADA Accommodation Statement. </w:t>
      </w:r>
      <w:r w:rsidDel="00000000" w:rsidR="00000000" w:rsidRPr="00000000">
        <w:rPr>
          <w:rFonts w:ascii="Times New Roman" w:cs="Times New Roman" w:eastAsia="Times New Roman" w:hAnsi="Times New Roman"/>
          <w:color w:val="211e1e"/>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Del="00000000" w:rsidR="00000000" w:rsidRPr="00000000">
        <w:rPr>
          <w:rFonts w:ascii="Times New Roman" w:cs="Times New Roman" w:eastAsia="Times New Roman" w:hAnsi="Times New Roman"/>
          <w:color w:val="0000ff"/>
          <w:rtl w:val="0"/>
        </w:rPr>
        <w:t xml:space="preserve">disability.unt.edu. </w:t>
      </w:r>
      <w:r w:rsidDel="00000000" w:rsidR="00000000" w:rsidRPr="00000000">
        <w:rPr>
          <w:rFonts w:ascii="Times New Roman" w:cs="Times New Roman" w:eastAsia="Times New Roman" w:hAnsi="Times New Roman"/>
          <w:rtl w:val="0"/>
        </w:rPr>
        <w:t xml:space="preserve">(UNT Policy 16.001)</w:t>
      </w:r>
    </w:p>
    <w:p w:rsidR="00000000" w:rsidDel="00000000" w:rsidP="00000000" w:rsidRDefault="00000000" w:rsidRPr="00000000" w14:paraId="000000ED">
      <w:pPr>
        <w:widowControl w:val="1"/>
        <w:spacing w:after="2" w:before="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E">
      <w:pPr>
        <w:widowControl w:val="1"/>
        <w:spacing w:after="2" w:before="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Safety Procedures (for Laboratory Courses). </w:t>
      </w:r>
      <w:r w:rsidDel="00000000" w:rsidR="00000000" w:rsidRPr="00000000">
        <w:rPr>
          <w:rFonts w:ascii="Times New Roman" w:cs="Times New Roman" w:eastAsia="Times New Roman" w:hAnsi="Times New Roman"/>
          <w:rtl w:val="0"/>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rsidR="00000000" w:rsidDel="00000000" w:rsidP="00000000" w:rsidRDefault="00000000" w:rsidRPr="00000000" w14:paraId="000000EF">
      <w:pPr>
        <w:widowControl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0">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Emergency Notification &amp; Procedures. </w:t>
      </w:r>
      <w:r w:rsidDel="00000000" w:rsidR="00000000" w:rsidRPr="00000000">
        <w:rPr>
          <w:rFonts w:ascii="Times New Roman" w:cs="Times New Roman" w:eastAsia="Times New Roman" w:hAnsi="Times New Roman"/>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rsidR="00000000" w:rsidDel="00000000" w:rsidP="00000000" w:rsidRDefault="00000000" w:rsidRPr="00000000" w14:paraId="000000F1">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widowControl w:val="1"/>
        <w:rPr>
          <w:rFonts w:ascii="Times New Roman" w:cs="Times New Roman" w:eastAsia="Times New Roman" w:hAnsi="Times New Roman"/>
          <w:color w:val="211e1e"/>
        </w:rPr>
      </w:pPr>
      <w:r w:rsidDel="00000000" w:rsidR="00000000" w:rsidRPr="00000000">
        <w:rPr>
          <w:rFonts w:ascii="Times New Roman" w:cs="Times New Roman" w:eastAsia="Times New Roman" w:hAnsi="Times New Roman"/>
          <w:b w:val="1"/>
          <w:rtl w:val="0"/>
        </w:rPr>
        <w:t xml:space="preserve">Student Evaluation Administration Dates. </w:t>
      </w:r>
      <w:r w:rsidDel="00000000" w:rsidR="00000000" w:rsidRPr="00000000">
        <w:rPr>
          <w:rFonts w:ascii="Times New Roman" w:cs="Times New Roman" w:eastAsia="Times New Roman" w:hAnsi="Times New Roman"/>
          <w:color w:val="211e1e"/>
          <w:rtl w:val="0"/>
        </w:rPr>
        <w:t xml:space="preserve">Student feedback is important and an essential part of participation in this course. The student evaluation of instruction is a requirement for all organized classes at UNT. The survey will be made available </w:t>
      </w:r>
      <w:r w:rsidDel="00000000" w:rsidR="00000000" w:rsidRPr="00000000">
        <w:rPr>
          <w:rFonts w:ascii="Times New Roman" w:cs="Times New Roman" w:eastAsia="Times New Roman" w:hAnsi="Times New Roman"/>
          <w:rtl w:val="0"/>
        </w:rPr>
        <w:t xml:space="preserve">during weeks 13, 14 and 15 of the long semesters </w:t>
      </w:r>
      <w:r w:rsidDel="00000000" w:rsidR="00000000" w:rsidRPr="00000000">
        <w:rPr>
          <w:rFonts w:ascii="Times New Roman" w:cs="Times New Roman" w:eastAsia="Times New Roman" w:hAnsi="Times New Roman"/>
          <w:color w:val="211e1e"/>
          <w:rtl w:val="0"/>
        </w:rPr>
        <w:t xml:space="preserve">to provide students with an opportunity to evaluate how this course is taught. Students will receive an email from "UNT SPOT Course Evaluations via </w:t>
      </w:r>
      <w:r w:rsidDel="00000000" w:rsidR="00000000" w:rsidRPr="00000000">
        <w:rPr>
          <w:rFonts w:ascii="Times New Roman" w:cs="Times New Roman" w:eastAsia="Times New Roman" w:hAnsi="Times New Roman"/>
          <w:i w:val="1"/>
          <w:color w:val="211e1e"/>
          <w:rtl w:val="0"/>
        </w:rPr>
        <w:t xml:space="preserve">IASystem </w:t>
      </w:r>
      <w:r w:rsidDel="00000000" w:rsidR="00000000" w:rsidRPr="00000000">
        <w:rPr>
          <w:rFonts w:ascii="Times New Roman" w:cs="Times New Roman" w:eastAsia="Times New Roman" w:hAnsi="Times New Roman"/>
          <w:color w:val="211e1e"/>
          <w:rtl w:val="0"/>
        </w:rPr>
        <w:t xml:space="preserve">Notification" (</w:t>
      </w:r>
      <w:r w:rsidDel="00000000" w:rsidR="00000000" w:rsidRPr="00000000">
        <w:rPr>
          <w:rFonts w:ascii="Times New Roman" w:cs="Times New Roman" w:eastAsia="Times New Roman" w:hAnsi="Times New Roman"/>
          <w:color w:val="0000ff"/>
          <w:rtl w:val="0"/>
        </w:rPr>
        <w:t xml:space="preserve">no-reply@iasystem.org</w:t>
      </w:r>
      <w:r w:rsidDel="00000000" w:rsidR="00000000" w:rsidRPr="00000000">
        <w:rPr>
          <w:rFonts w:ascii="Times New Roman" w:cs="Times New Roman" w:eastAsia="Times New Roman" w:hAnsi="Times New Roman"/>
          <w:color w:val="211e1e"/>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Del="00000000" w:rsidR="00000000" w:rsidRPr="00000000">
        <w:rPr>
          <w:rFonts w:ascii="Times New Roman" w:cs="Times New Roman" w:eastAsia="Times New Roman" w:hAnsi="Times New Roman"/>
          <w:color w:val="0000ff"/>
          <w:rtl w:val="0"/>
        </w:rPr>
        <w:t xml:space="preserve">www.spot.unt.edu </w:t>
      </w:r>
      <w:r w:rsidDel="00000000" w:rsidR="00000000" w:rsidRPr="00000000">
        <w:rPr>
          <w:rFonts w:ascii="Times New Roman" w:cs="Times New Roman" w:eastAsia="Times New Roman" w:hAnsi="Times New Roman"/>
          <w:color w:val="211e1e"/>
          <w:rtl w:val="0"/>
        </w:rPr>
        <w:t xml:space="preserve">or email </w:t>
      </w:r>
      <w:hyperlink r:id="rId46">
        <w:r w:rsidDel="00000000" w:rsidR="00000000" w:rsidRPr="00000000">
          <w:rPr>
            <w:rFonts w:ascii="Times New Roman" w:cs="Times New Roman" w:eastAsia="Times New Roman" w:hAnsi="Times New Roman"/>
            <w:color w:val="0000ff"/>
            <w:u w:val="single"/>
            <w:rtl w:val="0"/>
          </w:rPr>
          <w:t xml:space="preserve">spot@unt.edu</w:t>
        </w:r>
      </w:hyperlink>
      <w:r w:rsidDel="00000000" w:rsidR="00000000" w:rsidRPr="00000000">
        <w:rPr>
          <w:rFonts w:ascii="Times New Roman" w:cs="Times New Roman" w:eastAsia="Times New Roman" w:hAnsi="Times New Roman"/>
          <w:color w:val="211e1e"/>
          <w:rtl w:val="0"/>
        </w:rPr>
        <w:t xml:space="preserve">. </w:t>
      </w:r>
    </w:p>
    <w:p w:rsidR="00000000" w:rsidDel="00000000" w:rsidP="00000000" w:rsidRDefault="00000000" w:rsidRPr="00000000" w14:paraId="000000F3">
      <w:pPr>
        <w:widowControl w:val="1"/>
        <w:spacing w:after="2" w:before="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widowControl w:val="1"/>
        <w:spacing w:after="2" w:before="2" w:lineRule="auto"/>
        <w:rPr>
          <w:rFonts w:ascii="Times New Roman" w:cs="Times New Roman" w:eastAsia="Times New Roman" w:hAnsi="Times New Roman"/>
          <w:color w:val="211e1e"/>
        </w:rPr>
      </w:pPr>
      <w:r w:rsidDel="00000000" w:rsidR="00000000" w:rsidRPr="00000000">
        <w:rPr>
          <w:rFonts w:ascii="Times New Roman" w:cs="Times New Roman" w:eastAsia="Times New Roman" w:hAnsi="Times New Roman"/>
          <w:b w:val="1"/>
          <w:rtl w:val="0"/>
        </w:rPr>
        <w:t xml:space="preserve">Sexual Assault Prevention. </w:t>
      </w:r>
      <w:r w:rsidDel="00000000" w:rsidR="00000000" w:rsidRPr="00000000">
        <w:rPr>
          <w:rFonts w:ascii="Times New Roman" w:cs="Times New Roman" w:eastAsia="Times New Roman" w:hAnsi="Times New Roman"/>
          <w:color w:val="211e1e"/>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rsidR="00000000" w:rsidDel="00000000" w:rsidP="00000000" w:rsidRDefault="00000000" w:rsidRPr="00000000" w14:paraId="000000F5">
      <w:pPr>
        <w:widowControl w:val="1"/>
        <w:spacing w:after="2" w:before="2" w:lineRule="auto"/>
        <w:rPr>
          <w:rFonts w:ascii="Times New Roman" w:cs="Times New Roman" w:eastAsia="Times New Roman" w:hAnsi="Times New Roman"/>
          <w:color w:val="211e1e"/>
        </w:rPr>
      </w:pPr>
      <w:r w:rsidDel="00000000" w:rsidR="00000000" w:rsidRPr="00000000">
        <w:rPr>
          <w:rtl w:val="0"/>
        </w:rPr>
      </w:r>
    </w:p>
    <w:p w:rsidR="00000000" w:rsidDel="00000000" w:rsidP="00000000" w:rsidRDefault="00000000" w:rsidRPr="00000000" w14:paraId="000000F6">
      <w:pPr>
        <w:widowControl w:val="1"/>
        <w:spacing w:after="2" w:before="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Acceptable Student Behavior. </w:t>
      </w:r>
      <w:r w:rsidDel="00000000" w:rsidR="00000000" w:rsidRPr="00000000">
        <w:rPr>
          <w:rFonts w:ascii="Times New Roman" w:cs="Times New Roman" w:eastAsia="Times New Roman" w:hAnsi="Times New Roman"/>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Del="00000000" w:rsidR="00000000" w:rsidRPr="00000000">
        <w:rPr>
          <w:rFonts w:ascii="Times New Roman" w:cs="Times New Roman" w:eastAsia="Times New Roman" w:hAnsi="Times New Roman"/>
          <w:color w:val="1053cc"/>
          <w:rtl w:val="0"/>
        </w:rPr>
        <w:t xml:space="preserve">deanofstudents.unt.edu/conduct.</w:t>
      </w:r>
      <w:r w:rsidDel="00000000" w:rsidR="00000000" w:rsidRPr="00000000">
        <w:rPr>
          <w:rtl w:val="0"/>
        </w:rPr>
      </w:r>
    </w:p>
    <w:p w:rsidR="00000000" w:rsidDel="00000000" w:rsidP="00000000" w:rsidRDefault="00000000" w:rsidRPr="00000000" w14:paraId="000000F7">
      <w:pPr>
        <w:widowControl w:val="1"/>
        <w:rPr>
          <w:rFonts w:ascii="Times New Roman" w:cs="Times New Roman" w:eastAsia="Times New Roman" w:hAnsi="Times New Roman"/>
          <w:b w:val="1"/>
          <w:color w:val="00b05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8">
      <w:pPr>
        <w:widowControl w:val="1"/>
        <w:rPr>
          <w:rFonts w:ascii="Times New Roman" w:cs="Times New Roman" w:eastAsia="Times New Roman" w:hAnsi="Times New Roman"/>
          <w:b w:val="1"/>
          <w:color w:val="00b050"/>
        </w:rPr>
      </w:pPr>
      <w:r w:rsidDel="00000000" w:rsidR="00000000" w:rsidRPr="00000000">
        <w:br w:type="page"/>
      </w:r>
      <w:r w:rsidDel="00000000" w:rsidR="00000000" w:rsidRPr="00000000">
        <w:rPr>
          <w:rtl w:val="0"/>
        </w:rPr>
      </w:r>
    </w:p>
    <w:p w:rsidR="00000000" w:rsidDel="00000000" w:rsidP="00000000" w:rsidRDefault="00000000" w:rsidRPr="00000000" w14:paraId="000000F9">
      <w:pPr>
        <w:widowControl w:val="1"/>
        <w:rPr>
          <w:rFonts w:ascii="Times New Roman" w:cs="Times New Roman" w:eastAsia="Times New Roman" w:hAnsi="Times New Roman"/>
          <w:b w:val="1"/>
          <w:color w:val="00b050"/>
        </w:rPr>
      </w:pPr>
      <w:r w:rsidDel="00000000" w:rsidR="00000000" w:rsidRPr="00000000">
        <w:rPr>
          <w:rFonts w:ascii="Times New Roman" w:cs="Times New Roman" w:eastAsia="Times New Roman" w:hAnsi="Times New Roman"/>
          <w:b w:val="1"/>
          <w:color w:val="00b050"/>
          <w:rtl w:val="0"/>
        </w:rPr>
        <w:t xml:space="preserve">DEPARTMENT SYLLABUS STATEMENTS</w:t>
      </w:r>
    </w:p>
    <w:p w:rsidR="00000000" w:rsidDel="00000000" w:rsidP="00000000" w:rsidRDefault="00000000" w:rsidRPr="00000000" w14:paraId="000000FA">
      <w:pPr>
        <w:widowControl w:val="1"/>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rtl w:val="0"/>
        </w:rPr>
        <w:t xml:space="preserve">Foliotek ePortfolio</w:t>
      </w:r>
      <w:r w:rsidDel="00000000" w:rsidR="00000000" w:rsidRPr="00000000">
        <w:rPr>
          <w:rFonts w:ascii="Times New Roman" w:cs="Times New Roman" w:eastAsia="Times New Roman" w:hAnsi="Times New Roman"/>
          <w:rtl w:val="0"/>
        </w:rP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Del="00000000" w:rsidR="00000000" w:rsidRPr="00000000">
        <w:rPr>
          <w:rFonts w:ascii="Times New Roman" w:cs="Times New Roman" w:eastAsia="Times New Roman" w:hAnsi="Times New Roman"/>
          <w:color w:val="0000ff"/>
          <w:rtl w:val="0"/>
        </w:rPr>
        <w:t xml:space="preserve">https://coe.unt.edu/educator-preparation-office/foliotek </w:t>
      </w:r>
    </w:p>
    <w:p w:rsidR="00000000" w:rsidDel="00000000" w:rsidP="00000000" w:rsidRDefault="00000000" w:rsidRPr="00000000" w14:paraId="000000FB">
      <w:pPr>
        <w:rPr>
          <w:rFonts w:ascii="Times New Roman" w:cs="Times New Roman" w:eastAsia="Times New Roman" w:hAnsi="Times New Roman"/>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C">
      <w:pPr>
        <w:widowControl w:val="1"/>
        <w:rPr>
          <w:rFonts w:ascii="Times New Roman" w:cs="Times New Roman" w:eastAsia="Times New Roman" w:hAnsi="Times New Roman"/>
          <w:b w:val="1"/>
          <w:color w:val="00b050"/>
        </w:rPr>
      </w:pPr>
      <w:r w:rsidDel="00000000" w:rsidR="00000000" w:rsidRPr="00000000">
        <w:rPr>
          <w:rtl w:val="0"/>
        </w:rPr>
      </w:r>
    </w:p>
    <w:p w:rsidR="00000000" w:rsidDel="00000000" w:rsidP="00000000" w:rsidRDefault="00000000" w:rsidRPr="00000000" w14:paraId="000000F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b050"/>
          <w:rtl w:val="0"/>
        </w:rPr>
        <w:t xml:space="preserve">EDUCATOR STANDARDS </w:t>
      </w:r>
      <w:r w:rsidDel="00000000" w:rsidR="00000000" w:rsidRPr="00000000">
        <w:rPr>
          <w:rFonts w:ascii="Times New Roman" w:cs="Times New Roman" w:eastAsia="Times New Roman" w:hAnsi="Times New Roman"/>
          <w:color w:val="00b050"/>
          <w:rtl w:val="0"/>
        </w:rPr>
        <w:t xml:space="preserve"> </w:t>
      </w:r>
      <w:r w:rsidDel="00000000" w:rsidR="00000000" w:rsidRPr="00000000">
        <w:rPr>
          <w:rtl w:val="0"/>
        </w:rPr>
      </w:r>
    </w:p>
    <w:p w:rsidR="00000000" w:rsidDel="00000000" w:rsidP="00000000" w:rsidRDefault="00000000" w:rsidRPr="00000000" w14:paraId="000000F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recommend a candidate to the Texas Education Agency, the UNT Educator Preparation Program curriculum includes alignment to standards identified by the State Board of Educator Certification (SBEC). These standards are assessed throughout your preparation and through the TExES Certification exams required for your teaching certificate. </w:t>
      </w:r>
      <w:r w:rsidDel="00000000" w:rsidR="00000000" w:rsidRPr="00000000">
        <w:rPr>
          <w:rFonts w:ascii="Times New Roman" w:cs="Times New Roman" w:eastAsia="Times New Roman" w:hAnsi="Times New Roman"/>
          <w:color w:val="444444"/>
          <w:rtl w:val="0"/>
        </w:rPr>
        <w:t xml:space="preserve">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r w:rsidDel="00000000" w:rsidR="00000000" w:rsidRPr="00000000">
        <w:rPr>
          <w:rtl w:val="0"/>
        </w:rPr>
      </w:r>
    </w:p>
    <w:p w:rsidR="00000000" w:rsidDel="00000000" w:rsidP="00000000" w:rsidRDefault="00000000" w:rsidRPr="00000000" w14:paraId="000000F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color w:val="444444"/>
          <w:rtl w:val="0"/>
        </w:rPr>
        <w:t xml:space="preserve"> </w:t>
      </w:r>
      <w:r w:rsidDel="00000000" w:rsidR="00000000" w:rsidRPr="00000000">
        <w:rPr>
          <w:rtl w:val="0"/>
        </w:rPr>
      </w:r>
    </w:p>
    <w:p w:rsidR="00000000" w:rsidDel="00000000" w:rsidP="00000000" w:rsidRDefault="00000000" w:rsidRPr="00000000" w14:paraId="00000100">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TEXAS TEACHING STANDARDS</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10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Standards required for all Texas beginning teachers fall into the following 6 broad categories:  </w:t>
      </w:r>
    </w:p>
    <w:p w:rsidR="00000000" w:rsidDel="00000000" w:rsidP="00000000" w:rsidRDefault="00000000" w:rsidRPr="00000000" w14:paraId="00000102">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Standard 1--Instructional Planning and Delivery.  </w:t>
      </w:r>
    </w:p>
    <w:p w:rsidR="00000000" w:rsidDel="00000000" w:rsidP="00000000" w:rsidRDefault="00000000" w:rsidRPr="00000000" w14:paraId="0000010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Standard 1Ai,ii,iv </w:t>
      </w:r>
    </w:p>
    <w:p w:rsidR="00000000" w:rsidDel="00000000" w:rsidP="00000000" w:rsidRDefault="00000000" w:rsidRPr="00000000" w14:paraId="0000010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Standard 1Bi,ii (Lesson design) </w:t>
      </w:r>
    </w:p>
    <w:p w:rsidR="00000000" w:rsidDel="00000000" w:rsidP="00000000" w:rsidRDefault="00000000" w:rsidRPr="00000000" w14:paraId="0000010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Standard 2--Knowledge of Students and Student Learning </w:t>
      </w:r>
    </w:p>
    <w:p w:rsidR="00000000" w:rsidDel="00000000" w:rsidP="00000000" w:rsidRDefault="00000000" w:rsidRPr="00000000" w14:paraId="00000106">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Standard 3--Content Knowledge and Expertise </w:t>
      </w:r>
    </w:p>
    <w:p w:rsidR="00000000" w:rsidDel="00000000" w:rsidP="00000000" w:rsidRDefault="00000000" w:rsidRPr="00000000" w14:paraId="00000107">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Standard 4--Learning Environment </w:t>
      </w:r>
    </w:p>
    <w:p w:rsidR="00000000" w:rsidDel="00000000" w:rsidP="00000000" w:rsidRDefault="00000000" w:rsidRPr="00000000" w14:paraId="00000108">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Standard 5--Data-Driven Practice  </w:t>
      </w:r>
    </w:p>
    <w:p w:rsidR="00000000" w:rsidDel="00000000" w:rsidP="00000000" w:rsidRDefault="00000000" w:rsidRPr="00000000" w14:paraId="0000010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Standard 6--Professional Practices and Responsibilities </w:t>
      </w:r>
    </w:p>
    <w:p w:rsidR="00000000" w:rsidDel="00000000" w:rsidP="00000000" w:rsidRDefault="00000000" w:rsidRPr="00000000" w14:paraId="0000010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description of the standards and competencies can be accessed using this link: </w:t>
      </w:r>
      <w:hyperlink r:id="rId47">
        <w:r w:rsidDel="00000000" w:rsidR="00000000" w:rsidRPr="00000000">
          <w:rPr>
            <w:rFonts w:ascii="Times New Roman" w:cs="Times New Roman" w:eastAsia="Times New Roman" w:hAnsi="Times New Roman"/>
            <w:color w:val="0000ff"/>
            <w:u w:val="single"/>
            <w:rtl w:val="0"/>
          </w:rPr>
          <w:t xml:space="preserve">Texas Teaching Standards Adopted in Chapter 149</w:t>
        </w:r>
      </w:hyperlink>
      <w:r w:rsidDel="00000000" w:rsidR="00000000" w:rsidRPr="00000000">
        <w:rPr>
          <w:rFonts w:ascii="Times New Roman" w:cs="Times New Roman" w:eastAsia="Times New Roman" w:hAnsi="Times New Roman"/>
          <w:color w:val="444444"/>
          <w:rtl w:val="0"/>
        </w:rPr>
        <w:t xml:space="preserve"> </w:t>
      </w:r>
      <w:r w:rsidDel="00000000" w:rsidR="00000000" w:rsidRPr="00000000">
        <w:rPr>
          <w:rtl w:val="0"/>
        </w:rPr>
      </w:r>
    </w:p>
    <w:p w:rsidR="00000000" w:rsidDel="00000000" w:rsidP="00000000" w:rsidRDefault="00000000" w:rsidRPr="00000000" w14:paraId="0000010B">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2f5496"/>
          <w:rtl w:val="0"/>
        </w:rPr>
        <w:t xml:space="preserve"> </w:t>
      </w:r>
      <w:r w:rsidDel="00000000" w:rsidR="00000000" w:rsidRPr="00000000">
        <w:rPr>
          <w:rtl w:val="0"/>
        </w:rPr>
      </w:r>
    </w:p>
    <w:p w:rsidR="00000000" w:rsidDel="00000000" w:rsidP="00000000" w:rsidRDefault="00000000" w:rsidRPr="00000000" w14:paraId="0000010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EDUCATOR STANDARDS FOR EC-6 CORE SUBJECTS: </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10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full description of the standards and competencies can be accessed using this link: </w:t>
      </w:r>
      <w:hyperlink r:id="rId48">
        <w:r w:rsidDel="00000000" w:rsidR="00000000" w:rsidRPr="00000000">
          <w:rPr>
            <w:rFonts w:ascii="Times New Roman" w:cs="Times New Roman" w:eastAsia="Times New Roman" w:hAnsi="Times New Roman"/>
            <w:color w:val="0000ff"/>
            <w:u w:val="single"/>
            <w:rtl w:val="0"/>
          </w:rPr>
          <w:t xml:space="preserve">https://tea.texas.gov/texas-educators/preparation-and-continuing-education/approved-educator-standards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color w:val="211e1e"/>
          <w:rtl w:val="0"/>
        </w:rPr>
        <w:t xml:space="preserve"> </w:t>
      </w:r>
      <w:r w:rsidDel="00000000" w:rsidR="00000000" w:rsidRPr="00000000">
        <w:rPr>
          <w:rtl w:val="0"/>
        </w:rPr>
      </w:r>
    </w:p>
    <w:p w:rsidR="00000000" w:rsidDel="00000000" w:rsidP="00000000" w:rsidRDefault="00000000" w:rsidRPr="00000000" w14:paraId="0000010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211e1e"/>
          <w:rtl w:val="0"/>
        </w:rPr>
        <w:t xml:space="preserve">[List the standards here, using this format: </w:t>
      </w:r>
      <w:r w:rsidDel="00000000" w:rsidR="00000000" w:rsidRPr="00000000">
        <w:rPr>
          <w:rFonts w:ascii="Times New Roman" w:cs="Times New Roman" w:eastAsia="Times New Roman" w:hAnsi="Times New Roman"/>
          <w:color w:val="211e1e"/>
          <w:rtl w:val="0"/>
        </w:rPr>
        <w:t xml:space="preserve"> </w:t>
      </w:r>
      <w:r w:rsidDel="00000000" w:rsidR="00000000" w:rsidRPr="00000000">
        <w:rPr>
          <w:rtl w:val="0"/>
        </w:rPr>
      </w:r>
    </w:p>
    <w:p w:rsidR="00000000" w:rsidDel="00000000" w:rsidP="00000000" w:rsidRDefault="00000000" w:rsidRPr="00000000" w14:paraId="00000110">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 1.1k-1.2k, 1.1s-1.7s (Comprehensive Knowledge of SS)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II 2.1k-2.3k, 2.1s-2.2s (Integration)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2">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III 3.1k-3.8k, 3.1s-3.7s (TEKS)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IV 4.1k-4.18k, 4.1s-4.11s (History)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V 5.1k-5.12k, 5.1s-5.14s (Geography)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VI 6.1k-6.23k, 6.1s-6.12s (Economics)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6">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VII 7.1k-7.13k, 7.1s-7.11s (Government)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7">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VIII 8.1k-8.10k, 8.1s-12s (Citizenship)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8">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IX 9.1k-9.21k, 9.1s-9.12s (Culture)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X 10.1k-10.9k, 10.1s-10.10s (Science, Technology and Society)]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B">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TEXAS ESSENTIAL KNOWLEDGE AND SKILLS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TEKS are addressed in this course. The Texas Essential Knowledge and Skills can be accessed on the Texas Education Agency Web site using the A-Z index at the following URL: </w:t>
      </w:r>
      <w:hyperlink r:id="rId49">
        <w:r w:rsidDel="00000000" w:rsidR="00000000" w:rsidRPr="00000000">
          <w:rPr>
            <w:rFonts w:ascii="Times New Roman" w:cs="Times New Roman" w:eastAsia="Times New Roman" w:hAnsi="Times New Roman"/>
            <w:color w:val="0000ff"/>
            <w:u w:val="single"/>
            <w:rtl w:val="0"/>
          </w:rPr>
          <w:t xml:space="preserve">https://tea.texas.gov/academics/curriculum-standards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0">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ENGLISH LANGUAGE PROFICIENCY STANDARDS (ELPS)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50">
        <w:r w:rsidDel="00000000" w:rsidR="00000000" w:rsidRPr="00000000">
          <w:rPr>
            <w:rFonts w:ascii="Times New Roman" w:cs="Times New Roman" w:eastAsia="Times New Roman" w:hAnsi="Times New Roman"/>
            <w:color w:val="0000ff"/>
            <w:u w:val="single"/>
            <w:rtl w:val="0"/>
          </w:rPr>
          <w:t xml:space="preserve">http://ritter.tea.state.tx.us/rules/tac/chapter074/ch074a.html#74.4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2">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TEXAS COLLEGE AND CAREER READINESS STANDARDS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Texas College and Career Readiness Standards can be accessed at the Texas Higher Education Coordinating Board Web site using the following link: </w:t>
      </w:r>
      <w:hyperlink r:id="rId51">
        <w:r w:rsidDel="00000000" w:rsidR="00000000" w:rsidRPr="00000000">
          <w:rPr>
            <w:rFonts w:ascii="Times New Roman" w:cs="Times New Roman" w:eastAsia="Times New Roman" w:hAnsi="Times New Roman"/>
            <w:color w:val="0000ff"/>
            <w:u w:val="single"/>
            <w:rtl w:val="0"/>
          </w:rPr>
          <w:t xml:space="preserve">http://www.thecb.state.tx.us/index.cfm?objectid=EADF962E-0E3E-DA80-BAAD2496062F3CD8</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color w:val="ffffff"/>
          <w:rtl w:val="0"/>
        </w:rPr>
        <w:t xml:space="preserve"> </w:t>
      </w:r>
      <w:r w:rsidDel="00000000" w:rsidR="00000000" w:rsidRPr="00000000">
        <w:rPr>
          <w:rtl w:val="0"/>
        </w:rPr>
      </w:r>
    </w:p>
    <w:p w:rsidR="00000000" w:rsidDel="00000000" w:rsidP="00000000" w:rsidRDefault="00000000" w:rsidRPr="00000000" w14:paraId="00000126">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 APPLICATIONS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7">
      <w:pPr>
        <w:widowControl w:val="1"/>
        <w:rPr>
          <w:rFonts w:ascii="Times New Roman" w:cs="Times New Roman" w:eastAsia="Times New Roman" w:hAnsi="Times New Roman"/>
        </w:rPr>
      </w:pPr>
      <w:hyperlink r:id="rId52">
        <w:r w:rsidDel="00000000" w:rsidR="00000000" w:rsidRPr="00000000">
          <w:rPr>
            <w:rFonts w:ascii="Times New Roman" w:cs="Times New Roman" w:eastAsia="Times New Roman" w:hAnsi="Times New Roman"/>
            <w:color w:val="0000ff"/>
            <w:u w:val="single"/>
            <w:rtl w:val="0"/>
          </w:rPr>
          <w:t xml:space="preserve">Technology Applications (All Beginning Teachers, PDF)</w:t>
        </w:r>
      </w:hyperlink>
      <w:r w:rsidDel="00000000" w:rsidR="00000000" w:rsidRPr="00000000">
        <w:rPr>
          <w:rFonts w:ascii="Times New Roman" w:cs="Times New Roman" w:eastAsia="Times New Roman" w:hAnsi="Times New Roman"/>
          <w:color w:val="444444"/>
          <w:rtl w:val="0"/>
        </w:rPr>
        <w:t xml:space="preserve"> The first seven standards of the Technology Applications EC-12 Standards are expected of </w:t>
      </w:r>
      <w:r w:rsidDel="00000000" w:rsidR="00000000" w:rsidRPr="00000000">
        <w:rPr>
          <w:rFonts w:ascii="Times New Roman" w:cs="Times New Roman" w:eastAsia="Times New Roman" w:hAnsi="Times New Roman"/>
          <w:b w:val="1"/>
          <w:color w:val="444444"/>
          <w:rtl w:val="0"/>
        </w:rPr>
        <w:t xml:space="preserve">all</w:t>
      </w:r>
      <w:r w:rsidDel="00000000" w:rsidR="00000000" w:rsidRPr="00000000">
        <w:rPr>
          <w:rFonts w:ascii="Times New Roman" w:cs="Times New Roman" w:eastAsia="Times New Roman" w:hAnsi="Times New Roman"/>
          <w:color w:val="444444"/>
          <w:rtl w:val="0"/>
        </w:rPr>
        <w:t xml:space="preserve"> beginning teachers and are incorporated in to the Texas Examination of Educator Standards (TExES) Pedagogy and Professional Responsibilities (PPR) test. </w:t>
      </w:r>
      <w:r w:rsidDel="00000000" w:rsidR="00000000" w:rsidRPr="00000000">
        <w:rPr>
          <w:rtl w:val="0"/>
        </w:rPr>
      </w:r>
    </w:p>
    <w:p w:rsidR="00000000" w:rsidDel="00000000" w:rsidP="00000000" w:rsidRDefault="00000000" w:rsidRPr="00000000" w14:paraId="00000128">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 1.1k-1.3k, 1.10k-1.18k, 1.1s-1.6s, 1.10s-1.18s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II 2.1k-2.3k, 2.1s, 2.3s-2.8s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B">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III 3.2k, 3.3k, 3.1s, 3.4s-3.8s, 3.10s, 3.13s, 3.15s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IV 4.1k-4.3k, 4.1s, 4.2s, 4.4s-4.7s, 4.11s, 4.12s]</w:t>
      </w:r>
      <w:r w:rsidDel="00000000" w:rsidR="00000000" w:rsidRPr="00000000">
        <w:rPr>
          <w:rtl w:val="0"/>
        </w:rPr>
      </w:r>
    </w:p>
    <w:sectPr>
      <w:type w:val="nextPage"/>
      <w:pgSz w:h="15840" w:w="12240" w:orient="portrait"/>
      <w:pgMar w:bottom="940" w:top="1460" w:left="880" w:right="480" w:header="0" w:footer="74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6083300</wp:posOffset>
              </wp:positionH>
              <wp:positionV relativeFrom="paragraph">
                <wp:posOffset>9410700</wp:posOffset>
              </wp:positionV>
              <wp:extent cx="273050" cy="210820"/>
              <wp:effectExtent b="0" l="0" r="0" t="0"/>
              <wp:wrapNone/>
              <wp:docPr id="11" name=""/>
              <a:graphic>
                <a:graphicData uri="http://schemas.microsoft.com/office/word/2010/wordprocessingShape">
                  <wps:wsp>
                    <wps:cNvSpPr/>
                    <wps:cNvPr id="2" name="Shape 2"/>
                    <wps:spPr>
                      <a:xfrm>
                        <a:off x="5223763" y="3688878"/>
                        <a:ext cx="244475" cy="182245"/>
                      </a:xfrm>
                      <a:prstGeom prst="rect">
                        <a:avLst/>
                      </a:prstGeom>
                      <a:noFill/>
                      <a:ln>
                        <a:noFill/>
                      </a:ln>
                    </wps:spPr>
                    <wps:txbx>
                      <w:txbxContent>
                        <w:p w:rsidR="00000000" w:rsidDel="00000000" w:rsidP="00000000" w:rsidRDefault="00000000" w:rsidRPr="00000000">
                          <w:pPr>
                            <w:spacing w:after="0" w:before="12.999999523162842" w:line="240"/>
                            <w:ind w:left="60" w:right="0" w:firstLine="12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6083300</wp:posOffset>
              </wp:positionH>
              <wp:positionV relativeFrom="paragraph">
                <wp:posOffset>9410700</wp:posOffset>
              </wp:positionV>
              <wp:extent cx="273050" cy="210820"/>
              <wp:effectExtent b="0" l="0" r="0" t="0"/>
              <wp:wrapNone/>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73050" cy="21082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399" w:hanging="359"/>
      </w:pPr>
      <w:rPr/>
    </w:lvl>
    <w:lvl w:ilvl="1">
      <w:start w:val="1"/>
      <w:numFmt w:val="bullet"/>
      <w:lvlText w:val="•"/>
      <w:lvlJc w:val="left"/>
      <w:pPr>
        <w:ind w:left="2348" w:hanging="359"/>
      </w:pPr>
      <w:rPr/>
    </w:lvl>
    <w:lvl w:ilvl="2">
      <w:start w:val="1"/>
      <w:numFmt w:val="bullet"/>
      <w:lvlText w:val="•"/>
      <w:lvlJc w:val="left"/>
      <w:pPr>
        <w:ind w:left="3296" w:hanging="358.99999999999955"/>
      </w:pPr>
      <w:rPr/>
    </w:lvl>
    <w:lvl w:ilvl="3">
      <w:start w:val="1"/>
      <w:numFmt w:val="bullet"/>
      <w:lvlText w:val="•"/>
      <w:lvlJc w:val="left"/>
      <w:pPr>
        <w:ind w:left="4244" w:hanging="359"/>
      </w:pPr>
      <w:rPr/>
    </w:lvl>
    <w:lvl w:ilvl="4">
      <w:start w:val="1"/>
      <w:numFmt w:val="bullet"/>
      <w:lvlText w:val="•"/>
      <w:lvlJc w:val="left"/>
      <w:pPr>
        <w:ind w:left="5192" w:hanging="358.9999999999991"/>
      </w:pPr>
      <w:rPr/>
    </w:lvl>
    <w:lvl w:ilvl="5">
      <w:start w:val="1"/>
      <w:numFmt w:val="bullet"/>
      <w:lvlText w:val="•"/>
      <w:lvlJc w:val="left"/>
      <w:pPr>
        <w:ind w:left="6140" w:hanging="359"/>
      </w:pPr>
      <w:rPr/>
    </w:lvl>
    <w:lvl w:ilvl="6">
      <w:start w:val="1"/>
      <w:numFmt w:val="bullet"/>
      <w:lvlText w:val="•"/>
      <w:lvlJc w:val="left"/>
      <w:pPr>
        <w:ind w:left="7088" w:hanging="359"/>
      </w:pPr>
      <w:rPr/>
    </w:lvl>
    <w:lvl w:ilvl="7">
      <w:start w:val="1"/>
      <w:numFmt w:val="bullet"/>
      <w:lvlText w:val="•"/>
      <w:lvlJc w:val="left"/>
      <w:pPr>
        <w:ind w:left="8036" w:hanging="359"/>
      </w:pPr>
      <w:rPr/>
    </w:lvl>
    <w:lvl w:ilvl="8">
      <w:start w:val="1"/>
      <w:numFmt w:val="bullet"/>
      <w:lvlText w:val="•"/>
      <w:lvlJc w:val="left"/>
      <w:pPr>
        <w:ind w:left="8984" w:hanging="359"/>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79"/>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579"/>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579"/>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579"/>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1399"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0.0" w:type="dxa"/>
        <w:bottom w:w="0.0" w:type="dxa"/>
        <w:right w:w="0.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2">
    <w:basedOn w:val="TableNormal"/>
    <w:rPr>
      <w:sz w:val="22"/>
      <w:szCs w:val="22"/>
    </w:rPr>
    <w:tblPr>
      <w:tblStyleRowBandSize w:val="1"/>
      <w:tblStyleColBandSize w:val="1"/>
      <w:tblCellMar>
        <w:top w:w="0.0" w:type="dxa"/>
        <w:left w:w="0.0" w:type="dxa"/>
        <w:bottom w:w="0.0" w:type="dxa"/>
        <w:right w:w="0.0" w:type="dxa"/>
      </w:tblCellMar>
    </w:tblPr>
  </w:style>
  <w:style w:type="table" w:styleId="Table3">
    <w:basedOn w:val="TableNormal"/>
    <w:rPr>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i-org.libproxy.library.unt.edu/10.1002/jaal.1140" TargetMode="External"/><Relationship Id="rId42" Type="http://schemas.openxmlformats.org/officeDocument/2006/relationships/hyperlink" Target="https://doi.org/10.1080/15235882.2017.1415237" TargetMode="External"/><Relationship Id="rId41" Type="http://schemas.openxmlformats.org/officeDocument/2006/relationships/hyperlink" Target="https://doi-org.libproxy.library.unt.edu/10.1111/area.12536" TargetMode="External"/><Relationship Id="rId44" Type="http://schemas.openxmlformats.org/officeDocument/2006/relationships/hyperlink" Target="https://doi.org//10.1080/13613324.2016.1260235" TargetMode="External"/><Relationship Id="rId43" Type="http://schemas.openxmlformats.org/officeDocument/2006/relationships/hyperlink" Target="https://doi.org/10.1080/13613324.2016.1248824" TargetMode="External"/><Relationship Id="rId46" Type="http://schemas.openxmlformats.org/officeDocument/2006/relationships/hyperlink" Target="mailto:spot@unt.edu" TargetMode="External"/><Relationship Id="rId45" Type="http://schemas.openxmlformats.org/officeDocument/2006/relationships/hyperlink" Target="https://online.unt.edu/lear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ts.service-now.com/unts" TargetMode="External"/><Relationship Id="rId48" Type="http://schemas.openxmlformats.org/officeDocument/2006/relationships/hyperlink" Target="https://tea.texas.gov/texas-educators/preparation-and-continuing-education/approved-educator-standards" TargetMode="External"/><Relationship Id="rId47" Type="http://schemas.openxmlformats.org/officeDocument/2006/relationships/hyperlink" Target="http://texreg.sos.state.tx.us/public/readtac$ext.TacPage?sl=R&amp;app=9&amp;p_dir=&amp;p_rloc=&amp;p_tloc=&amp;p_ploc=&amp;pg=1&amp;p_tac=&amp;ti=19&amp;pt=2&amp;ch=149&amp;rl=1001" TargetMode="External"/><Relationship Id="rId49" Type="http://schemas.openxmlformats.org/officeDocument/2006/relationships/hyperlink" Target="https://tea.texas.gov/academics/curriculum-standar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uides.library.unt.edu/edci4060" TargetMode="External"/><Relationship Id="rId8" Type="http://schemas.openxmlformats.org/officeDocument/2006/relationships/hyperlink" Target="https://it.unt.edu/installoffice365%20" TargetMode="External"/><Relationship Id="rId31" Type="http://schemas.openxmlformats.org/officeDocument/2006/relationships/hyperlink" Target="https://doi.org/10.1080/10573569.2014.910718" TargetMode="External"/><Relationship Id="rId30" Type="http://schemas.openxmlformats.org/officeDocument/2006/relationships/hyperlink" Target="https://doi.org/10.1080/10573560590949377" TargetMode="External"/><Relationship Id="rId33" Type="http://schemas.openxmlformats.org/officeDocument/2006/relationships/hyperlink" Target="https://eric.ed.gov/?id=ED352834" TargetMode="External"/><Relationship Id="rId32" Type="http://schemas.openxmlformats.org/officeDocument/2006/relationships/hyperlink" Target="https://doi.org/10.1080/10573569.2015.1030995" TargetMode="External"/><Relationship Id="rId35" Type="http://schemas.openxmlformats.org/officeDocument/2006/relationships/hyperlink" Target="https://doi.org/10.1080/14623943.2019.1708304" TargetMode="External"/><Relationship Id="rId34" Type="http://schemas.openxmlformats.org/officeDocument/2006/relationships/hyperlink" Target="https://libproxy.library.unt.edu/login?url=https://www-proquest-com.libproxy.library.unt.edu/scholarly-journals/targeting-content-area-literacy-instruction-meet/docview/217433626/se-2?accountid=7113" TargetMode="External"/><Relationship Id="rId37" Type="http://schemas.openxmlformats.org/officeDocument/2006/relationships/hyperlink" Target="https://doi-org.libproxy.library.unt.edu/10.1080/00405841.2019.1665415" TargetMode="External"/><Relationship Id="rId36" Type="http://schemas.openxmlformats.org/officeDocument/2006/relationships/hyperlink" Target="https://doi.org/10.1080/13613324.2021.1890566" TargetMode="External"/><Relationship Id="rId39" Type="http://schemas.openxmlformats.org/officeDocument/2006/relationships/hyperlink" Target="https://libproxy.library.unt.edu/login?url=https://www-proquest-com.libproxy.library.unt.edu/scholarly-journals/rescuing-theory-anti-racism-inclusive-education/docview/218857970/se-2?accountid=7113" TargetMode="External"/><Relationship Id="rId38" Type="http://schemas.openxmlformats.org/officeDocument/2006/relationships/hyperlink" Target="https://doi.org/10.1080/15210960.2017.1335039" TargetMode="External"/><Relationship Id="rId20" Type="http://schemas.openxmlformats.org/officeDocument/2006/relationships/hyperlink" Target="https://doi.org/10.1002/jaal.00069" TargetMode="External"/><Relationship Id="rId22" Type="http://schemas.openxmlformats.org/officeDocument/2006/relationships/hyperlink" Target="https://libproxy.library.unt.edu/login?url=https://www-proquest-com.libproxy.library.unt.edu/scholarly-journals/scaffolding-language-literacy-academic-content/docview/926191047/se-2?accountid=7113" TargetMode="External"/><Relationship Id="rId21" Type="http://schemas.openxmlformats.org/officeDocument/2006/relationships/hyperlink" Target="https://doi.org/10.1598/jaal.53.4.6" TargetMode="External"/><Relationship Id="rId24" Type="http://schemas.openxmlformats.org/officeDocument/2006/relationships/hyperlink" Target="https://doi.org/10.1598/rt.58.4.5" TargetMode="External"/><Relationship Id="rId23" Type="http://schemas.openxmlformats.org/officeDocument/2006/relationships/hyperlink" Target="https://doi.org/10.1002/jaal.429" TargetMode="External"/><Relationship Id="rId26" Type="http://schemas.openxmlformats.org/officeDocument/2006/relationships/hyperlink" Target="https://courses.lumenlearning.com/suny-hccc-childrenslit/chapter/disciplinary-literacy/" TargetMode="External"/><Relationship Id="rId25" Type="http://schemas.openxmlformats.org/officeDocument/2006/relationships/hyperlink" Target="https://doi.org/10.1080/02701367.2016.1124722" TargetMode="External"/><Relationship Id="rId28" Type="http://schemas.openxmlformats.org/officeDocument/2006/relationships/hyperlink" Target="https://iii.library.unt.edu/record=b7426220~S12%20Reaching%20every%20learner:%20Differentiating%20instruction%20in%20theory%20and%20practice" TargetMode="External"/><Relationship Id="rId27" Type="http://schemas.openxmlformats.org/officeDocument/2006/relationships/hyperlink" Target="https://discover.library.unt.edu/catalog/b7426220" TargetMode="External"/><Relationship Id="rId29" Type="http://schemas.openxmlformats.org/officeDocument/2006/relationships/hyperlink" Target="https://docs.google.com/document/d/1WdlV1Jt5Rj7uvjT6qPxvcx_Pvt1LlkN2/edit?usp=sharing&amp;ouid=107962751668831062579&amp;rtpof=true&amp;sd=true" TargetMode="External"/><Relationship Id="rId51" Type="http://schemas.openxmlformats.org/officeDocument/2006/relationships/hyperlink" Target="http://www.thecb.state.tx.us/index.cfm?objectid=EADF962E-0E3E-DA80-BAAD2496062F3CD8" TargetMode="External"/><Relationship Id="rId50" Type="http://schemas.openxmlformats.org/officeDocument/2006/relationships/hyperlink" Target="http://ritter.tea.state.tx.us/rules/tac/chapter074/ch074a.html#74.4" TargetMode="External"/><Relationship Id="rId52" Type="http://schemas.openxmlformats.org/officeDocument/2006/relationships/hyperlink" Target="https://tea.texas.gov/WorkArea/linkit.aspx?LinkIdentifier=id&amp;ItemID=51539612985" TargetMode="External"/><Relationship Id="rId11" Type="http://schemas.openxmlformats.org/officeDocument/2006/relationships/footer" Target="footer1.xml"/><Relationship Id="rId10" Type="http://schemas.openxmlformats.org/officeDocument/2006/relationships/hyperlink" Target="mailto:helpdesk@unt.edu" TargetMode="External"/><Relationship Id="rId13" Type="http://schemas.openxmlformats.org/officeDocument/2006/relationships/hyperlink" Target="https://docs.google.com/document/d/1e_5MqXgldLHa9eqRW43S_vw1uuV5wAfWOXXuPSZ9Qe0/edit?usp=sharing" TargetMode="External"/><Relationship Id="rId12" Type="http://schemas.openxmlformats.org/officeDocument/2006/relationships/hyperlink" Target="mailto:alyssa.armstrong@unt.edu" TargetMode="External"/><Relationship Id="rId15" Type="http://schemas.openxmlformats.org/officeDocument/2006/relationships/hyperlink" Target="https://unt.hosted.panopto.com/Panopto/Pages/Viewer.aspx?id=427104e3-6ed9-414e-a2df-ab7201051005%C2%A0" TargetMode="External"/><Relationship Id="rId14" Type="http://schemas.openxmlformats.org/officeDocument/2006/relationships/hyperlink" Target="https://guides.library.unt.edu/edci4060" TargetMode="External"/><Relationship Id="rId17" Type="http://schemas.openxmlformats.org/officeDocument/2006/relationships/hyperlink" Target="https://doi.org/10.1002/jaal.190" TargetMode="External"/><Relationship Id="rId16" Type="http://schemas.openxmlformats.org/officeDocument/2006/relationships/hyperlink" Target="https://www.npr.org/2018/10/26/659571443/5-ways-to-make-classrooms-more-inclusive" TargetMode="External"/><Relationship Id="rId19" Type="http://schemas.openxmlformats.org/officeDocument/2006/relationships/hyperlink" Target="http://ed-ubiquity.gsu.edu/wordpress/wp-content/uploads/2018/10/Lemley-and-Hart-5-1b.pdf" TargetMode="External"/><Relationship Id="rId18" Type="http://schemas.openxmlformats.org/officeDocument/2006/relationships/hyperlink" Target="https://doi.org/10.1002/jaal.000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CzhgxY8zxO4gEk5lQZsIgD5iZA==">AMUW2mWdFPT4T6yepCO9e3ihPkdgDVoQJQjS9O1TwhnOUxG0h9804FBVZBcH7zCZsCKI7izXb3UuPvebvUL8+fD0IxiptcUVGEFd4peRwveUZg5if82oBcQJCUkwLRgtWJ8gDtpukMixnURWjJeoJ2M4bSC0jmB/gRjkebnJX9L5+0AnpyOLBagks8P6gZEHdhQB4ezdTynq9wBtdHo08LTaU7DD/rbtLrfwozFukgKI1g+OsbRJwFA=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2021-08-07T19:45:00Z</dcterms:created>
</cp:coreProperties>
</file>