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22C1BFAD"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DE370B">
        <w:rPr>
          <w:rFonts w:ascii="Arial" w:hAnsi="Arial" w:cs="Arial"/>
          <w:b/>
          <w:bCs/>
          <w:color w:val="auto"/>
        </w:rPr>
        <w:t>.001</w:t>
      </w:r>
      <w:r w:rsidRPr="005E688C">
        <w:rPr>
          <w:rFonts w:ascii="Arial" w:hAnsi="Arial" w:cs="Arial"/>
          <w:b/>
          <w:bCs/>
          <w:color w:val="auto"/>
        </w:rPr>
        <w:t xml:space="preserve">   </w:t>
      </w:r>
      <w:r w:rsidR="0061059D" w:rsidRPr="005E688C">
        <w:rPr>
          <w:rFonts w:ascii="Arial" w:hAnsi="Arial" w:cs="Arial"/>
          <w:b/>
          <w:bCs/>
          <w:color w:val="auto"/>
        </w:rPr>
        <w:t>TR</w:t>
      </w:r>
      <w:r w:rsidRPr="005E688C">
        <w:rPr>
          <w:rFonts w:ascii="Arial" w:hAnsi="Arial" w:cs="Arial"/>
          <w:b/>
          <w:bCs/>
          <w:color w:val="auto"/>
        </w:rPr>
        <w:t xml:space="preserve">   </w:t>
      </w:r>
      <w:r w:rsidR="005109E8">
        <w:rPr>
          <w:rFonts w:ascii="Arial" w:hAnsi="Arial" w:cs="Arial"/>
          <w:b/>
          <w:bCs/>
          <w:color w:val="auto"/>
        </w:rPr>
        <w:t>Spring</w:t>
      </w:r>
      <w:r w:rsidRPr="005E688C">
        <w:rPr>
          <w:rFonts w:ascii="Arial" w:hAnsi="Arial" w:cs="Arial"/>
          <w:b/>
          <w:bCs/>
          <w:color w:val="auto"/>
        </w:rPr>
        <w:t xml:space="preserve"> 202</w:t>
      </w:r>
      <w:r w:rsidR="005109E8">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12EBBDB9"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DE370B">
        <w:rPr>
          <w:rFonts w:ascii="Arial" w:hAnsi="Arial" w:cs="Arial"/>
          <w:b/>
          <w:sz w:val="24"/>
          <w:szCs w:val="24"/>
        </w:rPr>
        <w:t xml:space="preserve"> 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74A55BF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DE370B">
        <w:rPr>
          <w:rFonts w:ascii="Arial" w:hAnsi="Arial" w:cs="Arial"/>
          <w:b/>
          <w:sz w:val="24"/>
          <w:szCs w:val="24"/>
        </w:rPr>
        <w:t xml:space="preserve"> karen.upchurch@unt.edu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580B7D5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E370B">
        <w:rPr>
          <w:rFonts w:ascii="Arial" w:hAnsi="Arial" w:cs="Arial"/>
          <w:b/>
          <w:sz w:val="24"/>
          <w:szCs w:val="24"/>
        </w:rPr>
        <w:t xml:space="preserve"> Tuesdays 2pm and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241FC2B3"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E370B">
        <w:rPr>
          <w:rFonts w:ascii="Arial" w:hAnsi="Arial" w:cs="Arial"/>
          <w:b/>
          <w:sz w:val="24"/>
          <w:szCs w:val="24"/>
        </w:rPr>
        <w:t xml:space="preserve"> Language 403 B</w:t>
      </w:r>
      <w:r w:rsidRPr="0062209C">
        <w:rPr>
          <w:rFonts w:ascii="Arial" w:hAnsi="Arial" w:cs="Arial"/>
          <w:b/>
          <w:sz w:val="24"/>
          <w:szCs w:val="24"/>
        </w:rPr>
        <w:tab/>
      </w:r>
      <w:r w:rsidRPr="0062209C">
        <w:rPr>
          <w:rFonts w:ascii="Arial" w:hAnsi="Arial" w:cs="Arial"/>
          <w:b/>
          <w:sz w:val="24"/>
          <w:szCs w:val="24"/>
        </w:rPr>
        <w:tab/>
        <w:t xml:space="preserve"> </w:t>
      </w:r>
    </w:p>
    <w:p w14:paraId="192222DB" w14:textId="4BDF8AD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E370B">
        <w:rPr>
          <w:rFonts w:ascii="Arial" w:hAnsi="Arial" w:cs="Arial"/>
          <w:b/>
          <w:sz w:val="24"/>
          <w:szCs w:val="24"/>
        </w:rPr>
        <w:t xml:space="preserve"> TTH 12:30-1:50pm Lang. 205</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B138DCE"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5109E8">
        <w:rPr>
          <w:rFonts w:ascii="Arial" w:eastAsia="Times New Roman" w:hAnsi="Arial" w:cs="Arial"/>
          <w:b/>
          <w:bCs/>
          <w:color w:val="auto"/>
        </w:rPr>
        <w:t>SPRING</w:t>
      </w:r>
      <w:r w:rsidRPr="006438BD">
        <w:rPr>
          <w:rFonts w:ascii="Arial" w:eastAsia="Times New Roman" w:hAnsi="Arial" w:cs="Arial"/>
          <w:b/>
          <w:bCs/>
          <w:color w:val="auto"/>
        </w:rPr>
        <w:t xml:space="preserve"> 202</w:t>
      </w:r>
      <w:r w:rsidR="005109E8">
        <w:rPr>
          <w:rFonts w:ascii="Arial" w:eastAsia="Times New Roman" w:hAnsi="Arial" w:cs="Arial"/>
          <w:b/>
          <w:bCs/>
          <w:color w:val="auto"/>
        </w:rPr>
        <w:t>5</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E28B0C4" w:rsidR="0053766E" w:rsidRPr="005F4E12" w:rsidRDefault="005109E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26688CFC" w:rsidR="0053766E" w:rsidRPr="005F4E12" w:rsidRDefault="005109E8" w:rsidP="005F4E12">
            <w:pPr>
              <w:rPr>
                <w:rFonts w:eastAsia="Times New Roman" w:cs="Arial"/>
                <w:b/>
              </w:rPr>
            </w:pPr>
            <w:r>
              <w:rPr>
                <w:rFonts w:eastAsia="Times New Roman" w:cs="Arial"/>
              </w:rPr>
              <w:t>14</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C1FE57B" w:rsidR="0053766E" w:rsidRPr="005F4E12" w:rsidRDefault="005109E8" w:rsidP="005F4E12">
            <w:pPr>
              <w:rPr>
                <w:rFonts w:eastAsia="Times New Roman" w:cs="Arial"/>
              </w:rPr>
            </w:pPr>
            <w:r>
              <w:rPr>
                <w:rFonts w:eastAsia="Times New Roman" w:cs="Arial"/>
              </w:rPr>
              <w:t>16</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4940B936" w:rsidR="005F4E12" w:rsidRPr="005F4E12" w:rsidRDefault="006C0FAD" w:rsidP="005F4E12">
            <w:pPr>
              <w:rPr>
                <w:rFonts w:eastAsia="Times New Roman" w:cs="Arial"/>
              </w:rPr>
            </w:pPr>
            <w:r>
              <w:rPr>
                <w:rFonts w:eastAsia="Times New Roman" w:cs="Arial"/>
              </w:rPr>
              <w:t>2</w:t>
            </w:r>
            <w:r w:rsidR="005109E8">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8206B9" w14:paraId="65FFA6F6" w14:textId="77777777" w:rsidTr="005109E8">
        <w:trPr>
          <w:trHeight w:val="1457"/>
        </w:trPr>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5EC9C07D" w:rsidR="005F4E12" w:rsidRPr="005F4E12" w:rsidRDefault="00CD5314" w:rsidP="005F4E12">
            <w:pPr>
              <w:rPr>
                <w:rFonts w:eastAsia="Times New Roman" w:cs="Arial"/>
              </w:rPr>
            </w:pPr>
            <w:r>
              <w:rPr>
                <w:rFonts w:eastAsia="Times New Roman" w:cs="Arial"/>
              </w:rPr>
              <w:t>2</w:t>
            </w:r>
            <w:r w:rsidR="005109E8">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8206B9"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539D099D" w:rsidR="00082110" w:rsidRPr="005109E8" w:rsidRDefault="00082110" w:rsidP="00CD5314">
            <w:pPr>
              <w:ind w:left="0" w:firstLine="0"/>
              <w:rPr>
                <w:rFonts w:eastAsia="Times New Roman" w:cs="Arial"/>
              </w:rPr>
            </w:pPr>
            <w:r>
              <w:rPr>
                <w:rFonts w:eastAsia="Times New Roman" w:cs="Arial"/>
              </w:rPr>
              <w:t xml:space="preserve">     </w:t>
            </w:r>
            <w:r w:rsidR="005109E8" w:rsidRPr="005109E8">
              <w:rPr>
                <w:rFonts w:eastAsia="Times New Roman" w:cs="Arial"/>
              </w:rPr>
              <w:t>28 (T)</w:t>
            </w:r>
            <w:r w:rsidR="00CD5314" w:rsidRPr="005109E8">
              <w:rPr>
                <w:rFonts w:eastAsia="Times New Roman" w:cs="Arial"/>
              </w:rPr>
              <w:t xml:space="preserve">    </w:t>
            </w:r>
            <w:r w:rsidR="0076661D" w:rsidRPr="005109E8">
              <w:rPr>
                <w:rFonts w:eastAsia="Times New Roman" w:cs="Arial"/>
              </w:rPr>
              <w:t xml:space="preserve"> </w:t>
            </w:r>
          </w:p>
          <w:p w14:paraId="54CF0781" w14:textId="0B77FFB6" w:rsidR="004428CD" w:rsidRPr="004428CD" w:rsidRDefault="00082110" w:rsidP="00CD5314">
            <w:pPr>
              <w:ind w:left="0" w:firstLine="0"/>
              <w:rPr>
                <w:rFonts w:eastAsia="Times New Roman" w:cs="Arial"/>
              </w:rPr>
            </w:pPr>
            <w:r>
              <w:rPr>
                <w:rFonts w:eastAsia="Times New Roman" w:cs="Arial"/>
              </w:rPr>
              <w:t xml:space="preserve">     </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8206B9"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0CFD2DB6"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5109E8">
              <w:rPr>
                <w:rFonts w:eastAsia="Times New Roman" w:cs="Arial"/>
                <w:lang w:val="es-ES"/>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8206B9"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89D5783" w14:textId="753ABA75" w:rsidR="005109E8" w:rsidRPr="005109E8" w:rsidRDefault="005109E8" w:rsidP="005F4E12">
            <w:pPr>
              <w:rPr>
                <w:rFonts w:eastAsia="Times New Roman" w:cs="Arial"/>
                <w:b/>
                <w:bCs/>
              </w:rPr>
            </w:pPr>
            <w:r w:rsidRPr="005109E8">
              <w:rPr>
                <w:rFonts w:eastAsia="Times New Roman" w:cs="Arial"/>
                <w:b/>
                <w:bCs/>
              </w:rPr>
              <w:t>February:</w:t>
            </w:r>
          </w:p>
          <w:p w14:paraId="16B1989D" w14:textId="4EF889BD" w:rsidR="005F4E12" w:rsidRPr="005F4E12" w:rsidRDefault="005109E8"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2179C6F" w:rsidR="005F4E12" w:rsidRPr="005F4E12" w:rsidRDefault="005109E8"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8206B9"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ABE9241" w:rsidR="005F4E12" w:rsidRPr="005F4E12" w:rsidRDefault="006C0FAD" w:rsidP="005F4E12">
            <w:pPr>
              <w:rPr>
                <w:rFonts w:eastAsia="Times New Roman" w:cs="Arial"/>
              </w:rPr>
            </w:pPr>
            <w:r>
              <w:rPr>
                <w:rFonts w:eastAsia="Times New Roman" w:cs="Arial"/>
              </w:rPr>
              <w:t>1</w:t>
            </w:r>
            <w:r w:rsidR="005109E8">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6B58F89" w:rsidR="005F4E12" w:rsidRPr="005F4E12" w:rsidRDefault="00CD5314" w:rsidP="005F4E12">
            <w:pPr>
              <w:rPr>
                <w:rFonts w:eastAsia="Times New Roman" w:cs="Arial"/>
              </w:rPr>
            </w:pPr>
            <w:r>
              <w:rPr>
                <w:rFonts w:eastAsia="Times New Roman" w:cs="Arial"/>
              </w:rPr>
              <w:t>1</w:t>
            </w:r>
            <w:r w:rsidR="005109E8">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0D6DBC7" w:rsidR="005F4E12" w:rsidRPr="005F4E12" w:rsidRDefault="005109E8" w:rsidP="005F4E12">
            <w:pPr>
              <w:rPr>
                <w:rFonts w:eastAsia="Times New Roman" w:cs="Arial"/>
              </w:rPr>
            </w:pPr>
            <w:r>
              <w:rPr>
                <w:rFonts w:eastAsia="Times New Roman" w:cs="Arial"/>
              </w:rPr>
              <w:t>18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2754E7CE" w14:textId="77777777" w:rsidR="005109E8" w:rsidRPr="005F4E12" w:rsidRDefault="005109E8" w:rsidP="00162750">
            <w:pPr>
              <w:rPr>
                <w:rFonts w:eastAsia="Times New Roman" w:cs="Arial"/>
                <w:lang w:val="es-ES"/>
              </w:rPr>
            </w:pP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73E17C16" w:rsidR="005F4E12" w:rsidRPr="005F4E12" w:rsidRDefault="006C0FAD" w:rsidP="005F4E12">
            <w:pPr>
              <w:rPr>
                <w:rFonts w:eastAsia="Times New Roman" w:cs="Arial"/>
              </w:rPr>
            </w:pPr>
            <w:r>
              <w:rPr>
                <w:rFonts w:eastAsia="Times New Roman" w:cs="Arial"/>
              </w:rPr>
              <w:t>2</w:t>
            </w:r>
            <w:r w:rsidR="005109E8">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5B9BD3AE" w14:textId="77777777" w:rsidR="005109E8" w:rsidRDefault="005109E8" w:rsidP="00162750">
            <w:pPr>
              <w:rPr>
                <w:rFonts w:eastAsia="Times New Roman" w:cs="Arial"/>
                <w:bCs/>
              </w:rPr>
            </w:pP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3237D625" w:rsidR="00082110" w:rsidRPr="00082110" w:rsidRDefault="00082110" w:rsidP="00CB0D6D">
            <w:pPr>
              <w:ind w:left="0" w:firstLine="0"/>
              <w:rPr>
                <w:rFonts w:eastAsia="Times New Roman" w:cs="Arial"/>
                <w:b/>
                <w:bCs/>
              </w:rPr>
            </w:pPr>
            <w:r>
              <w:rPr>
                <w:rFonts w:eastAsia="Times New Roman" w:cs="Arial"/>
              </w:rPr>
              <w:t xml:space="preserve">    </w:t>
            </w:r>
            <w:r w:rsidR="005109E8">
              <w:rPr>
                <w:rFonts w:eastAsia="Times New Roman" w:cs="Arial"/>
              </w:rPr>
              <w:t xml:space="preserve"> 25 (T)</w:t>
            </w:r>
          </w:p>
          <w:p w14:paraId="2230C2F8" w14:textId="18B4E465" w:rsidR="005F4E12" w:rsidRPr="00CD5314" w:rsidRDefault="00082110" w:rsidP="00CB0D6D">
            <w:pPr>
              <w:ind w:left="0" w:firstLine="0"/>
              <w:rPr>
                <w:rFonts w:eastAsia="Times New Roman" w:cs="Arial"/>
                <w:b/>
                <w:bCs/>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2A977FC" w:rsidR="005F4E12" w:rsidRPr="005F4E12" w:rsidRDefault="005109E8" w:rsidP="005F4E12">
            <w:pPr>
              <w:rPr>
                <w:rFonts w:eastAsia="Times New Roman" w:cs="Arial"/>
              </w:rPr>
            </w:pPr>
            <w:r>
              <w:rPr>
                <w:rFonts w:eastAsia="Times New Roman" w:cs="Arial"/>
              </w:rPr>
              <w:t>27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03F96E6" w14:textId="746E414D" w:rsidR="005109E8" w:rsidRPr="005109E8" w:rsidRDefault="005109E8" w:rsidP="005F4E12">
            <w:pPr>
              <w:rPr>
                <w:rFonts w:eastAsia="Times New Roman" w:cs="Arial"/>
                <w:b/>
                <w:bCs/>
              </w:rPr>
            </w:pPr>
            <w:r w:rsidRPr="005109E8">
              <w:rPr>
                <w:rFonts w:eastAsia="Times New Roman" w:cs="Arial"/>
                <w:b/>
                <w:bCs/>
              </w:rPr>
              <w:t>March:</w:t>
            </w:r>
          </w:p>
          <w:p w14:paraId="166CEF6D" w14:textId="66B45EEB" w:rsidR="005F4E12" w:rsidRPr="005F4E12" w:rsidRDefault="005109E8"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6943A023" w:rsidR="005F4E12" w:rsidRPr="005F4E12" w:rsidRDefault="005109E8"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04B9A5B9" w14:textId="77777777" w:rsidR="005F4E12" w:rsidRPr="005F4E12" w:rsidRDefault="005F4E12" w:rsidP="005109E8">
            <w:pPr>
              <w:ind w:left="0" w:firstLine="0"/>
              <w:rPr>
                <w:rFonts w:eastAsia="Times New Roman" w:cs="Arial"/>
                <w:lang w:val="es-ES"/>
              </w:rPr>
            </w:pPr>
          </w:p>
        </w:tc>
      </w:tr>
      <w:tr w:rsidR="005109E8" w:rsidRPr="005F4E12" w14:paraId="4A093FAA" w14:textId="77777777" w:rsidTr="00FC5AED">
        <w:tc>
          <w:tcPr>
            <w:tcW w:w="1600" w:type="dxa"/>
          </w:tcPr>
          <w:p w14:paraId="2C93DF95" w14:textId="77777777" w:rsidR="005109E8" w:rsidRDefault="005109E8" w:rsidP="005F4E12">
            <w:pPr>
              <w:rPr>
                <w:rFonts w:eastAsia="Times New Roman" w:cs="Arial"/>
                <w:b/>
                <w:szCs w:val="24"/>
              </w:rPr>
            </w:pPr>
            <w:r>
              <w:rPr>
                <w:rFonts w:eastAsia="Times New Roman" w:cs="Arial"/>
                <w:b/>
                <w:szCs w:val="24"/>
              </w:rPr>
              <w:lastRenderedPageBreak/>
              <w:t>Week 9</w:t>
            </w:r>
          </w:p>
          <w:p w14:paraId="37E97F5E" w14:textId="77777777" w:rsidR="005109E8" w:rsidRDefault="005109E8" w:rsidP="005F4E12">
            <w:pPr>
              <w:rPr>
                <w:rFonts w:eastAsia="Times New Roman" w:cs="Arial"/>
                <w:b/>
                <w:szCs w:val="24"/>
              </w:rPr>
            </w:pPr>
          </w:p>
          <w:p w14:paraId="58BBB16F" w14:textId="3B2C1EDB" w:rsidR="005109E8" w:rsidRPr="005F4E12" w:rsidRDefault="005109E8" w:rsidP="005F4E12">
            <w:pPr>
              <w:rPr>
                <w:rFonts w:eastAsia="Times New Roman" w:cs="Arial"/>
                <w:b/>
                <w:szCs w:val="24"/>
              </w:rPr>
            </w:pPr>
          </w:p>
        </w:tc>
        <w:tc>
          <w:tcPr>
            <w:tcW w:w="1897" w:type="dxa"/>
          </w:tcPr>
          <w:p w14:paraId="3392CF75" w14:textId="0BA02C6A" w:rsidR="005109E8" w:rsidRDefault="005109E8" w:rsidP="005F4E12">
            <w:pPr>
              <w:rPr>
                <w:rFonts w:eastAsia="Times New Roman" w:cs="Arial"/>
              </w:rPr>
            </w:pPr>
            <w:r>
              <w:rPr>
                <w:rFonts w:eastAsia="Times New Roman" w:cs="Arial"/>
              </w:rPr>
              <w:t>10-14</w:t>
            </w:r>
          </w:p>
        </w:tc>
        <w:tc>
          <w:tcPr>
            <w:tcW w:w="5953" w:type="dxa"/>
          </w:tcPr>
          <w:p w14:paraId="62FA3AAC" w14:textId="77777777" w:rsidR="005109E8" w:rsidRDefault="005109E8"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6DE003AD" w14:textId="77777777" w:rsidR="005109E8" w:rsidRDefault="005109E8" w:rsidP="00052241">
            <w:pPr>
              <w:rPr>
                <w:rFonts w:eastAsia="Times New Roman" w:cs="Arial"/>
                <w:b/>
                <w:lang w:val="es-ES"/>
              </w:rPr>
            </w:pPr>
          </w:p>
          <w:p w14:paraId="1EFF4BFF" w14:textId="77777777" w:rsidR="005109E8" w:rsidRDefault="005109E8" w:rsidP="00052241">
            <w:pPr>
              <w:rPr>
                <w:rFonts w:eastAsia="Times New Roman" w:cs="Arial"/>
                <w:b/>
                <w:lang w:val="es-ES"/>
              </w:rPr>
            </w:pPr>
          </w:p>
          <w:p w14:paraId="222D9712" w14:textId="6D115FDC" w:rsidR="005109E8" w:rsidRPr="005F4E12" w:rsidRDefault="005109E8" w:rsidP="00052241">
            <w:pPr>
              <w:rPr>
                <w:rFonts w:eastAsia="Times New Roman" w:cs="Arial"/>
                <w:b/>
                <w:lang w:val="es-ES"/>
              </w:rPr>
            </w:pPr>
          </w:p>
        </w:tc>
      </w:tr>
      <w:tr w:rsidR="005F4E12" w:rsidRPr="005F4E12" w14:paraId="3B82699F" w14:textId="77777777" w:rsidTr="00FC5AED">
        <w:tc>
          <w:tcPr>
            <w:tcW w:w="1600" w:type="dxa"/>
            <w:vMerge w:val="restart"/>
          </w:tcPr>
          <w:p w14:paraId="7EA1D7F5" w14:textId="7285AC1B" w:rsidR="005F4E12" w:rsidRDefault="005F4E12" w:rsidP="005F4E12">
            <w:pPr>
              <w:rPr>
                <w:rFonts w:eastAsia="Times New Roman" w:cs="Arial"/>
                <w:b/>
                <w:szCs w:val="24"/>
              </w:rPr>
            </w:pPr>
            <w:r w:rsidRPr="005F4E12">
              <w:rPr>
                <w:rFonts w:eastAsia="Times New Roman" w:cs="Arial"/>
                <w:b/>
                <w:szCs w:val="24"/>
              </w:rPr>
              <w:t xml:space="preserve">Week </w:t>
            </w:r>
            <w:r w:rsidR="005109E8">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5FF76F3" w:rsidR="005F4E12" w:rsidRPr="005F4E12" w:rsidRDefault="0076661D" w:rsidP="005F4E12">
            <w:pPr>
              <w:rPr>
                <w:rFonts w:eastAsia="Times New Roman" w:cs="Arial"/>
              </w:rPr>
            </w:pPr>
            <w:r>
              <w:rPr>
                <w:rFonts w:eastAsia="Times New Roman" w:cs="Arial"/>
              </w:rPr>
              <w:t>1</w:t>
            </w:r>
            <w:r w:rsidR="005109E8">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CC4014D" w:rsidR="005F4E12" w:rsidRPr="005F4E12" w:rsidRDefault="005109E8"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FE2291D"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99FC160" w:rsidR="005F4E12" w:rsidRPr="005F4E12" w:rsidRDefault="005F4E12" w:rsidP="005F4E12">
            <w:pPr>
              <w:rPr>
                <w:rFonts w:eastAsia="Times New Roman" w:cs="Arial"/>
              </w:rPr>
            </w:pPr>
            <w:r w:rsidRPr="005F4E12">
              <w:rPr>
                <w:rFonts w:eastAsia="Times New Roman" w:cs="Arial"/>
              </w:rPr>
              <w:t>2</w:t>
            </w:r>
            <w:r w:rsidR="005109E8">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18C9FDD" w:rsidR="005F4E12" w:rsidRPr="005F4E12" w:rsidRDefault="0076661D" w:rsidP="005F4E12">
            <w:pPr>
              <w:rPr>
                <w:rFonts w:eastAsia="Times New Roman" w:cs="Arial"/>
                <w:b/>
              </w:rPr>
            </w:pPr>
            <w:r>
              <w:rPr>
                <w:rFonts w:eastAsia="Times New Roman" w:cs="Arial"/>
              </w:rPr>
              <w:t>2</w:t>
            </w:r>
            <w:r w:rsidR="005109E8">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8206B9" w14:paraId="675FAC3B" w14:textId="77777777" w:rsidTr="00FC5AED">
        <w:tc>
          <w:tcPr>
            <w:tcW w:w="1600" w:type="dxa"/>
            <w:vMerge w:val="restart"/>
          </w:tcPr>
          <w:p w14:paraId="5F167D04" w14:textId="267917E9"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4AF862EA" w14:textId="6CBE0F51" w:rsidR="005109E8" w:rsidRPr="005109E8" w:rsidRDefault="005109E8" w:rsidP="005F4E12">
            <w:pPr>
              <w:rPr>
                <w:rFonts w:eastAsia="Times New Roman" w:cs="Arial"/>
                <w:b/>
                <w:bCs/>
              </w:rPr>
            </w:pPr>
            <w:r w:rsidRPr="005109E8">
              <w:rPr>
                <w:rFonts w:eastAsia="Times New Roman" w:cs="Arial"/>
                <w:b/>
                <w:bCs/>
              </w:rPr>
              <w:t>April:</w:t>
            </w:r>
          </w:p>
          <w:p w14:paraId="2FF51BBE" w14:textId="1250FDF5" w:rsidR="005F4E12" w:rsidRPr="005F4E12" w:rsidRDefault="005109E8"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8206B9"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6D33597A" w:rsidR="005F4E12" w:rsidRPr="005F4E12" w:rsidRDefault="00082110" w:rsidP="005F4E12">
            <w:pPr>
              <w:rPr>
                <w:rFonts w:eastAsia="Times New Roman" w:cs="Arial"/>
                <w:lang w:val="es-ES"/>
              </w:rPr>
            </w:pPr>
            <w:r>
              <w:rPr>
                <w:rFonts w:eastAsia="Times New Roman" w:cs="Arial"/>
                <w:lang w:val="es-ES"/>
              </w:rPr>
              <w:t>3</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73A26D76" w14:textId="77777777" w:rsidR="005109E8" w:rsidRDefault="005109E8"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2CB75D1"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109E8">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E46E3E2" w:rsidR="005F4E12" w:rsidRPr="005F4E12" w:rsidRDefault="005109E8"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0143AF3" w14:textId="77777777" w:rsidR="005109E8" w:rsidRPr="007F1785" w:rsidRDefault="005109E8" w:rsidP="00526658">
            <w:pPr>
              <w:rPr>
                <w:rFonts w:eastAsia="Times New Roman" w:cs="Arial"/>
                <w:b/>
              </w:rPr>
            </w:pP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AF1E6B0" w:rsidR="005F4E12" w:rsidRPr="005F4E12" w:rsidRDefault="005109E8"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C737870" w14:textId="77777777" w:rsidR="00526658" w:rsidRDefault="00526658" w:rsidP="00CF6086">
            <w:pPr>
              <w:rPr>
                <w:rFonts w:eastAsia="Times New Roman" w:cs="Arial"/>
                <w:b/>
                <w:bCs/>
              </w:rPr>
            </w:pPr>
          </w:p>
          <w:p w14:paraId="5FE6BF15" w14:textId="77777777" w:rsidR="00806C97" w:rsidRPr="007F1785" w:rsidRDefault="00806C97" w:rsidP="00CF6086">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2004185A"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69BC5999" w:rsidR="005F4E12" w:rsidRPr="005F4E12" w:rsidRDefault="005F4E12" w:rsidP="005F4E12">
            <w:pPr>
              <w:rPr>
                <w:rFonts w:eastAsia="Times New Roman" w:cs="Arial"/>
              </w:rPr>
            </w:pPr>
            <w:r w:rsidRPr="005F4E12">
              <w:rPr>
                <w:rFonts w:eastAsia="Times New Roman" w:cs="Arial"/>
              </w:rPr>
              <w:t>1</w:t>
            </w:r>
            <w:r w:rsidR="005109E8">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46086A2D" w:rsidR="005F4E12" w:rsidRPr="005F4E12" w:rsidRDefault="0076661D" w:rsidP="005F4E12">
            <w:pPr>
              <w:rPr>
                <w:rFonts w:eastAsia="Times New Roman" w:cs="Arial"/>
              </w:rPr>
            </w:pPr>
            <w:r>
              <w:rPr>
                <w:rFonts w:eastAsia="Times New Roman" w:cs="Arial"/>
              </w:rPr>
              <w:t>1</w:t>
            </w:r>
            <w:r w:rsidR="005109E8">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201B9215" w:rsidR="005F4E12" w:rsidRPr="005F4E12" w:rsidRDefault="005F4E12" w:rsidP="005F4E12">
            <w:pPr>
              <w:rPr>
                <w:rFonts w:eastAsia="Times New Roman" w:cs="Arial"/>
              </w:rPr>
            </w:pPr>
            <w:r w:rsidRPr="005F4E12">
              <w:rPr>
                <w:rFonts w:eastAsia="Times New Roman" w:cs="Arial"/>
                <w:b/>
                <w:szCs w:val="24"/>
              </w:rPr>
              <w:t>Week 1</w:t>
            </w:r>
            <w:r w:rsidR="005109E8">
              <w:rPr>
                <w:rFonts w:eastAsia="Times New Roman" w:cs="Arial"/>
                <w:b/>
                <w:szCs w:val="24"/>
              </w:rPr>
              <w:t>5</w:t>
            </w:r>
          </w:p>
        </w:tc>
        <w:tc>
          <w:tcPr>
            <w:tcW w:w="1897" w:type="dxa"/>
          </w:tcPr>
          <w:p w14:paraId="5E8D13B8" w14:textId="585AE866" w:rsidR="005F4E12" w:rsidRPr="005F4E12" w:rsidRDefault="005109E8" w:rsidP="004301C9">
            <w:pPr>
              <w:rPr>
                <w:rFonts w:eastAsia="Times New Roman" w:cs="Arial"/>
                <w:b/>
              </w:rPr>
            </w:pPr>
            <w:r>
              <w:rPr>
                <w:rFonts w:eastAsia="Times New Roman" w:cs="Arial"/>
              </w:rPr>
              <w:t>22</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378B944F" w:rsidR="005F4E12" w:rsidRPr="005F4E12" w:rsidRDefault="00CD5314" w:rsidP="005F4E12">
            <w:pPr>
              <w:rPr>
                <w:rFonts w:eastAsia="Times New Roman" w:cs="Arial"/>
              </w:rPr>
            </w:pPr>
            <w:r>
              <w:rPr>
                <w:rFonts w:eastAsia="Times New Roman" w:cs="Arial"/>
              </w:rPr>
              <w:t>2</w:t>
            </w:r>
            <w:r w:rsidR="005109E8">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58596F94" w14:textId="2D1BEC0D" w:rsidR="00B93EA7" w:rsidRPr="005109E8" w:rsidRDefault="00B93EA7" w:rsidP="00CD5314">
            <w:pPr>
              <w:ind w:left="0" w:firstLine="0"/>
              <w:rPr>
                <w:rFonts w:eastAsia="Times New Roman" w:cs="Arial"/>
              </w:rPr>
            </w:pPr>
            <w:r>
              <w:rPr>
                <w:rFonts w:eastAsia="Times New Roman" w:cs="Arial"/>
                <w:b/>
                <w:bCs/>
              </w:rPr>
              <w:t xml:space="preserve">   </w:t>
            </w:r>
            <w:r w:rsidR="005109E8">
              <w:rPr>
                <w:rFonts w:eastAsia="Times New Roman" w:cs="Arial"/>
                <w:b/>
                <w:bCs/>
              </w:rPr>
              <w:t xml:space="preserve">  </w:t>
            </w:r>
            <w:r w:rsidR="005109E8" w:rsidRPr="005109E8">
              <w:rPr>
                <w:rFonts w:eastAsia="Times New Roman" w:cs="Arial"/>
              </w:rPr>
              <w:t>2</w:t>
            </w:r>
            <w:r w:rsidR="00FC6167">
              <w:rPr>
                <w:rFonts w:eastAsia="Times New Roman" w:cs="Arial"/>
              </w:rPr>
              <w:t>9</w:t>
            </w:r>
            <w:r w:rsidR="005109E8" w:rsidRPr="005109E8">
              <w:rPr>
                <w:rFonts w:eastAsia="Times New Roman" w:cs="Arial"/>
              </w:rPr>
              <w:t xml:space="preserve"> (T)</w:t>
            </w:r>
            <w:r w:rsidR="00CD5314" w:rsidRPr="005109E8">
              <w:rPr>
                <w:rFonts w:eastAsia="Times New Roman" w:cs="Arial"/>
              </w:rPr>
              <w:t xml:space="preserve">     </w:t>
            </w:r>
          </w:p>
          <w:p w14:paraId="02370AEB" w14:textId="6CBE5EF9" w:rsidR="005F4E12" w:rsidRPr="005F4E12" w:rsidRDefault="00B93EA7" w:rsidP="005109E8">
            <w:pPr>
              <w:ind w:left="0" w:firstLine="0"/>
              <w:rPr>
                <w:rFonts w:eastAsia="Times New Roman" w:cs="Arial"/>
              </w:rPr>
            </w:pPr>
            <w:r>
              <w:rPr>
                <w:rFonts w:eastAsia="Times New Roman" w:cs="Arial"/>
              </w:rPr>
              <w:t xml:space="preserve">     </w:t>
            </w: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3C2CA26B" w14:textId="214A175F" w:rsidR="00FC6167" w:rsidRPr="00FC6167" w:rsidRDefault="00FC6167" w:rsidP="005F4E12">
            <w:pPr>
              <w:rPr>
                <w:rFonts w:eastAsia="Times New Roman" w:cs="Arial"/>
                <w:b/>
                <w:bCs/>
              </w:rPr>
            </w:pPr>
            <w:r w:rsidRPr="00FC6167">
              <w:rPr>
                <w:rFonts w:eastAsia="Times New Roman" w:cs="Arial"/>
                <w:b/>
                <w:bCs/>
              </w:rPr>
              <w:t>May:</w:t>
            </w:r>
          </w:p>
          <w:p w14:paraId="05E56E85" w14:textId="267E0EEE" w:rsidR="005F4E12" w:rsidRPr="005F4E12" w:rsidRDefault="00FC6167"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3D3D860" w:rsidR="005F4E12" w:rsidRPr="005F4E12" w:rsidRDefault="00FC6167" w:rsidP="005F4E12">
            <w:pPr>
              <w:rPr>
                <w:rFonts w:eastAsia="Times New Roman" w:cs="Arial"/>
              </w:rPr>
            </w:pPr>
            <w:r>
              <w:rPr>
                <w:rFonts w:eastAsia="Times New Roman" w:cs="Arial"/>
              </w:rPr>
              <w:t>3</w:t>
            </w:r>
            <w:r w:rsidR="005F4E12" w:rsidRPr="005F4E12">
              <w:rPr>
                <w:rFonts w:eastAsia="Times New Roman" w:cs="Arial"/>
              </w:rPr>
              <w:t>-</w:t>
            </w:r>
            <w:r>
              <w:rPr>
                <w:rFonts w:eastAsia="Times New Roman" w:cs="Arial"/>
              </w:rPr>
              <w:t>9</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5126B528" w:rsidR="00DE70DB" w:rsidRDefault="005F4E12" w:rsidP="005F4E12">
            <w:pPr>
              <w:rPr>
                <w:rFonts w:eastAsia="Times New Roman" w:cs="Arial"/>
                <w:bCs/>
              </w:rPr>
            </w:pPr>
            <w:r w:rsidRPr="005F4E12">
              <w:rPr>
                <w:rFonts w:eastAsia="Times New Roman" w:cs="Arial"/>
                <w:b/>
              </w:rPr>
              <w:t>Final Exam</w:t>
            </w:r>
            <w:r w:rsidR="00DE370B">
              <w:rPr>
                <w:rFonts w:eastAsia="Times New Roman" w:cs="Arial"/>
                <w:b/>
              </w:rPr>
              <w:t xml:space="preserve"> – Thurs May </w:t>
            </w:r>
            <w:r w:rsidR="008206B9">
              <w:rPr>
                <w:rFonts w:eastAsia="Times New Roman" w:cs="Arial"/>
                <w:b/>
              </w:rPr>
              <w:t>8</w:t>
            </w:r>
            <w:bookmarkStart w:id="6" w:name="_GoBack"/>
            <w:bookmarkEnd w:id="6"/>
            <w:r w:rsidR="00DE370B" w:rsidRPr="00DE370B">
              <w:rPr>
                <w:rFonts w:eastAsia="Times New Roman" w:cs="Arial"/>
                <w:b/>
                <w:vertAlign w:val="superscript"/>
              </w:rPr>
              <w:t>th</w:t>
            </w:r>
            <w:r w:rsidR="00DE370B">
              <w:rPr>
                <w:rFonts w:eastAsia="Times New Roman" w:cs="Arial"/>
                <w:b/>
              </w:rPr>
              <w:t xml:space="preserve"> at 10 am </w:t>
            </w:r>
            <w:r w:rsidR="00DE370B" w:rsidRPr="00DE370B">
              <w:rPr>
                <w:rFonts w:eastAsia="Times New Roman" w:cs="Arial"/>
              </w:rPr>
              <w:t>Se</w:t>
            </w:r>
            <w:r w:rsidR="00DE70DB">
              <w:rPr>
                <w:rFonts w:eastAsia="Times New Roman" w:cs="Arial"/>
                <w:bCs/>
              </w:rPr>
              <w:t>e the Registrar’s</w:t>
            </w:r>
          </w:p>
          <w:p w14:paraId="41A8F227" w14:textId="2BE51517" w:rsidR="005F4E12" w:rsidRPr="00DE70DB" w:rsidRDefault="001537C7"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869B" w14:textId="77777777" w:rsidR="001537C7" w:rsidRDefault="001537C7" w:rsidP="00F41A70">
      <w:pPr>
        <w:spacing w:after="0" w:line="240" w:lineRule="auto"/>
      </w:pPr>
      <w:r>
        <w:separator/>
      </w:r>
    </w:p>
  </w:endnote>
  <w:endnote w:type="continuationSeparator" w:id="0">
    <w:p w14:paraId="592779AF" w14:textId="77777777" w:rsidR="001537C7" w:rsidRDefault="001537C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AFAE" w14:textId="77777777" w:rsidR="001537C7" w:rsidRDefault="001537C7" w:rsidP="00F41A70">
      <w:pPr>
        <w:spacing w:after="0" w:line="240" w:lineRule="auto"/>
      </w:pPr>
      <w:r>
        <w:separator/>
      </w:r>
    </w:p>
  </w:footnote>
  <w:footnote w:type="continuationSeparator" w:id="0">
    <w:p w14:paraId="77ED15AA" w14:textId="77777777" w:rsidR="001537C7" w:rsidRDefault="001537C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37C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09E8"/>
    <w:rsid w:val="00515192"/>
    <w:rsid w:val="0052132D"/>
    <w:rsid w:val="005231BC"/>
    <w:rsid w:val="00526658"/>
    <w:rsid w:val="005313DC"/>
    <w:rsid w:val="0053766E"/>
    <w:rsid w:val="00540E14"/>
    <w:rsid w:val="00552A45"/>
    <w:rsid w:val="00560ABE"/>
    <w:rsid w:val="00580824"/>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33D6"/>
    <w:rsid w:val="006C437E"/>
    <w:rsid w:val="006D456A"/>
    <w:rsid w:val="006D55C0"/>
    <w:rsid w:val="006D7C20"/>
    <w:rsid w:val="006E25C5"/>
    <w:rsid w:val="006E39DB"/>
    <w:rsid w:val="006E58B1"/>
    <w:rsid w:val="006F33EA"/>
    <w:rsid w:val="006F5F75"/>
    <w:rsid w:val="00717FEB"/>
    <w:rsid w:val="00733E95"/>
    <w:rsid w:val="00734276"/>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06B9"/>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1A67"/>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370B"/>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11C"/>
    <w:rsid w:val="00EB13B7"/>
    <w:rsid w:val="00EC6692"/>
    <w:rsid w:val="00ED56B2"/>
    <w:rsid w:val="00ED571C"/>
    <w:rsid w:val="00EE437C"/>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C6167"/>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7B7A-9A6E-4553-9F83-D630A118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3</cp:revision>
  <dcterms:created xsi:type="dcterms:W3CDTF">2025-01-09T17:03:00Z</dcterms:created>
  <dcterms:modified xsi:type="dcterms:W3CDTF">2025-01-09T17:06:00Z</dcterms:modified>
</cp:coreProperties>
</file>