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52DC84EA" w14:textId="118B4CCF" w:rsidR="00F36F3B" w:rsidRDefault="00F36F3B" w:rsidP="00C96517">
      <w:hyperlink r:id="rId10" w:history="1"/>
      <w:r w:rsidR="00E55712">
        <w:t xml:space="preserve"> </w:t>
      </w:r>
    </w:p>
    <w:p w14:paraId="70E3E5E3" w14:textId="4017BEB7" w:rsidR="00F36F3B" w:rsidRPr="008C6CCC" w:rsidRDefault="00F36F3B" w:rsidP="00F36F3B">
      <w:pPr>
        <w:rPr>
          <w:rFonts w:ascii="Garamond" w:hAnsi="Garamond"/>
          <w:b/>
          <w:bCs/>
        </w:rPr>
      </w:pPr>
      <w:r w:rsidRPr="008C6CCC">
        <w:rPr>
          <w:rFonts w:ascii="Garamond" w:hAnsi="Garamond"/>
          <w:b/>
          <w:bCs/>
        </w:rPr>
        <w:t xml:space="preserve">Instructor:  </w:t>
      </w:r>
      <w:r w:rsidRPr="001F7A6C">
        <w:rPr>
          <w:rFonts w:ascii="Garamond" w:hAnsi="Garamond"/>
        </w:rPr>
        <w:t>Dr. Jack O'Connor</w:t>
      </w:r>
    </w:p>
    <w:p w14:paraId="71F73058" w14:textId="77777777" w:rsidR="00F36F3B" w:rsidRPr="00743614" w:rsidRDefault="00F36F3B" w:rsidP="00F36F3B">
      <w:pPr>
        <w:rPr>
          <w:rFonts w:ascii="Garamond" w:hAnsi="Garamond"/>
        </w:rPr>
      </w:pPr>
      <w:r w:rsidRPr="001F7A6C">
        <w:rPr>
          <w:rFonts w:ascii="Garamond" w:hAnsi="Garamond"/>
          <w:b/>
          <w:bCs/>
        </w:rPr>
        <w:t>Office Location</w:t>
      </w:r>
      <w:r w:rsidRPr="00743614">
        <w:rPr>
          <w:rFonts w:ascii="Garamond" w:hAnsi="Garamond"/>
        </w:rPr>
        <w:t xml:space="preserve">:  </w:t>
      </w:r>
      <w:r>
        <w:rPr>
          <w:rFonts w:ascii="Garamond" w:hAnsi="Garamond"/>
        </w:rPr>
        <w:t xml:space="preserve"> Scheduled classroom </w:t>
      </w:r>
    </w:p>
    <w:p w14:paraId="33069BFA" w14:textId="4C19B4D5" w:rsidR="00F36F3B" w:rsidRPr="00743614" w:rsidRDefault="00F36F3B" w:rsidP="00F36F3B">
      <w:pPr>
        <w:rPr>
          <w:rFonts w:ascii="Garamond" w:hAnsi="Garamond"/>
        </w:rPr>
      </w:pPr>
      <w:r w:rsidRPr="001F7A6C">
        <w:rPr>
          <w:rFonts w:ascii="Garamond" w:hAnsi="Garamond"/>
          <w:b/>
          <w:bCs/>
        </w:rPr>
        <w:t>Office Hours</w:t>
      </w:r>
      <w:r w:rsidRPr="00743614">
        <w:rPr>
          <w:rFonts w:ascii="Garamond" w:hAnsi="Garamond"/>
        </w:rPr>
        <w:t xml:space="preserve">:  </w:t>
      </w:r>
      <w:r>
        <w:rPr>
          <w:rFonts w:ascii="Garamond" w:hAnsi="Garamond"/>
        </w:rPr>
        <w:t>T/R 8:30-9</w:t>
      </w:r>
      <w:r w:rsidR="00FA1891">
        <w:rPr>
          <w:rFonts w:ascii="Garamond" w:hAnsi="Garamond"/>
        </w:rPr>
        <w:t xml:space="preserve"> (LANG 211)</w:t>
      </w:r>
      <w:r>
        <w:rPr>
          <w:rFonts w:ascii="Garamond" w:hAnsi="Garamond"/>
        </w:rPr>
        <w:t>, W 2:00-3:00 (</w:t>
      </w:r>
      <w:r w:rsidR="00FA1891">
        <w:rPr>
          <w:rFonts w:ascii="Garamond" w:hAnsi="Garamond"/>
        </w:rPr>
        <w:t>LANG 114</w:t>
      </w:r>
      <w:r>
        <w:rPr>
          <w:rFonts w:ascii="Garamond" w:hAnsi="Garamond"/>
        </w:rPr>
        <w:t>), Fri 10-1 online</w:t>
      </w:r>
    </w:p>
    <w:p w14:paraId="1F9A90FA" w14:textId="77777777" w:rsidR="00F36F3B" w:rsidRDefault="00F36F3B" w:rsidP="00F36F3B">
      <w:r w:rsidRPr="001F7A6C">
        <w:rPr>
          <w:rFonts w:ascii="Garamond" w:hAnsi="Garamond"/>
          <w:b/>
          <w:bCs/>
        </w:rPr>
        <w:t>E-mail</w:t>
      </w:r>
      <w:r w:rsidRPr="009E1FCF">
        <w:rPr>
          <w:rFonts w:ascii="Garamond" w:hAnsi="Garamond"/>
        </w:rPr>
        <w:t>:</w:t>
      </w:r>
      <w:r>
        <w:rPr>
          <w:rFonts w:ascii="Garamond" w:hAnsi="Garamond"/>
        </w:rPr>
        <w:t xml:space="preserve"> </w:t>
      </w:r>
      <w:hyperlink r:id="rId11" w:history="1"/>
      <w:r>
        <w:t xml:space="preserve"> John.Oconnor@unt.edu</w:t>
      </w:r>
    </w:p>
    <w:p w14:paraId="0339A8DF" w14:textId="07B8816B" w:rsidR="00E074C0" w:rsidRDefault="00E074C0" w:rsidP="00C96517"/>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lastRenderedPageBreak/>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146A14BF" w14:textId="2CF8A961" w:rsidR="00F36F3B" w:rsidRPr="00F36F3B" w:rsidRDefault="00F36F3B" w:rsidP="00E55A84">
      <w:pPr>
        <w:ind w:right="-720"/>
        <w:rPr>
          <w:rFonts w:ascii="Garamond" w:hAnsi="Garamond"/>
          <w:i/>
          <w:iCs/>
        </w:rPr>
      </w:pPr>
      <w:r w:rsidRPr="00F36F3B">
        <w:rPr>
          <w:rFonts w:ascii="Garamond" w:hAnsi="Garamond"/>
          <w:i/>
          <w:iCs/>
        </w:rPr>
        <w:t>How you will be evaluated in F2F Engagement - Journals</w:t>
      </w:r>
    </w:p>
    <w:p w14:paraId="27298540" w14:textId="77777777" w:rsidR="00F36F3B" w:rsidRDefault="00F36F3B" w:rsidP="00F36F3B">
      <w:pPr>
        <w:ind w:right="-720"/>
        <w:rPr>
          <w:rFonts w:ascii="Garamond" w:hAnsi="Garamond"/>
        </w:rPr>
      </w:pPr>
      <w:r>
        <w:rPr>
          <w:rFonts w:ascii="Garamond" w:hAnsi="Garamond"/>
        </w:rPr>
        <w:t xml:space="preserve">You will write short (1 page) journals at the end of each designated week to get points toward your Engagement portion of the grade.  They are not meant to be taxing, but rather to be informal reflections on what we discussed in person that week.  In them you will reflect on something that you found of particular interest </w:t>
      </w:r>
      <w:r w:rsidRPr="008E1AF9">
        <w:rPr>
          <w:rFonts w:ascii="Garamond" w:hAnsi="Garamond"/>
          <w:b/>
          <w:bCs/>
        </w:rPr>
        <w:t>that week</w:t>
      </w:r>
      <w:r>
        <w:rPr>
          <w:rFonts w:ascii="Garamond" w:hAnsi="Garamond"/>
        </w:rPr>
        <w:t xml:space="preserve"> IN CLASS.  They MUST be retrospective based on the week assigned.  You cannot discuss something from the text, or something from several weeks ago, </w:t>
      </w:r>
      <w:proofErr w:type="gramStart"/>
      <w:r>
        <w:rPr>
          <w:rFonts w:ascii="Garamond" w:hAnsi="Garamond"/>
        </w:rPr>
        <w:t>in order to</w:t>
      </w:r>
      <w:proofErr w:type="gramEnd"/>
      <w:r>
        <w:rPr>
          <w:rFonts w:ascii="Garamond" w:hAnsi="Garamond"/>
        </w:rPr>
        <w:t xml:space="preserve"> get points for something you were not present for.  The point is to encourage you to actively listen and participate in class, and to think about the ideas we present outside of class as well.   Each journal will be worth 10 </w:t>
      </w:r>
      <w:proofErr w:type="gramStart"/>
      <w:r>
        <w:rPr>
          <w:rFonts w:ascii="Garamond" w:hAnsi="Garamond"/>
        </w:rPr>
        <w:t>points, and</w:t>
      </w:r>
      <w:proofErr w:type="gramEnd"/>
      <w:r>
        <w:rPr>
          <w:rFonts w:ascii="Garamond" w:hAnsi="Garamond"/>
        </w:rPr>
        <w:t xml:space="preserve"> will be assigned on the last class of the week, and due that Sunday night.  They are informal, in that you can feel free to use a looser or more personal style, but grammar is always important, so make sure you proofread.</w:t>
      </w:r>
    </w:p>
    <w:p w14:paraId="12321A59" w14:textId="77777777" w:rsidR="00F36F3B" w:rsidRDefault="00F36F3B" w:rsidP="00E55A84">
      <w:pPr>
        <w:ind w:right="-720"/>
        <w:rPr>
          <w:rFonts w:ascii="Garamond" w:hAnsi="Garamond"/>
        </w:rPr>
      </w:pP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5D94" w14:textId="77777777" w:rsidR="00B2605C" w:rsidRDefault="00B2605C">
      <w:r>
        <w:separator/>
      </w:r>
    </w:p>
  </w:endnote>
  <w:endnote w:type="continuationSeparator" w:id="0">
    <w:p w14:paraId="63E74A22" w14:textId="77777777" w:rsidR="00B2605C" w:rsidRDefault="00B2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1C9" w14:textId="77777777" w:rsidR="00B2605C" w:rsidRDefault="00B2605C">
      <w:r>
        <w:separator/>
      </w:r>
    </w:p>
  </w:footnote>
  <w:footnote w:type="continuationSeparator" w:id="0">
    <w:p w14:paraId="55057D67" w14:textId="77777777" w:rsidR="00B2605C" w:rsidRDefault="00B2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06A"/>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143A"/>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674D"/>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05C"/>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46A47"/>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B8D"/>
    <w:rsid w:val="00E85D4E"/>
    <w:rsid w:val="00E860AE"/>
    <w:rsid w:val="00E86A38"/>
    <w:rsid w:val="00E87A86"/>
    <w:rsid w:val="00E902B1"/>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36F3B"/>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1891"/>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Destiny.Thomas@unt.edu"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6393</Words>
  <Characters>35038</Characters>
  <Application>Microsoft Office Word</Application>
  <DocSecurity>0</DocSecurity>
  <Lines>806</Lines>
  <Paragraphs>346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2026-01-14T18:20:00Z</dcterms:created>
  <dcterms:modified xsi:type="dcterms:W3CDTF">2026-01-14T18:20:00Z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