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77C3CA7C"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On-line via zoom/e-mail</w:t>
            </w:r>
          </w:p>
        </w:tc>
        <w:tc>
          <w:tcPr>
            <w:tcW w:w="4675" w:type="dxa"/>
          </w:tcPr>
          <w:p w14:paraId="060FB94C" w14:textId="7ED097EE"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25B9B5D1" w:rsidR="00790FB4" w:rsidRDefault="00790FB4" w:rsidP="00790FB4">
            <w:pPr>
              <w:pStyle w:val="Heading1"/>
              <w:ind w:left="0" w:firstLine="0"/>
              <w:jc w:val="left"/>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r w:rsidR="007E5C35" w:rsidRPr="007E5C35">
              <w:rPr>
                <w:rFonts w:ascii="Times New Roman" w:hAnsi="Times New Roman"/>
                <w:color w:val="auto"/>
                <w:highlight w:val="yellow"/>
              </w:rPr>
              <w:t>iNet (Canvas)</w:t>
            </w:r>
          </w:p>
        </w:tc>
        <w:tc>
          <w:tcPr>
            <w:tcW w:w="4675" w:type="dxa"/>
          </w:tcPr>
          <w:p w14:paraId="2F7A6E9C" w14:textId="77777777" w:rsidR="00790FB4" w:rsidRDefault="00790FB4" w:rsidP="00790FB4">
            <w:pPr>
              <w:pStyle w:val="Heading1"/>
              <w:jc w:val="left"/>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rPr>
                <w:rFonts w:ascii="Times New Roman" w:hAnsi="Times New Roman"/>
                <w:color w:val="000000" w:themeColor="text1"/>
              </w:rPr>
            </w:pPr>
            <w:r>
              <w:rPr>
                <w:rFonts w:ascii="Times New Roman" w:hAnsi="Times New Roman"/>
              </w:rPr>
              <w:t>972-489-6046</w:t>
            </w:r>
          </w:p>
        </w:tc>
        <w:tc>
          <w:tcPr>
            <w:tcW w:w="4675" w:type="dxa"/>
          </w:tcPr>
          <w:p w14:paraId="74BF4E03" w14:textId="725E51D3"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Final Exam date/time/place:</w:t>
            </w:r>
            <w:r>
              <w:br/>
              <w:t>Not applicable. A final paper</w:t>
            </w:r>
            <w:r w:rsidR="008E6EA0">
              <w:t xml:space="preserve"> and final paper video presentation</w:t>
            </w:r>
            <w:r>
              <w:t xml:space="preserve">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4F072614"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r w:rsidR="007E5C35">
        <w:rPr>
          <w:rFonts w:ascii="TimesNewRomanPSMT" w:eastAsiaTheme="minorHAnsi" w:hAnsi="TimesNewRomanPSMT" w:cs="TimesNewRomanPSMT"/>
          <w:color w:val="000000"/>
        </w:rPr>
        <w:t>of How Schools Work will be asynchronous</w:t>
      </w:r>
      <w:r w:rsidR="007C53AF">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8-weeks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028BF6A0" w:rsidR="00B62291" w:rsidRDefault="007F006E"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 xml:space="preserve">If you would like a </w:t>
      </w:r>
      <w:r w:rsidR="00B62291">
        <w:rPr>
          <w:rFonts w:ascii="TimesNewRomanPS-BoldMT" w:eastAsiaTheme="minorHAnsi" w:hAnsi="TimesNewRomanPS-BoldMT" w:cs="TimesNewRomanPS-BoldMT"/>
          <w:b/>
          <w:bCs/>
          <w:color w:val="000000"/>
        </w:rPr>
        <w:t>synchronous zoom meeting within our 8-week schedule</w:t>
      </w:r>
      <w:r>
        <w:rPr>
          <w:rFonts w:ascii="TimesNewRomanPS-BoldMT" w:eastAsiaTheme="minorHAnsi" w:hAnsi="TimesNewRomanPS-BoldMT" w:cs="TimesNewRomanPS-BoldMT"/>
          <w:b/>
          <w:bCs/>
          <w:color w:val="000000"/>
        </w:rPr>
        <w:t xml:space="preserve">, I would be happy to accommodate the extra </w:t>
      </w:r>
      <w:r w:rsidR="008E6EA0">
        <w:rPr>
          <w:rFonts w:ascii="TimesNewRomanPS-BoldMT" w:eastAsiaTheme="minorHAnsi" w:hAnsi="TimesNewRomanPS-BoldMT" w:cs="TimesNewRomanPS-BoldMT"/>
          <w:b/>
          <w:bCs/>
          <w:color w:val="000000"/>
        </w:rPr>
        <w:t>support</w:t>
      </w:r>
      <w:r>
        <w:rPr>
          <w:rFonts w:ascii="TimesNewRomanPS-BoldMT" w:eastAsiaTheme="minorHAnsi" w:hAnsi="TimesNewRomanPS-BoldMT" w:cs="TimesNewRomanPS-BoldMT"/>
          <w:b/>
          <w:bCs/>
          <w:color w:val="000000"/>
        </w:rPr>
        <w:t xml:space="preserve"> if requested</w:t>
      </w:r>
      <w:r w:rsidR="00B62291">
        <w:rPr>
          <w:rFonts w:ascii="TimesNewRomanPS-BoldMT" w:eastAsiaTheme="minorHAnsi" w:hAnsi="TimesNewRomanPS-BoldMT" w:cs="TimesNewRomanPS-BoldMT"/>
          <w:b/>
          <w:bCs/>
          <w:color w:val="000000"/>
        </w:rPr>
        <w:t xml:space="preserve">. </w:t>
      </w:r>
      <w:r w:rsidR="008E6EA0">
        <w:rPr>
          <w:rFonts w:ascii="TimesNewRomanPS-BoldMT" w:eastAsiaTheme="minorHAnsi" w:hAnsi="TimesNewRomanPS-BoldMT" w:cs="TimesNewRomanPS-BoldMT"/>
          <w:color w:val="000000"/>
        </w:rPr>
        <w:t xml:space="preserve">Additional zooms and 1:1 meeting can be scheduled to help fit your schedule. Please reach out with </w:t>
      </w:r>
      <w:r w:rsidR="007C53AF">
        <w:rPr>
          <w:rFonts w:ascii="TimesNewRomanPS-BoldMT" w:eastAsiaTheme="minorHAnsi" w:hAnsi="TimesNewRomanPS-BoldMT" w:cs="TimesNewRomanPS-BoldMT"/>
          <w:color w:val="000000"/>
        </w:rPr>
        <w:t xml:space="preserve">this </w:t>
      </w:r>
      <w:r w:rsidR="008E6EA0">
        <w:rPr>
          <w:rFonts w:ascii="TimesNewRomanPS-BoldMT" w:eastAsiaTheme="minorHAnsi" w:hAnsi="TimesNewRomanPS-BoldMT" w:cs="TimesNewRomanPS-BoldMT"/>
          <w:color w:val="000000"/>
        </w:rPr>
        <w:t>request.</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7DCC195" w14:textId="1656D934" w:rsidR="004052F9" w:rsidRDefault="004052F9" w:rsidP="00FF588F">
      <w:pPr>
        <w:autoSpaceDE w:val="0"/>
        <w:autoSpaceDN w:val="0"/>
        <w:adjustRightInd w:val="0"/>
        <w:rPr>
          <w:rFonts w:ascii="TimesNewRomanPSMT" w:eastAsiaTheme="minorHAnsi" w:hAnsi="TimesNewRomanPSMT" w:cs="TimesNewRomanPSMT"/>
          <w:color w:val="000000"/>
        </w:rPr>
      </w:pPr>
      <w:r w:rsidRPr="004052F9">
        <w:rPr>
          <w:rFonts w:ascii="TimesNewRomanPSMT" w:eastAsiaTheme="minorHAnsi" w:hAnsi="TimesNewRomanPSMT" w:cs="TimesNewRomanPSMT"/>
          <w:b/>
          <w:bCs/>
          <w:color w:val="000000"/>
        </w:rPr>
        <w:t>Participation points</w:t>
      </w:r>
      <w:r>
        <w:rPr>
          <w:rFonts w:ascii="TimesNewRomanPSMT" w:eastAsiaTheme="minorHAnsi" w:hAnsi="TimesNewRomanPSMT" w:cs="TimesNewRomanPSMT"/>
          <w:color w:val="000000"/>
        </w:rPr>
        <w:t xml:space="preserve"> (16) will be awarded at the end of the course, based on your work within non-graded activities, like posting short, weekly Flip.com check-in videos. Your work should reference the materials covered during that respective week. Please use specific references to the readings to demonstrate that you read the material. Do not simply generalize. Be specific in any examples</w:t>
      </w:r>
      <w:r w:rsidR="007C53AF">
        <w:rPr>
          <w:rFonts w:ascii="TimesNewRomanPSMT" w:eastAsiaTheme="minorHAnsi" w:hAnsi="TimesNewRomanPSMT" w:cs="TimesNewRomanPSMT"/>
          <w:color w:val="000000"/>
        </w:rPr>
        <w:t xml:space="preserve"> and try to synthesize what you are learning within the context of your future, potential classroom/campus</w:t>
      </w:r>
      <w:r>
        <w:rPr>
          <w:rFonts w:ascii="TimesNewRomanPSMT" w:eastAsiaTheme="minorHAnsi" w:hAnsi="TimesNewRomanPSMT" w:cs="TimesNewRomanPSMT"/>
          <w:color w:val="000000"/>
        </w:rPr>
        <w:t>.</w:t>
      </w:r>
    </w:p>
    <w:p w14:paraId="616D0C52" w14:textId="77777777" w:rsidR="004052F9" w:rsidRDefault="004052F9" w:rsidP="00FF588F">
      <w:pPr>
        <w:autoSpaceDE w:val="0"/>
        <w:autoSpaceDN w:val="0"/>
        <w:adjustRightInd w:val="0"/>
        <w:rPr>
          <w:rFonts w:ascii="TimesNewRomanPSMT" w:eastAsiaTheme="minorHAnsi" w:hAnsi="TimesNewRomanPSMT" w:cs="TimesNewRomanPSMT"/>
          <w:color w:val="000000"/>
        </w:rPr>
      </w:pPr>
    </w:p>
    <w:p w14:paraId="10F475A8" w14:textId="6693DE9A"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w:t>
      </w:r>
      <w:r w:rsidR="00105743">
        <w:rPr>
          <w:rFonts w:ascii="TimesNewRomanPSMT" w:eastAsiaTheme="minorHAnsi" w:hAnsi="TimesNewRomanPSMT" w:cs="TimesNewRomanPSMT"/>
          <w:color w:val="000000"/>
        </w:rPr>
        <w:t>.</w:t>
      </w:r>
    </w:p>
    <w:p w14:paraId="2FAC84C8"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48D65FC4" w14:textId="64D595CD" w:rsidR="004052F9" w:rsidRDefault="00B80625"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There might be optional, s</w:t>
      </w:r>
      <w:r w:rsidR="000156B2">
        <w:rPr>
          <w:rFonts w:ascii="TimesNewRomanPSMT" w:eastAsiaTheme="minorHAnsi" w:hAnsi="TimesNewRomanPSMT" w:cs="TimesNewRomanPSMT"/>
          <w:color w:val="000000"/>
        </w:rPr>
        <w:t>ynchronous c</w:t>
      </w:r>
      <w:r w:rsidR="00FF588F" w:rsidRPr="00FF588F">
        <w:rPr>
          <w:rFonts w:ascii="TimesNewRomanPSMT" w:eastAsiaTheme="minorHAnsi" w:hAnsi="TimesNewRomanPSMT" w:cs="TimesNewRomanPSMT"/>
          <w:color w:val="000000"/>
        </w:rPr>
        <w:t xml:space="preserve">lass sessions </w:t>
      </w:r>
      <w:r w:rsidR="00FF588F">
        <w:rPr>
          <w:rFonts w:ascii="TimesNewRomanPSMT" w:eastAsiaTheme="minorHAnsi" w:hAnsi="TimesNewRomanPSMT" w:cs="TimesNewRomanPSMT"/>
          <w:color w:val="000000"/>
        </w:rPr>
        <w:t xml:space="preserve">streamed live via </w:t>
      </w:r>
      <w:r w:rsidR="00720F53">
        <w:rPr>
          <w:rFonts w:ascii="TimesNewRomanPSMT" w:eastAsiaTheme="minorHAnsi" w:hAnsi="TimesNewRomanPSMT" w:cs="TimesNewRomanPSMT"/>
          <w:color w:val="000000"/>
        </w:rPr>
        <w:t>Zoom</w:t>
      </w:r>
      <w:r>
        <w:rPr>
          <w:rFonts w:ascii="TimesNewRomanPSMT" w:eastAsiaTheme="minorHAnsi" w:hAnsi="TimesNewRomanPSMT" w:cs="TimesNewRomanPSMT"/>
          <w:color w:val="000000"/>
        </w:rPr>
        <w:t xml:space="preserve"> as needed. I will record optional video materials and upload to Canvas announcements/modules as supportive material for you. Any attendance for zoom meetings will be optional</w:t>
      </w:r>
      <w:r w:rsidR="00B378B5">
        <w:rPr>
          <w:rFonts w:ascii="TimesNewRomanPSMT" w:eastAsiaTheme="minorHAnsi" w:hAnsi="TimesNewRomanPSMT" w:cs="TimesNewRomanPSMT"/>
          <w:color w:val="000000"/>
        </w:rPr>
        <w:t xml:space="preserve"> and upon request only</w:t>
      </w:r>
      <w:r>
        <w:rPr>
          <w:rFonts w:ascii="TimesNewRomanPSMT" w:eastAsiaTheme="minorHAnsi" w:hAnsi="TimesNewRomanPSMT" w:cs="TimesNewRomanPSMT"/>
          <w:color w:val="000000"/>
        </w:rPr>
        <w:t>.</w:t>
      </w:r>
    </w:p>
    <w:p w14:paraId="46F60F0D"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2B606E33"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Since this is only an 8-week course, </w:t>
      </w:r>
      <w:r w:rsidRPr="00B378B5">
        <w:rPr>
          <w:rFonts w:ascii="TimesNewRomanPSMT" w:eastAsiaTheme="minorHAnsi" w:hAnsi="TimesNewRomanPSMT" w:cs="TimesNewRomanPSMT"/>
          <w:b/>
          <w:bCs/>
          <w:color w:val="000000"/>
          <w:highlight w:val="yellow"/>
        </w:rPr>
        <w:t xml:space="preserve">excessive </w:t>
      </w:r>
      <w:r w:rsidR="00B378B5" w:rsidRPr="00B378B5">
        <w:rPr>
          <w:rFonts w:ascii="TimesNewRomanPSMT" w:eastAsiaTheme="minorHAnsi" w:hAnsi="TimesNewRomanPSMT" w:cs="TimesNewRomanPSMT"/>
          <w:b/>
          <w:bCs/>
          <w:color w:val="000000"/>
          <w:highlight w:val="yellow"/>
        </w:rPr>
        <w:t>non-participation (flip.com or any assignments/discussion posts) in a timely manner, will result in a failing grade for this course</w:t>
      </w:r>
      <w:r w:rsidR="00B378B5">
        <w:rPr>
          <w:rFonts w:ascii="TimesNewRomanPSMT" w:eastAsiaTheme="minorHAnsi" w:hAnsi="TimesNewRomanPSMT" w:cs="TimesNewRomanPSMT"/>
          <w:color w:val="000000"/>
        </w:rPr>
        <w:t>. For example, missing (2) or more discussion posts, would result in the inability to complete the course and result in a failing grade, regardless of the rubric(s) involved.</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lastRenderedPageBreak/>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seeks to improve educational</w:t>
      </w:r>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practice through the generation of knowledge and to prepare education professionals who serve</w:t>
      </w:r>
    </w:p>
    <w:p w14:paraId="3CAD0297" w14:textId="55C12B91"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r w:rsidR="009B5189">
        <w:rPr>
          <w:rFonts w:ascii="TimesNewRomanPSMT" w:eastAsiaTheme="minorHAnsi" w:hAnsi="TimesNewRomanPSMT" w:cs="TimesNewRomanPSMT"/>
        </w:rPr>
        <w:t>inclusive,</w:t>
      </w:r>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r w:rsidR="006D138A" w:rsidRPr="00064F9A">
        <w:rPr>
          <w:rFonts w:cs="Arial"/>
          <w:iCs/>
          <w:color w:val="000000" w:themeColor="text1"/>
        </w:rPr>
        <w:t>all</w:t>
      </w:r>
      <w:r w:rsidRPr="00064F9A">
        <w:rPr>
          <w:rFonts w:cs="Arial"/>
          <w:iCs/>
          <w:color w:val="000000" w:themeColor="text1"/>
        </w:rPr>
        <w:t xml:space="preserve"> of the following means: </w:t>
      </w:r>
    </w:p>
    <w:p w14:paraId="09E74F6B" w14:textId="7DA32690"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 xml:space="preserve">Asking questions or sharing ideas </w:t>
      </w:r>
      <w:r w:rsidR="00395D24">
        <w:rPr>
          <w:rFonts w:cs="Arial"/>
          <w:iCs/>
          <w:color w:val="000000" w:themeColor="text1"/>
        </w:rPr>
        <w:t>through weekly, online Flip.com videos</w:t>
      </w:r>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4E5F558A"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Talking, writing, and coordinating efforts </w:t>
      </w:r>
      <w:r w:rsidR="00395D24">
        <w:rPr>
          <w:rFonts w:cs="Arial"/>
          <w:iCs/>
          <w:color w:val="000000" w:themeColor="text1"/>
        </w:rPr>
        <w:t>with others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all of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Your post demonstrates that you read and digested all of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it should not be less than 4 double-spaced pages</w:t>
      </w:r>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Your personal background: racial/ethnic heritage, im/migration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school worked.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school work (or not work) for you? Was a disciplinary system (e.g., student behavior policies) important to the way your school worked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You may also write about how these issues changed the quality (or lack of quality) of your school for you and how your particular school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The paper meets all of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particular group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in order to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There is evidence that the paper includes reference to prior research in order to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The paper meets all of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651445ED" w:rsidR="00C83A72" w:rsidRPr="00C83A72" w:rsidRDefault="00460840" w:rsidP="00241CFB">
      <w:pPr>
        <w:rPr>
          <w:b/>
          <w:color w:val="000000" w:themeColor="text1"/>
        </w:rPr>
      </w:pPr>
      <w:r>
        <w:rPr>
          <w:b/>
          <w:color w:val="000000" w:themeColor="text1"/>
        </w:rPr>
        <w:t xml:space="preserve">Course Schedule and Readings, </w:t>
      </w:r>
      <w:r w:rsidR="00CA5183">
        <w:rPr>
          <w:b/>
          <w:color w:val="000000" w:themeColor="text1"/>
        </w:rPr>
        <w:t>Fall</w:t>
      </w:r>
      <w:r>
        <w:rPr>
          <w:b/>
          <w:color w:val="000000" w:themeColor="text1"/>
        </w:rPr>
        <w:t xml:space="preserve"> 202</w:t>
      </w:r>
      <w:r w:rsidR="00CA5183">
        <w:rPr>
          <w:b/>
          <w:color w:val="000000" w:themeColor="text1"/>
        </w:rPr>
        <w:t>3</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58A809D8"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7B7DC27B"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w:t>
      </w:r>
      <w:r w:rsidR="001E07D7">
        <w:rPr>
          <w:bCs/>
          <w:color w:val="000000" w:themeColor="text1"/>
          <w:u w:val="single"/>
        </w:rPr>
        <w:t>C</w:t>
      </w:r>
      <w:r w:rsidR="00D85BCD" w:rsidRPr="00D2619B">
        <w:rPr>
          <w:bCs/>
          <w:color w:val="000000" w:themeColor="text1"/>
          <w:u w:val="single"/>
        </w:rPr>
        <w:t>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r>
        <w:t>Có</w:t>
      </w:r>
      <w:r w:rsidR="001733C2">
        <w:rPr>
          <w:bCs/>
          <w:color w:val="000000" w:themeColor="text1"/>
        </w:rPr>
        <w:t>rdova</w:t>
      </w:r>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Fresh Air: An interview with Julie Lythcott-Haims</w:t>
        </w:r>
      </w:hyperlink>
      <w:r>
        <w:t xml:space="preserve"> about her</w:t>
      </w:r>
      <w:r w:rsidRPr="00B44793">
        <w:t xml:space="preserve"> book, </w:t>
      </w:r>
      <w:r w:rsidRPr="00B44793">
        <w:rPr>
          <w:i/>
          <w:iCs/>
        </w:rPr>
        <w:t>Your Turn: How to Be an Adult</w:t>
      </w:r>
      <w:r>
        <w:rPr>
          <w:i/>
          <w:iCs/>
        </w:rPr>
        <w:t xml:space="preserve">. </w:t>
      </w:r>
      <w:r>
        <w:t xml:space="preserve">In this interview </w:t>
      </w:r>
      <w:r w:rsidRPr="00B44793">
        <w:t>Lythcott-Haims</w:t>
      </w:r>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r w:rsidR="00AE5608" w:rsidRPr="00AE5608">
        <w:rPr>
          <w:bCs/>
          <w:color w:val="000000" w:themeColor="text1"/>
        </w:rPr>
        <w:t xml:space="preserve">Treviño, L. E. J., García, J., &amp; Bybee, E. R. (2017). “The day that changed my life, again”: The testimonio of a Latino DACAmented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ONLY READ pgs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Walker, V. S., &amp; Byas,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Alemán, J., &amp; Alemán/Luna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5E1B7D" w:rsidRPr="005E1B7D">
        <w:rPr>
          <w:bCs/>
          <w:color w:val="000000" w:themeColor="text1"/>
        </w:rPr>
        <w:t>Alemán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r w:rsidRPr="00B26B3B">
        <w:rPr>
          <w:bCs/>
          <w:color w:val="000000" w:themeColor="text1"/>
        </w:rPr>
        <w:t>Noguera, P. A., &amp; Alicea,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Phi Delta Kappan,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ey roles that make schools work</w:t>
      </w:r>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Nebus Bose, F., &amp; Teemant,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r w:rsidRPr="00E7636E">
        <w:rPr>
          <w:bCs/>
          <w:color w:val="000000" w:themeColor="text1"/>
        </w:rPr>
        <w:t xml:space="preserve">Noguera,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Rosalynne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Roman font, double spaced, left aligned text, page numbers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provides a variety of services, including tutoring, to enhance the student academic experience</w:t>
      </w:r>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independence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experience</w:t>
      </w:r>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UNT</w:t>
      </w:r>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r w:rsidRPr="00402AB6">
        <w:rPr>
          <w:i/>
          <w:iCs/>
          <w:color w:val="211E1E"/>
        </w:rPr>
        <w:t xml:space="preserve">IASystem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r w:rsidRPr="00061B1D">
        <w:rPr>
          <w:b/>
          <w:bCs/>
        </w:rPr>
        <w:t>Foliotek ePortfolio</w:t>
      </w:r>
      <w:r w:rsidRPr="00061B1D">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061B1D">
        <w:rPr>
          <w:color w:val="0000FF"/>
        </w:rPr>
        <w:t xml:space="preserve">https://coe.unt.edu/educator-preparation-office/foliotek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i,ii,iv; 1B</w:t>
      </w:r>
      <w:r w:rsidR="00FB19C2">
        <w:rPr>
          <w:rFonts w:ascii="Times New Roman" w:eastAsia="Times New Roman" w:hAnsi="Times New Roman"/>
          <w:color w:val="211E1E"/>
          <w:sz w:val="24"/>
          <w:szCs w:val="24"/>
        </w:rPr>
        <w:t xml:space="preserve">: </w:t>
      </w:r>
      <w:r w:rsidRPr="1CBE6D7A">
        <w:rPr>
          <w:rFonts w:ascii="Times New Roman" w:eastAsia="Times New Roman" w:hAnsi="Times New Roman"/>
          <w:color w:val="211E1E"/>
          <w:sz w:val="24"/>
          <w:szCs w:val="24"/>
        </w:rPr>
        <w:t>i,ii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use and promote creative thinking and innovative processes to construct knowledge, generate new ideas, and create products</w:t>
      </w:r>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languaging.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4B6412">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D93F" w14:textId="77777777" w:rsidR="004B6412" w:rsidRDefault="004B6412" w:rsidP="00001215">
      <w:r>
        <w:separator/>
      </w:r>
    </w:p>
  </w:endnote>
  <w:endnote w:type="continuationSeparator" w:id="0">
    <w:p w14:paraId="4B7E473D" w14:textId="77777777" w:rsidR="004B6412" w:rsidRDefault="004B6412"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375B" w14:textId="77777777" w:rsidR="004B6412" w:rsidRDefault="004B6412" w:rsidP="00001215">
      <w:r>
        <w:separator/>
      </w:r>
    </w:p>
  </w:footnote>
  <w:footnote w:type="continuationSeparator" w:id="0">
    <w:p w14:paraId="49C1A038" w14:textId="77777777" w:rsidR="004B6412" w:rsidRDefault="004B6412"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1C278361"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FE40F4">
      <w:rPr>
        <w:sz w:val="22"/>
        <w:szCs w:val="22"/>
      </w:rPr>
      <w:t>00</w:t>
    </w:r>
    <w:r w:rsidR="00EE3044">
      <w:rPr>
        <w:sz w:val="22"/>
        <w:szCs w:val="22"/>
      </w:rPr>
      <w:t>5</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338ECF17"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E73050">
      <w:rPr>
        <w:rStyle w:val="Heading1Char"/>
        <w:b/>
        <w:bCs/>
      </w:rPr>
      <w:t>00</w:t>
    </w:r>
    <w:r w:rsidR="00862B43">
      <w:rPr>
        <w:rStyle w:val="Heading1Char"/>
        <w:b/>
        <w:bCs/>
      </w:rPr>
      <w:t>5</w:t>
    </w:r>
    <w:r w:rsidR="00B01E0C">
      <w:rPr>
        <w:rStyle w:val="Heading1Char"/>
        <w:b/>
        <w:bCs/>
      </w:rPr>
      <w:t xml:space="preserve"> </w:t>
    </w:r>
    <w:r w:rsidRPr="008B3D33">
      <w:rPr>
        <w:rStyle w:val="Heading1Char"/>
        <w:b/>
        <w:bCs/>
      </w:rPr>
      <w:t xml:space="preserve">How Schools Work </w:t>
    </w:r>
    <w:r w:rsidR="00862B43">
      <w:rPr>
        <w:rStyle w:val="Heading1Char"/>
        <w:b/>
        <w:bCs/>
      </w:rPr>
      <w:t>Spring</w:t>
    </w:r>
    <w:r w:rsidRPr="008B3D33">
      <w:rPr>
        <w:rStyle w:val="Heading1Char"/>
        <w:b/>
        <w:bCs/>
      </w:rPr>
      <w:t xml:space="preserve"> 202</w:t>
    </w:r>
    <w:r w:rsidR="00862B43">
      <w:rPr>
        <w:rStyle w:val="Heading1Char"/>
        <w:b/>
        <w:bCs/>
      </w:rPr>
      <w:t>4</w:t>
    </w:r>
    <w:r w:rsidR="00E73050">
      <w:rPr>
        <w:rStyle w:val="Heading1Char"/>
        <w:b/>
        <w:bCs/>
      </w:rPr>
      <w:t xml:space="preserve"> (8w</w:t>
    </w:r>
    <w:r w:rsidR="00862B43">
      <w:rPr>
        <w:rStyle w:val="Heading1Char"/>
        <w:b/>
        <w:bCs/>
      </w:rPr>
      <w:t>1</w:t>
    </w:r>
    <w:r w:rsidR="00E73050">
      <w:rPr>
        <w:rStyle w:val="Heading1Char"/>
        <w:b/>
        <w:bCs/>
      </w:rPr>
      <w:t>)</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C6BD9"/>
    <w:rsid w:val="000C6FD0"/>
    <w:rsid w:val="000D49EA"/>
    <w:rsid w:val="000D580D"/>
    <w:rsid w:val="000D6657"/>
    <w:rsid w:val="000E2216"/>
    <w:rsid w:val="000F3FA5"/>
    <w:rsid w:val="00105743"/>
    <w:rsid w:val="00107C83"/>
    <w:rsid w:val="001149C9"/>
    <w:rsid w:val="00124B53"/>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07D7"/>
    <w:rsid w:val="001E3465"/>
    <w:rsid w:val="001F4271"/>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B001F"/>
    <w:rsid w:val="002B48AE"/>
    <w:rsid w:val="002B7E63"/>
    <w:rsid w:val="002C027F"/>
    <w:rsid w:val="002C750D"/>
    <w:rsid w:val="002D3722"/>
    <w:rsid w:val="002F088F"/>
    <w:rsid w:val="00305421"/>
    <w:rsid w:val="00311BC5"/>
    <w:rsid w:val="003479ED"/>
    <w:rsid w:val="0035008C"/>
    <w:rsid w:val="00360DFE"/>
    <w:rsid w:val="00361C55"/>
    <w:rsid w:val="0036388C"/>
    <w:rsid w:val="0037458D"/>
    <w:rsid w:val="00381B53"/>
    <w:rsid w:val="00395D24"/>
    <w:rsid w:val="00395F5D"/>
    <w:rsid w:val="003B0051"/>
    <w:rsid w:val="003B168E"/>
    <w:rsid w:val="003B36F3"/>
    <w:rsid w:val="003B546A"/>
    <w:rsid w:val="003C27F0"/>
    <w:rsid w:val="003E3BE3"/>
    <w:rsid w:val="003E7DEE"/>
    <w:rsid w:val="003F7ACA"/>
    <w:rsid w:val="00402AB6"/>
    <w:rsid w:val="004052F9"/>
    <w:rsid w:val="0041660E"/>
    <w:rsid w:val="0041794A"/>
    <w:rsid w:val="004305BF"/>
    <w:rsid w:val="00436304"/>
    <w:rsid w:val="00451296"/>
    <w:rsid w:val="00460840"/>
    <w:rsid w:val="00464F1A"/>
    <w:rsid w:val="00484301"/>
    <w:rsid w:val="004A2526"/>
    <w:rsid w:val="004A335C"/>
    <w:rsid w:val="004A353E"/>
    <w:rsid w:val="004A4248"/>
    <w:rsid w:val="004B6412"/>
    <w:rsid w:val="004B6842"/>
    <w:rsid w:val="004C643A"/>
    <w:rsid w:val="004E4D84"/>
    <w:rsid w:val="004E7D3A"/>
    <w:rsid w:val="004F570C"/>
    <w:rsid w:val="004F6CDE"/>
    <w:rsid w:val="00502C7C"/>
    <w:rsid w:val="00503553"/>
    <w:rsid w:val="00505B94"/>
    <w:rsid w:val="0051007A"/>
    <w:rsid w:val="00517EFA"/>
    <w:rsid w:val="00524AF6"/>
    <w:rsid w:val="00530D22"/>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FA5"/>
    <w:rsid w:val="006C5A5F"/>
    <w:rsid w:val="006C64BD"/>
    <w:rsid w:val="006D138A"/>
    <w:rsid w:val="006D5C27"/>
    <w:rsid w:val="006D5EDC"/>
    <w:rsid w:val="006D7EB4"/>
    <w:rsid w:val="006E375B"/>
    <w:rsid w:val="006F338D"/>
    <w:rsid w:val="006F6A59"/>
    <w:rsid w:val="007127A3"/>
    <w:rsid w:val="00720F53"/>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C53AF"/>
    <w:rsid w:val="007D61D1"/>
    <w:rsid w:val="007E3922"/>
    <w:rsid w:val="007E5C35"/>
    <w:rsid w:val="007E5E0F"/>
    <w:rsid w:val="007F006E"/>
    <w:rsid w:val="007F150D"/>
    <w:rsid w:val="007F3A0F"/>
    <w:rsid w:val="007F4558"/>
    <w:rsid w:val="007F6DF7"/>
    <w:rsid w:val="0080357C"/>
    <w:rsid w:val="008063FC"/>
    <w:rsid w:val="00814B0A"/>
    <w:rsid w:val="00821E11"/>
    <w:rsid w:val="00831630"/>
    <w:rsid w:val="00834553"/>
    <w:rsid w:val="00837B01"/>
    <w:rsid w:val="0085019C"/>
    <w:rsid w:val="00853D27"/>
    <w:rsid w:val="00854573"/>
    <w:rsid w:val="00862B4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E6EA0"/>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584A"/>
    <w:rsid w:val="00996588"/>
    <w:rsid w:val="009A070F"/>
    <w:rsid w:val="009A2E75"/>
    <w:rsid w:val="009B345B"/>
    <w:rsid w:val="009B4C10"/>
    <w:rsid w:val="009B5189"/>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378B5"/>
    <w:rsid w:val="00B42B2B"/>
    <w:rsid w:val="00B44793"/>
    <w:rsid w:val="00B62291"/>
    <w:rsid w:val="00B63F75"/>
    <w:rsid w:val="00B64E5E"/>
    <w:rsid w:val="00B7280D"/>
    <w:rsid w:val="00B72F4E"/>
    <w:rsid w:val="00B80625"/>
    <w:rsid w:val="00B82A02"/>
    <w:rsid w:val="00B8693C"/>
    <w:rsid w:val="00B96094"/>
    <w:rsid w:val="00B9692D"/>
    <w:rsid w:val="00B97E7D"/>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5183"/>
    <w:rsid w:val="00CA711B"/>
    <w:rsid w:val="00CB106D"/>
    <w:rsid w:val="00CB7FB0"/>
    <w:rsid w:val="00CC0098"/>
    <w:rsid w:val="00CC06AD"/>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442D9"/>
    <w:rsid w:val="00D525D2"/>
    <w:rsid w:val="00D672B8"/>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3050"/>
    <w:rsid w:val="00E7636E"/>
    <w:rsid w:val="00E863FA"/>
    <w:rsid w:val="00E8711D"/>
    <w:rsid w:val="00E9008A"/>
    <w:rsid w:val="00E93B76"/>
    <w:rsid w:val="00E976B4"/>
    <w:rsid w:val="00EA7DE5"/>
    <w:rsid w:val="00EB346C"/>
    <w:rsid w:val="00EB3A97"/>
    <w:rsid w:val="00EB4B3B"/>
    <w:rsid w:val="00EC21F5"/>
    <w:rsid w:val="00EC6215"/>
    <w:rsid w:val="00EE3044"/>
    <w:rsid w:val="00EE3FAB"/>
    <w:rsid w:val="00EE41E2"/>
    <w:rsid w:val="00EF29B8"/>
    <w:rsid w:val="00EF38BF"/>
    <w:rsid w:val="00F01496"/>
    <w:rsid w:val="00F01ADA"/>
    <w:rsid w:val="00F1446B"/>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E40F4"/>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6881</Words>
  <Characters>39222</Characters>
  <Application>Microsoft Office Word</Application>
  <DocSecurity>0</DocSecurity>
  <Lines>326</Lines>
  <Paragraphs>92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7</cp:revision>
  <cp:lastPrinted>2021-08-17T16:13:00Z</cp:lastPrinted>
  <dcterms:created xsi:type="dcterms:W3CDTF">2024-01-13T03:44:00Z</dcterms:created>
  <dcterms:modified xsi:type="dcterms:W3CDTF">2024-01-30T19:03:00Z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