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E84A" w14:textId="77777777" w:rsidR="004B00FB" w:rsidRPr="00DC6A5C" w:rsidRDefault="00096B17">
      <w:pPr>
        <w:rPr>
          <w:b/>
        </w:rPr>
      </w:pPr>
      <w:r>
        <w:t xml:space="preserve">BIOC </w:t>
      </w:r>
      <w:r w:rsidR="0055474C">
        <w:t>4</w:t>
      </w:r>
      <w:r w:rsidR="009A2A0F" w:rsidRPr="0067606C">
        <w:t>550</w:t>
      </w:r>
      <w:r w:rsidR="00DC6A5C">
        <w:t xml:space="preserve"> </w:t>
      </w:r>
      <w:r w:rsidR="00DC6A5C" w:rsidRPr="0067606C">
        <w:rPr>
          <w:b/>
        </w:rPr>
        <w:t>Biochemistry II</w:t>
      </w:r>
    </w:p>
    <w:p w14:paraId="51512564" w14:textId="77777777" w:rsidR="004B00FB" w:rsidRPr="0067606C" w:rsidRDefault="004B00FB">
      <w:pPr>
        <w:rPr>
          <w:b/>
        </w:rPr>
      </w:pPr>
    </w:p>
    <w:p w14:paraId="3114443F" w14:textId="77777777" w:rsidR="004B00FB" w:rsidRPr="0067606C" w:rsidRDefault="009A2A0F">
      <w:pPr>
        <w:rPr>
          <w:b/>
        </w:rPr>
      </w:pPr>
      <w:r w:rsidRPr="0067606C">
        <w:rPr>
          <w:b/>
        </w:rPr>
        <w:t xml:space="preserve">Times: </w:t>
      </w:r>
      <w:r w:rsidRPr="0067606C">
        <w:t xml:space="preserve">TTH </w:t>
      </w:r>
      <w:r w:rsidR="00F6308F">
        <w:t>8</w:t>
      </w:r>
      <w:r w:rsidRPr="0067606C">
        <w:t xml:space="preserve">:00 AM - </w:t>
      </w:r>
      <w:r w:rsidR="00F6308F">
        <w:t>9</w:t>
      </w:r>
      <w:r w:rsidRPr="0067606C">
        <w:t>:20 PM</w:t>
      </w:r>
    </w:p>
    <w:p w14:paraId="718AF355" w14:textId="77777777" w:rsidR="004B00FB" w:rsidRPr="0067606C" w:rsidRDefault="004B00FB">
      <w:pPr>
        <w:rPr>
          <w:b/>
        </w:rPr>
      </w:pPr>
    </w:p>
    <w:p w14:paraId="7AA60AE5" w14:textId="212CB6E7" w:rsidR="004B00FB" w:rsidRPr="0067606C" w:rsidRDefault="009A2A0F">
      <w:pPr>
        <w:rPr>
          <w:b/>
        </w:rPr>
      </w:pPr>
      <w:r w:rsidRPr="0067606C">
        <w:rPr>
          <w:b/>
        </w:rPr>
        <w:t xml:space="preserve">Room: </w:t>
      </w:r>
      <w:r w:rsidR="00A410EF">
        <w:t>CHEM 106</w:t>
      </w:r>
    </w:p>
    <w:p w14:paraId="4EFCFFAE" w14:textId="77777777" w:rsidR="004B00FB" w:rsidRPr="0067606C" w:rsidRDefault="004B00FB"/>
    <w:p w14:paraId="5AE9A63A" w14:textId="77777777" w:rsidR="004B00FB" w:rsidRPr="0067606C" w:rsidRDefault="009A2A0F">
      <w:r w:rsidRPr="0067606C">
        <w:rPr>
          <w:b/>
        </w:rPr>
        <w:t xml:space="preserve">Course Instructor: </w:t>
      </w:r>
      <w:r w:rsidRPr="0067606C">
        <w:t>Douglas D. Root</w:t>
      </w:r>
    </w:p>
    <w:p w14:paraId="509AEE1D" w14:textId="77777777" w:rsidR="004B00FB" w:rsidRPr="0067606C" w:rsidRDefault="004B00FB"/>
    <w:p w14:paraId="62ADAFB7" w14:textId="77777777" w:rsidR="004B00FB" w:rsidRPr="0067606C" w:rsidRDefault="009A2A0F">
      <w:r w:rsidRPr="0067606C">
        <w:rPr>
          <w:b/>
        </w:rPr>
        <w:t xml:space="preserve">Office: </w:t>
      </w:r>
      <w:r w:rsidRPr="0067606C">
        <w:t xml:space="preserve">Room </w:t>
      </w:r>
      <w:r w:rsidR="00F6308F">
        <w:t>322 LSCB</w:t>
      </w:r>
    </w:p>
    <w:p w14:paraId="3C3AEFE0" w14:textId="77777777" w:rsidR="004B00FB" w:rsidRPr="0067606C" w:rsidRDefault="004B00FB"/>
    <w:p w14:paraId="3C112989" w14:textId="77777777" w:rsidR="004B00FB" w:rsidRPr="0067606C" w:rsidRDefault="009A2A0F">
      <w:r w:rsidRPr="0067606C">
        <w:rPr>
          <w:b/>
        </w:rPr>
        <w:t>Office Phone:</w:t>
      </w:r>
      <w:r w:rsidRPr="0067606C">
        <w:t xml:space="preserve"> 940-565-2683</w:t>
      </w:r>
    </w:p>
    <w:p w14:paraId="79733958" w14:textId="77777777" w:rsidR="004B00FB" w:rsidRPr="0067606C" w:rsidRDefault="004B00FB"/>
    <w:p w14:paraId="546BD73C" w14:textId="77777777" w:rsidR="004B00FB" w:rsidRPr="0067606C" w:rsidRDefault="009A2A0F">
      <w:r w:rsidRPr="0067606C">
        <w:rPr>
          <w:b/>
        </w:rPr>
        <w:t>E-Mail:</w:t>
      </w:r>
      <w:r w:rsidRPr="0067606C">
        <w:t xml:space="preserve"> DROOT@UNT.EDU</w:t>
      </w:r>
    </w:p>
    <w:p w14:paraId="482CF2C9" w14:textId="77777777" w:rsidR="004B00FB" w:rsidRPr="0067606C" w:rsidRDefault="004B00FB"/>
    <w:p w14:paraId="7F6AE8A0" w14:textId="77777777" w:rsidR="004B00FB" w:rsidRPr="0067606C" w:rsidRDefault="009A2A0F">
      <w:r w:rsidRPr="0067606C">
        <w:rPr>
          <w:b/>
        </w:rPr>
        <w:t>Office Hours:</w:t>
      </w:r>
      <w:r w:rsidRPr="0067606C">
        <w:t xml:space="preserve"> T</w:t>
      </w:r>
      <w:r w:rsidR="00045A54">
        <w:t>H</w:t>
      </w:r>
      <w:r w:rsidRPr="0067606C">
        <w:t xml:space="preserve"> </w:t>
      </w:r>
      <w:r w:rsidR="00F6308F">
        <w:t>9</w:t>
      </w:r>
      <w:r w:rsidRPr="0067606C">
        <w:t xml:space="preserve">:30 </w:t>
      </w:r>
      <w:r w:rsidR="00F6308F">
        <w:t>A</w:t>
      </w:r>
      <w:r w:rsidRPr="0067606C">
        <w:t>M - 1</w:t>
      </w:r>
      <w:r w:rsidR="00F6308F">
        <w:t>0</w:t>
      </w:r>
      <w:r w:rsidRPr="0067606C">
        <w:t xml:space="preserve">:30 </w:t>
      </w:r>
      <w:r w:rsidR="00F6308F">
        <w:t>A</w:t>
      </w:r>
      <w:r w:rsidRPr="0067606C">
        <w:t>M</w:t>
      </w:r>
    </w:p>
    <w:p w14:paraId="436B39A3" w14:textId="77777777" w:rsidR="004B00FB" w:rsidRPr="0067606C" w:rsidRDefault="004B00FB"/>
    <w:p w14:paraId="038EF145" w14:textId="77777777" w:rsidR="004B00FB" w:rsidRPr="0067606C" w:rsidRDefault="009A2A0F">
      <w:r w:rsidRPr="0067606C">
        <w:rPr>
          <w:b/>
        </w:rPr>
        <w:t>Course Description:</w:t>
      </w:r>
    </w:p>
    <w:p w14:paraId="1DCA8962" w14:textId="77777777" w:rsidR="004B00FB" w:rsidRPr="0067606C" w:rsidRDefault="004B00FB"/>
    <w:p w14:paraId="7E05399B" w14:textId="77777777" w:rsidR="004B00FB" w:rsidRPr="0067606C" w:rsidRDefault="009A2A0F">
      <w:pPr>
        <w:ind w:firstLine="720"/>
      </w:pPr>
      <w:r w:rsidRPr="0067606C">
        <w:t>This course provides detailed descriptions of fundamental metabolic pathways involved in the biosynthesis and degradation of lipids, nucleic acids, proteins, and carbohydrates. The central role of enzymes in energy transduction, kinetics, and the flow of free energy will be demonstrated in metabolic processes. The importance of metabolic regulation will be stressed during consideration of the pathways. Examination of pathways involved in photosynthesis and nitrogen metabolism will enhance the students' appreciation of the intricate interplay between biological organisms and their global environment. Furthermore, the interconnection of metabolic pathways and their adaptations during responses to stresses on the organism will be addressed in key examples. The course will introduce the students to recent critical developments in the diverse fields of biochemistry.</w:t>
      </w:r>
    </w:p>
    <w:p w14:paraId="297FFAAD" w14:textId="77777777" w:rsidR="004B00FB" w:rsidRPr="0067606C" w:rsidRDefault="004B00FB">
      <w:pPr>
        <w:ind w:firstLine="720"/>
      </w:pPr>
    </w:p>
    <w:p w14:paraId="2DC092FE" w14:textId="77777777" w:rsidR="004B00FB" w:rsidRPr="0067606C" w:rsidRDefault="004B00FB"/>
    <w:p w14:paraId="4FD3F370" w14:textId="77777777" w:rsidR="004B00FB" w:rsidRPr="0067606C" w:rsidRDefault="009A2A0F">
      <w:r w:rsidRPr="0067606C">
        <w:rPr>
          <w:b/>
        </w:rPr>
        <w:t>Prerequisites, Grading, and Learning Outcomes:</w:t>
      </w:r>
    </w:p>
    <w:p w14:paraId="112EEF60" w14:textId="77777777" w:rsidR="004B00FB" w:rsidRPr="0067606C" w:rsidRDefault="004B00FB"/>
    <w:p w14:paraId="50A1E7A0" w14:textId="77777777" w:rsidR="004B00FB" w:rsidRPr="00AF449E" w:rsidRDefault="00096B17" w:rsidP="00BA1A7B">
      <w:pPr>
        <w:ind w:firstLine="720"/>
        <w:rPr>
          <w:b/>
          <w:szCs w:val="24"/>
        </w:rPr>
      </w:pPr>
      <w:r w:rsidRPr="0067606C">
        <w:t xml:space="preserve">This course is a continuation of BIOC 4540; therefore, successful completion of the first semester of the course and its prerequisites or the Department's consent are required. At the end of lectures, questions will be given to develop the student's ability to analyze and solve problems as it relates to the class material. </w:t>
      </w:r>
      <w:r>
        <w:t>Graduate</w:t>
      </w:r>
      <w:r w:rsidRPr="0067606C">
        <w:t xml:space="preserve"> students will </w:t>
      </w:r>
      <w:r>
        <w:t>meet with assigned undergraduate</w:t>
      </w:r>
      <w:r w:rsidRPr="0067606C">
        <w:t xml:space="preserve"> groups to </w:t>
      </w:r>
      <w:r>
        <w:t>review their presentation prior to the actual</w:t>
      </w:r>
      <w:r w:rsidRPr="0067606C">
        <w:t xml:space="preserve"> class presentations on details of metabolic enzymes.</w:t>
      </w:r>
      <w:r>
        <w:t xml:space="preserve"> </w:t>
      </w:r>
      <w:r w:rsidRPr="0067606C">
        <w:t xml:space="preserve">In addition, six noncomprehensive exams will be given on general knowledge acquired from the topics of the course. </w:t>
      </w:r>
      <w:r w:rsidR="00AB5985" w:rsidRPr="0067606C">
        <w:t>Passing students will achieve an average score greater than or equal to 60% on an equally weighted average of the 6 exams and</w:t>
      </w:r>
      <w:r w:rsidR="00AB5985">
        <w:t xml:space="preserve"> the</w:t>
      </w:r>
      <w:r w:rsidR="00AB5985" w:rsidRPr="0067606C">
        <w:t xml:space="preserve"> student presentation. </w:t>
      </w:r>
      <w:r w:rsidR="00AB5985">
        <w:t>Grades of C, B, and A require averages greater than 70%, 80%, and 90%, respectively.</w:t>
      </w:r>
      <w:r w:rsidR="00C16352">
        <w:t xml:space="preserve"> </w:t>
      </w:r>
      <w:r w:rsidR="00AD69A3" w:rsidRPr="009E62BC">
        <w:rPr>
          <w:rFonts w:eastAsiaTheme="minorEastAsia" w:cstheme="minorHAnsi"/>
        </w:rPr>
        <w:t>To fully participate in this class, students will need internet access to reference content on the Canvas Learning Management System</w:t>
      </w:r>
      <w:r w:rsidR="00AD69A3">
        <w:rPr>
          <w:rFonts w:eastAsiaTheme="minorEastAsia" w:cstheme="minorHAnsi"/>
        </w:rPr>
        <w:t>.</w:t>
      </w:r>
      <w:r w:rsidR="00DC6A5C">
        <w:rPr>
          <w:rFonts w:eastAsiaTheme="minorEastAsia" w:cstheme="minorHAnsi"/>
        </w:rPr>
        <w:t xml:space="preserve"> Daily homework assignments and quizzes will be given on Canvas. The homework and quizzes are not graded, but participation </w:t>
      </w:r>
      <w:r w:rsidR="00B76B4C">
        <w:rPr>
          <w:rFonts w:eastAsiaTheme="minorEastAsia" w:cstheme="minorHAnsi"/>
        </w:rPr>
        <w:t xml:space="preserve">in them and performance on the final </w:t>
      </w:r>
      <w:r w:rsidR="00DC6A5C">
        <w:rPr>
          <w:rFonts w:eastAsiaTheme="minorEastAsia" w:cstheme="minorHAnsi"/>
        </w:rPr>
        <w:t>will be used to determine rounding up or down a class average that is within 1% of the next highest grade.</w:t>
      </w:r>
    </w:p>
    <w:p w14:paraId="6E3FD657" w14:textId="77777777" w:rsidR="00096B17" w:rsidRDefault="00096B17">
      <w:pPr>
        <w:rPr>
          <w:b/>
        </w:rPr>
      </w:pPr>
    </w:p>
    <w:p w14:paraId="220EB30E" w14:textId="77777777" w:rsidR="00AC7240" w:rsidRPr="0067606C" w:rsidRDefault="00AC7240" w:rsidP="00AC7240">
      <w:r w:rsidRPr="0067606C">
        <w:rPr>
          <w:b/>
        </w:rPr>
        <w:t>The course text will be:</w:t>
      </w:r>
    </w:p>
    <w:p w14:paraId="28F7E5D9" w14:textId="77777777" w:rsidR="00AC7240" w:rsidRPr="0067606C" w:rsidRDefault="00AC7240" w:rsidP="00AC7240">
      <w:r w:rsidRPr="0067606C">
        <w:t>REQUIRED:</w:t>
      </w:r>
    </w:p>
    <w:p w14:paraId="49396D6E" w14:textId="77777777" w:rsidR="00AC7240" w:rsidRDefault="00AC7240" w:rsidP="00AC7240">
      <w:r>
        <w:rPr>
          <w:b/>
        </w:rPr>
        <w:t>Biochemistry,</w:t>
      </w:r>
      <w:r>
        <w:t xml:space="preserve"> eighth edition, by Berg, </w:t>
      </w:r>
      <w:proofErr w:type="spellStart"/>
      <w:r>
        <w:t>Tymoczko</w:t>
      </w:r>
      <w:proofErr w:type="spellEnd"/>
      <w:r>
        <w:t xml:space="preserve">, Gatto, &amp; </w:t>
      </w:r>
      <w:proofErr w:type="spellStart"/>
      <w:r>
        <w:t>Stryer</w:t>
      </w:r>
      <w:proofErr w:type="spellEnd"/>
      <w:r>
        <w:t>. ISBN# 9781464126109</w:t>
      </w:r>
    </w:p>
    <w:p w14:paraId="3B27E642" w14:textId="77777777" w:rsidR="00AC7240" w:rsidRPr="0067606C" w:rsidRDefault="00AC7240" w:rsidP="00AC7240"/>
    <w:p w14:paraId="04B94EE4" w14:textId="77777777" w:rsidR="00AC7240" w:rsidRPr="0067606C" w:rsidRDefault="00AC7240" w:rsidP="00AC7240">
      <w:pPr>
        <w:rPr>
          <w:u w:val="single"/>
        </w:rPr>
      </w:pPr>
      <w:r w:rsidRPr="0067606C">
        <w:rPr>
          <w:u w:val="single"/>
        </w:rPr>
        <w:t>Catalog Description</w:t>
      </w:r>
    </w:p>
    <w:p w14:paraId="54143D4B" w14:textId="77777777" w:rsidR="00AC7240" w:rsidRPr="0067606C" w:rsidRDefault="00AC7240" w:rsidP="00AC7240">
      <w:r w:rsidRPr="0067606C">
        <w:rPr>
          <w:b/>
        </w:rPr>
        <w:t>BIOC 4550. Biochemistry II.</w:t>
      </w:r>
      <w:r w:rsidRPr="0067606C">
        <w:t xml:space="preserve"> 3 hours. Continuation of 4540. Metabolic pathways in biosynthesis and degradation of lipids, nucleic acids, proteins and carbohydrates; photosynthesis, nitrogen </w:t>
      </w:r>
      <w:r>
        <w:t>metabolism</w:t>
      </w:r>
      <w:r w:rsidRPr="0067606C">
        <w:t>, and metabolic regulation. Prerequisite(s): BIOC 4540 or consent of department. May not be repeated at the graduate level as BIOC 5550.</w:t>
      </w:r>
    </w:p>
    <w:p w14:paraId="2780567E" w14:textId="77777777" w:rsidR="00AC7240" w:rsidRDefault="00AC7240" w:rsidP="00AC7240">
      <w:pPr>
        <w:rPr>
          <w:snapToGrid/>
        </w:rPr>
      </w:pPr>
    </w:p>
    <w:p w14:paraId="0182D700" w14:textId="77777777" w:rsidR="00AC7240" w:rsidRDefault="00AC7240" w:rsidP="00AC7240">
      <w:pPr>
        <w:jc w:val="center"/>
        <w:rPr>
          <w:rFonts w:ascii="Times" w:hAnsi="Times"/>
        </w:rPr>
      </w:pPr>
      <w:bookmarkStart w:id="0" w:name="_Hlk215658333"/>
      <w:r>
        <w:rPr>
          <w:rFonts w:ascii="Times" w:hAnsi="Times"/>
          <w:b/>
        </w:rPr>
        <w:t>Tentative Syllabus</w:t>
      </w:r>
    </w:p>
    <w:p w14:paraId="137EC975" w14:textId="77777777" w:rsidR="00AC7240" w:rsidRDefault="00AC7240" w:rsidP="00045A54">
      <w:pPr>
        <w:contextualSpacing/>
        <w:rPr>
          <w:rFonts w:ascii="Times" w:hAnsi="Times"/>
          <w:snapToGrid/>
        </w:rPr>
      </w:pPr>
      <w:r>
        <w:rPr>
          <w:rFonts w:ascii="Times" w:hAnsi="Times"/>
        </w:rPr>
        <w:tab/>
        <w:t>Date</w:t>
      </w:r>
      <w:r>
        <w:rPr>
          <w:rFonts w:ascii="Times" w:hAnsi="Times"/>
        </w:rPr>
        <w:tab/>
      </w:r>
      <w:r>
        <w:rPr>
          <w:rFonts w:ascii="Times" w:hAnsi="Times"/>
        </w:rPr>
        <w:tab/>
        <w:t>Topic</w:t>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Text</w:t>
      </w:r>
      <w:r>
        <w:rPr>
          <w:rFonts w:ascii="Times" w:hAnsi="Times"/>
        </w:rPr>
        <w:tab/>
      </w:r>
      <w:r>
        <w:rPr>
          <w:rFonts w:ascii="Times" w:hAnsi="Times"/>
        </w:rPr>
        <w:tab/>
      </w:r>
    </w:p>
    <w:p w14:paraId="020358AA" w14:textId="07198A47"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1/1</w:t>
      </w:r>
      <w:r w:rsidR="007C4430">
        <w:rPr>
          <w:snapToGrid/>
          <w:szCs w:val="24"/>
        </w:rPr>
        <w:t>3</w:t>
      </w:r>
      <w:r w:rsidRPr="00045A54">
        <w:rPr>
          <w:snapToGrid/>
          <w:szCs w:val="24"/>
        </w:rPr>
        <w:t xml:space="preserve"> Molecular Motors                                           pp. 1011-1022</w:t>
      </w:r>
    </w:p>
    <w:p w14:paraId="556D117D" w14:textId="4CF5430A"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1/1</w:t>
      </w:r>
      <w:r w:rsidR="007C4430">
        <w:rPr>
          <w:snapToGrid/>
          <w:szCs w:val="24"/>
        </w:rPr>
        <w:t>5</w:t>
      </w:r>
      <w:r w:rsidRPr="00045A54">
        <w:rPr>
          <w:snapToGrid/>
          <w:szCs w:val="24"/>
        </w:rPr>
        <w:t xml:space="preserve"> Motors Continued                                           pp. 1022-1032</w:t>
      </w:r>
    </w:p>
    <w:p w14:paraId="5444D28C" w14:textId="0ED88982"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1/</w:t>
      </w:r>
      <w:r w:rsidR="00A410EF">
        <w:rPr>
          <w:snapToGrid/>
          <w:szCs w:val="24"/>
        </w:rPr>
        <w:t>2</w:t>
      </w:r>
      <w:r w:rsidR="007C4430">
        <w:rPr>
          <w:snapToGrid/>
          <w:szCs w:val="24"/>
        </w:rPr>
        <w:t>0</w:t>
      </w:r>
      <w:r w:rsidRPr="00045A54">
        <w:rPr>
          <w:snapToGrid/>
          <w:szCs w:val="24"/>
        </w:rPr>
        <w:t xml:space="preserve"> Signal Transduction                                        pp. 397-411    </w:t>
      </w:r>
    </w:p>
    <w:p w14:paraId="6F4E2DC2" w14:textId="36ABFC33"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1/2</w:t>
      </w:r>
      <w:r w:rsidR="007C4430">
        <w:rPr>
          <w:snapToGrid/>
          <w:szCs w:val="24"/>
        </w:rPr>
        <w:t>2</w:t>
      </w:r>
      <w:r w:rsidRPr="00045A54">
        <w:rPr>
          <w:snapToGrid/>
          <w:szCs w:val="24"/>
        </w:rPr>
        <w:t xml:space="preserve"> Protein Kinases                                               pp. 411-422</w:t>
      </w:r>
    </w:p>
    <w:p w14:paraId="253E50B5" w14:textId="67A5DAB0"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1/</w:t>
      </w:r>
      <w:r w:rsidR="00EF55A5">
        <w:rPr>
          <w:snapToGrid/>
          <w:szCs w:val="24"/>
        </w:rPr>
        <w:t>2</w:t>
      </w:r>
      <w:r w:rsidR="007C4430">
        <w:rPr>
          <w:snapToGrid/>
          <w:szCs w:val="24"/>
        </w:rPr>
        <w:t>7</w:t>
      </w:r>
      <w:r w:rsidRPr="00045A54">
        <w:rPr>
          <w:snapToGrid/>
          <w:szCs w:val="24"/>
        </w:rPr>
        <w:t xml:space="preserve"> Exam I   </w:t>
      </w:r>
    </w:p>
    <w:p w14:paraId="62AAF283" w14:textId="525F600B" w:rsidR="00045A54" w:rsidRPr="00045A54" w:rsidRDefault="007C4430" w:rsidP="00045A54">
      <w:pPr>
        <w:widowControl/>
        <w:numPr>
          <w:ilvl w:val="0"/>
          <w:numId w:val="10"/>
        </w:numPr>
        <w:spacing w:before="100" w:beforeAutospacing="1" w:after="100" w:afterAutospacing="1"/>
        <w:contextualSpacing/>
        <w:rPr>
          <w:snapToGrid/>
          <w:szCs w:val="24"/>
        </w:rPr>
      </w:pPr>
      <w:r>
        <w:rPr>
          <w:snapToGrid/>
          <w:szCs w:val="24"/>
        </w:rPr>
        <w:t>1/</w:t>
      </w:r>
      <w:proofErr w:type="gramStart"/>
      <w:r>
        <w:rPr>
          <w:snapToGrid/>
          <w:szCs w:val="24"/>
        </w:rPr>
        <w:t>29</w:t>
      </w:r>
      <w:r w:rsidR="00045A54" w:rsidRPr="00045A54">
        <w:rPr>
          <w:snapToGrid/>
          <w:szCs w:val="24"/>
        </w:rPr>
        <w:t>  Vitamins</w:t>
      </w:r>
      <w:proofErr w:type="gramEnd"/>
      <w:r w:rsidR="00045A54" w:rsidRPr="00045A54">
        <w:rPr>
          <w:snapToGrid/>
          <w:szCs w:val="24"/>
        </w:rPr>
        <w:t xml:space="preserve"> &amp; Metabolism                                  pp. 423-448      </w:t>
      </w:r>
    </w:p>
    <w:p w14:paraId="532685B9" w14:textId="5E937DC8"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proofErr w:type="gramStart"/>
      <w:r w:rsidR="007C4430">
        <w:rPr>
          <w:snapToGrid/>
          <w:szCs w:val="24"/>
        </w:rPr>
        <w:t>3</w:t>
      </w:r>
      <w:r w:rsidRPr="00045A54">
        <w:rPr>
          <w:snapToGrid/>
          <w:szCs w:val="24"/>
        </w:rPr>
        <w:t xml:space="preserve">  Glycolysis</w:t>
      </w:r>
      <w:proofErr w:type="gramEnd"/>
      <w:r w:rsidRPr="00045A54">
        <w:rPr>
          <w:snapToGrid/>
          <w:szCs w:val="24"/>
        </w:rPr>
        <w:t>                                     </w:t>
      </w:r>
      <w:r>
        <w:rPr>
          <w:snapToGrid/>
          <w:szCs w:val="24"/>
        </w:rPr>
        <w:tab/>
        <w:t xml:space="preserve">        </w:t>
      </w:r>
      <w:r w:rsidRPr="00045A54">
        <w:rPr>
          <w:snapToGrid/>
          <w:szCs w:val="24"/>
        </w:rPr>
        <w:t>pp. 423-448      </w:t>
      </w:r>
    </w:p>
    <w:p w14:paraId="07E4E6E6" w14:textId="4151565F"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proofErr w:type="gramStart"/>
      <w:r w:rsidR="007C4430">
        <w:rPr>
          <w:snapToGrid/>
          <w:szCs w:val="24"/>
        </w:rPr>
        <w:t>5</w:t>
      </w:r>
      <w:r w:rsidRPr="00045A54">
        <w:rPr>
          <w:snapToGrid/>
          <w:szCs w:val="24"/>
        </w:rPr>
        <w:t xml:space="preserve">  Glycolysis</w:t>
      </w:r>
      <w:proofErr w:type="gramEnd"/>
      <w:r w:rsidRPr="00045A54">
        <w:rPr>
          <w:snapToGrid/>
          <w:szCs w:val="24"/>
        </w:rPr>
        <w:t xml:space="preserve"> &amp; Fermentation                             pp. 449-493</w:t>
      </w:r>
    </w:p>
    <w:p w14:paraId="737AAD1D" w14:textId="6DBA144A"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r w:rsidR="007C4430">
        <w:rPr>
          <w:snapToGrid/>
          <w:szCs w:val="24"/>
        </w:rPr>
        <w:t>10</w:t>
      </w:r>
      <w:r w:rsidRPr="00045A54">
        <w:rPr>
          <w:snapToGrid/>
          <w:szCs w:val="24"/>
        </w:rPr>
        <w:t xml:space="preserve"> The Tricarboxylic Acid Cycle                       pp. 495-510</w:t>
      </w:r>
    </w:p>
    <w:p w14:paraId="44502E24" w14:textId="754FA3D4"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2/1</w:t>
      </w:r>
      <w:r w:rsidR="007C4430">
        <w:rPr>
          <w:snapToGrid/>
          <w:szCs w:val="24"/>
        </w:rPr>
        <w:t>2</w:t>
      </w:r>
      <w:r w:rsidRPr="00045A54">
        <w:rPr>
          <w:snapToGrid/>
          <w:szCs w:val="24"/>
        </w:rPr>
        <w:t xml:space="preserve"> Exam II</w:t>
      </w:r>
    </w:p>
    <w:p w14:paraId="5306F79D" w14:textId="2310268B"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r w:rsidR="00EF55A5">
        <w:rPr>
          <w:snapToGrid/>
          <w:szCs w:val="24"/>
        </w:rPr>
        <w:t>1</w:t>
      </w:r>
      <w:r w:rsidR="007C4430">
        <w:rPr>
          <w:snapToGrid/>
          <w:szCs w:val="24"/>
        </w:rPr>
        <w:t>7</w:t>
      </w:r>
      <w:r w:rsidRPr="00045A54">
        <w:rPr>
          <w:snapToGrid/>
          <w:szCs w:val="24"/>
        </w:rPr>
        <w:t xml:space="preserve"> The Kreb's Cycle Continued                          pp. 510-522                             </w:t>
      </w:r>
    </w:p>
    <w:p w14:paraId="4D562863" w14:textId="4EAB4E80"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r w:rsidR="007C4430">
        <w:rPr>
          <w:snapToGrid/>
          <w:szCs w:val="24"/>
        </w:rPr>
        <w:t>19</w:t>
      </w:r>
      <w:r w:rsidRPr="00045A54">
        <w:rPr>
          <w:snapToGrid/>
          <w:szCs w:val="24"/>
        </w:rPr>
        <w:t xml:space="preserve"> Electron Transport                                          </w:t>
      </w:r>
      <w:r>
        <w:rPr>
          <w:snapToGrid/>
          <w:szCs w:val="24"/>
        </w:rPr>
        <w:t xml:space="preserve">pp. </w:t>
      </w:r>
      <w:r w:rsidRPr="00045A54">
        <w:rPr>
          <w:snapToGrid/>
          <w:szCs w:val="24"/>
        </w:rPr>
        <w:t>523-542</w:t>
      </w:r>
    </w:p>
    <w:p w14:paraId="7D583C72" w14:textId="2886E44F"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2/</w:t>
      </w:r>
      <w:r w:rsidR="00A410EF">
        <w:rPr>
          <w:snapToGrid/>
          <w:szCs w:val="24"/>
        </w:rPr>
        <w:t>2</w:t>
      </w:r>
      <w:r w:rsidR="007C4430">
        <w:rPr>
          <w:snapToGrid/>
          <w:szCs w:val="24"/>
        </w:rPr>
        <w:t>4</w:t>
      </w:r>
      <w:r w:rsidRPr="00045A54">
        <w:rPr>
          <w:snapToGrid/>
          <w:szCs w:val="24"/>
        </w:rPr>
        <w:t xml:space="preserve"> Oxidative Phosphorylation                             </w:t>
      </w:r>
      <w:r>
        <w:rPr>
          <w:snapToGrid/>
          <w:szCs w:val="24"/>
        </w:rPr>
        <w:t xml:space="preserve">pp. </w:t>
      </w:r>
      <w:r w:rsidRPr="00045A54">
        <w:rPr>
          <w:snapToGrid/>
          <w:szCs w:val="24"/>
        </w:rPr>
        <w:t>542-563                            </w:t>
      </w:r>
    </w:p>
    <w:p w14:paraId="3D13E37D" w14:textId="0535117E" w:rsidR="00045A54" w:rsidRPr="00045A54" w:rsidRDefault="007C4430" w:rsidP="00045A54">
      <w:pPr>
        <w:widowControl/>
        <w:numPr>
          <w:ilvl w:val="0"/>
          <w:numId w:val="10"/>
        </w:numPr>
        <w:spacing w:before="100" w:beforeAutospacing="1" w:after="100" w:afterAutospacing="1"/>
        <w:contextualSpacing/>
        <w:rPr>
          <w:snapToGrid/>
          <w:szCs w:val="24"/>
        </w:rPr>
      </w:pPr>
      <w:r>
        <w:rPr>
          <w:snapToGrid/>
          <w:szCs w:val="24"/>
        </w:rPr>
        <w:t>2/26</w:t>
      </w:r>
      <w:r w:rsidR="00045A54" w:rsidRPr="00045A54">
        <w:rPr>
          <w:snapToGrid/>
          <w:szCs w:val="24"/>
        </w:rPr>
        <w:t> Photosynthesis: Light Reactions                    pp. 565-588</w:t>
      </w:r>
    </w:p>
    <w:p w14:paraId="3F0B18D6" w14:textId="1B464782"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3/</w:t>
      </w:r>
      <w:proofErr w:type="gramStart"/>
      <w:r w:rsidR="007C4430">
        <w:rPr>
          <w:snapToGrid/>
          <w:szCs w:val="24"/>
        </w:rPr>
        <w:t>3</w:t>
      </w:r>
      <w:r w:rsidRPr="00045A54">
        <w:rPr>
          <w:snapToGrid/>
          <w:szCs w:val="24"/>
        </w:rPr>
        <w:t xml:space="preserve">  Exam</w:t>
      </w:r>
      <w:proofErr w:type="gramEnd"/>
      <w:r w:rsidRPr="00045A54">
        <w:rPr>
          <w:snapToGrid/>
          <w:szCs w:val="24"/>
        </w:rPr>
        <w:t xml:space="preserve"> III</w:t>
      </w:r>
    </w:p>
    <w:p w14:paraId="27C4AF32" w14:textId="038171D7" w:rsidR="00045A54" w:rsidRPr="00045A54" w:rsidRDefault="00045A54" w:rsidP="00045A54">
      <w:pPr>
        <w:widowControl/>
        <w:numPr>
          <w:ilvl w:val="0"/>
          <w:numId w:val="10"/>
        </w:numPr>
        <w:spacing w:before="100" w:beforeAutospacing="1" w:after="100" w:afterAutospacing="1"/>
        <w:contextualSpacing/>
        <w:rPr>
          <w:snapToGrid/>
          <w:szCs w:val="24"/>
        </w:rPr>
      </w:pPr>
      <w:r w:rsidRPr="00045A54">
        <w:rPr>
          <w:snapToGrid/>
          <w:szCs w:val="24"/>
        </w:rPr>
        <w:t>3/</w:t>
      </w:r>
      <w:r w:rsidR="007C4430">
        <w:rPr>
          <w:snapToGrid/>
          <w:szCs w:val="24"/>
        </w:rPr>
        <w:t>5</w:t>
      </w:r>
      <w:r w:rsidRPr="00045A54">
        <w:rPr>
          <w:snapToGrid/>
          <w:szCs w:val="24"/>
        </w:rPr>
        <w:t xml:space="preserve"> </w:t>
      </w:r>
      <w:r>
        <w:rPr>
          <w:snapToGrid/>
          <w:szCs w:val="24"/>
        </w:rPr>
        <w:t xml:space="preserve">  </w:t>
      </w:r>
      <w:r w:rsidRPr="00045A54">
        <w:rPr>
          <w:snapToGrid/>
          <w:szCs w:val="24"/>
        </w:rPr>
        <w:t>Photosynthesis: Dark Reactions                     pp. 589-601</w:t>
      </w:r>
    </w:p>
    <w:p w14:paraId="3F81E8C1" w14:textId="5149105A" w:rsidR="00045A54" w:rsidRPr="00045A54" w:rsidRDefault="00045A54" w:rsidP="00045A54">
      <w:pPr>
        <w:widowControl/>
        <w:spacing w:before="100" w:beforeAutospacing="1" w:after="100" w:afterAutospacing="1"/>
        <w:contextualSpacing/>
        <w:rPr>
          <w:snapToGrid/>
          <w:szCs w:val="24"/>
        </w:rPr>
      </w:pPr>
      <w:r w:rsidRPr="00045A54">
        <w:rPr>
          <w:snapToGrid/>
          <w:szCs w:val="24"/>
        </w:rPr>
        <w:t>            3/</w:t>
      </w:r>
      <w:r w:rsidR="007C4430">
        <w:rPr>
          <w:snapToGrid/>
          <w:szCs w:val="24"/>
        </w:rPr>
        <w:t>9</w:t>
      </w:r>
      <w:r w:rsidRPr="00045A54">
        <w:rPr>
          <w:snapToGrid/>
          <w:szCs w:val="24"/>
        </w:rPr>
        <w:t>-3/1</w:t>
      </w:r>
      <w:r w:rsidR="007C4430">
        <w:rPr>
          <w:snapToGrid/>
          <w:szCs w:val="24"/>
        </w:rPr>
        <w:t>5</w:t>
      </w:r>
      <w:r w:rsidRPr="00045A54">
        <w:rPr>
          <w:snapToGrid/>
          <w:szCs w:val="24"/>
        </w:rPr>
        <w:t>         Spring Break  </w:t>
      </w:r>
    </w:p>
    <w:p w14:paraId="75CB1AE9" w14:textId="12D482B7"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3/1</w:t>
      </w:r>
      <w:r w:rsidR="007C4430">
        <w:rPr>
          <w:snapToGrid/>
          <w:szCs w:val="24"/>
        </w:rPr>
        <w:t>7</w:t>
      </w:r>
      <w:r w:rsidRPr="00045A54">
        <w:rPr>
          <w:snapToGrid/>
          <w:szCs w:val="24"/>
        </w:rPr>
        <w:t xml:space="preserve"> Pentose Phosphate Pathway                           pp. 601-616                        </w:t>
      </w:r>
    </w:p>
    <w:p w14:paraId="0BD464F1" w14:textId="46A5A445"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3/</w:t>
      </w:r>
      <w:r w:rsidR="007C4430">
        <w:rPr>
          <w:snapToGrid/>
          <w:szCs w:val="24"/>
        </w:rPr>
        <w:t>19</w:t>
      </w:r>
      <w:r w:rsidRPr="00045A54">
        <w:rPr>
          <w:snapToGrid/>
          <w:szCs w:val="24"/>
        </w:rPr>
        <w:t xml:space="preserve"> Glycogen Metabolism                                    pp. 617-642</w:t>
      </w:r>
    </w:p>
    <w:p w14:paraId="6E31349C" w14:textId="04A3CA03"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3/</w:t>
      </w:r>
      <w:proofErr w:type="gramStart"/>
      <w:r w:rsidRPr="00045A54">
        <w:rPr>
          <w:snapToGrid/>
          <w:szCs w:val="24"/>
        </w:rPr>
        <w:t>2</w:t>
      </w:r>
      <w:r w:rsidR="007C4430">
        <w:rPr>
          <w:snapToGrid/>
          <w:szCs w:val="24"/>
        </w:rPr>
        <w:t>4</w:t>
      </w:r>
      <w:r w:rsidRPr="00045A54">
        <w:rPr>
          <w:snapToGrid/>
          <w:szCs w:val="24"/>
        </w:rPr>
        <w:t xml:space="preserve">  b</w:t>
      </w:r>
      <w:r>
        <w:rPr>
          <w:snapToGrid/>
          <w:szCs w:val="24"/>
        </w:rPr>
        <w:t>eta</w:t>
      </w:r>
      <w:proofErr w:type="gramEnd"/>
      <w:r w:rsidRPr="00045A54">
        <w:rPr>
          <w:snapToGrid/>
          <w:szCs w:val="24"/>
        </w:rPr>
        <w:t>-Oxidation                                               pp. 643-661              </w:t>
      </w:r>
    </w:p>
    <w:p w14:paraId="70BC3450" w14:textId="2BE6B637"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3/2</w:t>
      </w:r>
      <w:r w:rsidR="007C4430">
        <w:rPr>
          <w:snapToGrid/>
          <w:szCs w:val="24"/>
        </w:rPr>
        <w:t>6</w:t>
      </w:r>
      <w:r w:rsidRPr="00045A54">
        <w:rPr>
          <w:snapToGrid/>
          <w:szCs w:val="24"/>
        </w:rPr>
        <w:t xml:space="preserve"> Exam IV</w:t>
      </w:r>
    </w:p>
    <w:p w14:paraId="7F2FD3C6" w14:textId="076F1266" w:rsidR="00045A54" w:rsidRPr="00045A54" w:rsidRDefault="007C4430" w:rsidP="00045A54">
      <w:pPr>
        <w:widowControl/>
        <w:numPr>
          <w:ilvl w:val="0"/>
          <w:numId w:val="11"/>
        </w:numPr>
        <w:spacing w:before="100" w:beforeAutospacing="1" w:after="100" w:afterAutospacing="1"/>
        <w:contextualSpacing/>
        <w:rPr>
          <w:snapToGrid/>
          <w:szCs w:val="24"/>
        </w:rPr>
      </w:pPr>
      <w:r>
        <w:rPr>
          <w:snapToGrid/>
          <w:szCs w:val="24"/>
        </w:rPr>
        <w:t>3/31</w:t>
      </w:r>
      <w:r w:rsidR="00045A54" w:rsidRPr="00045A54">
        <w:rPr>
          <w:snapToGrid/>
          <w:szCs w:val="24"/>
        </w:rPr>
        <w:t xml:space="preserve"> </w:t>
      </w:r>
      <w:r w:rsidR="00045A54">
        <w:rPr>
          <w:snapToGrid/>
          <w:szCs w:val="24"/>
        </w:rPr>
        <w:t xml:space="preserve">  </w:t>
      </w:r>
      <w:r w:rsidR="00045A54" w:rsidRPr="00045A54">
        <w:rPr>
          <w:snapToGrid/>
          <w:szCs w:val="24"/>
        </w:rPr>
        <w:t>Fatty acid Biosynthesis                                   pp. 661-679    </w:t>
      </w:r>
    </w:p>
    <w:p w14:paraId="68DC56BA" w14:textId="5FBFE640"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w:t>
      </w:r>
      <w:proofErr w:type="gramStart"/>
      <w:r w:rsidR="007C4430">
        <w:rPr>
          <w:snapToGrid/>
          <w:szCs w:val="24"/>
        </w:rPr>
        <w:t>2</w:t>
      </w:r>
      <w:r w:rsidRPr="00045A54">
        <w:rPr>
          <w:snapToGrid/>
          <w:szCs w:val="24"/>
        </w:rPr>
        <w:t xml:space="preserve"> </w:t>
      </w:r>
      <w:r>
        <w:rPr>
          <w:snapToGrid/>
          <w:szCs w:val="24"/>
        </w:rPr>
        <w:t xml:space="preserve"> </w:t>
      </w:r>
      <w:r w:rsidRPr="00045A54">
        <w:rPr>
          <w:snapToGrid/>
          <w:szCs w:val="24"/>
        </w:rPr>
        <w:t>Nitrogen</w:t>
      </w:r>
      <w:proofErr w:type="gramEnd"/>
      <w:r w:rsidRPr="00045A54">
        <w:rPr>
          <w:snapToGrid/>
          <w:szCs w:val="24"/>
        </w:rPr>
        <w:t xml:space="preserve"> Acquisition                                     </w:t>
      </w:r>
      <w:r>
        <w:rPr>
          <w:snapToGrid/>
          <w:szCs w:val="24"/>
        </w:rPr>
        <w:t xml:space="preserve"> </w:t>
      </w:r>
      <w:r w:rsidRPr="00045A54">
        <w:rPr>
          <w:snapToGrid/>
          <w:szCs w:val="24"/>
        </w:rPr>
        <w:t xml:space="preserve"> pp. 681-711</w:t>
      </w:r>
    </w:p>
    <w:p w14:paraId="67F80AE3" w14:textId="3D1A9425"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w:t>
      </w:r>
      <w:r w:rsidR="007C4430">
        <w:rPr>
          <w:snapToGrid/>
          <w:szCs w:val="24"/>
        </w:rPr>
        <w:t>7</w:t>
      </w:r>
      <w:r>
        <w:rPr>
          <w:snapToGrid/>
          <w:szCs w:val="24"/>
        </w:rPr>
        <w:t xml:space="preserve"> </w:t>
      </w:r>
      <w:r w:rsidRPr="00045A54">
        <w:rPr>
          <w:snapToGrid/>
          <w:szCs w:val="24"/>
        </w:rPr>
        <w:t xml:space="preserve">Amino Acid Metabolism                                </w:t>
      </w:r>
      <w:r>
        <w:rPr>
          <w:snapToGrid/>
          <w:szCs w:val="24"/>
        </w:rPr>
        <w:t xml:space="preserve"> </w:t>
      </w:r>
      <w:r w:rsidRPr="00045A54">
        <w:rPr>
          <w:snapToGrid/>
          <w:szCs w:val="24"/>
        </w:rPr>
        <w:t>pp. 713-742</w:t>
      </w:r>
    </w:p>
    <w:p w14:paraId="31C6A731" w14:textId="32A6ECA8"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w:t>
      </w:r>
      <w:r w:rsidR="007C4430">
        <w:rPr>
          <w:snapToGrid/>
          <w:szCs w:val="24"/>
        </w:rPr>
        <w:t>9</w:t>
      </w:r>
      <w:r w:rsidRPr="00045A54">
        <w:rPr>
          <w:snapToGrid/>
          <w:szCs w:val="24"/>
        </w:rPr>
        <w:t xml:space="preserve"> Ribonucleotide Metabolism                           pp. 743-752    </w:t>
      </w:r>
    </w:p>
    <w:p w14:paraId="2D08DEE4" w14:textId="2DC129A4"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4/1</w:t>
      </w:r>
      <w:r w:rsidR="007C4430">
        <w:rPr>
          <w:snapToGrid/>
          <w:szCs w:val="24"/>
        </w:rPr>
        <w:t>4</w:t>
      </w:r>
      <w:r w:rsidRPr="00045A54">
        <w:rPr>
          <w:snapToGrid/>
          <w:szCs w:val="24"/>
        </w:rPr>
        <w:t xml:space="preserve"> Exam V</w:t>
      </w:r>
    </w:p>
    <w:p w14:paraId="485B8D5F" w14:textId="20DDD211"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4/1</w:t>
      </w:r>
      <w:r w:rsidR="007C4430">
        <w:rPr>
          <w:snapToGrid/>
          <w:szCs w:val="24"/>
        </w:rPr>
        <w:t>6</w:t>
      </w:r>
      <w:r w:rsidRPr="00045A54">
        <w:rPr>
          <w:snapToGrid/>
          <w:szCs w:val="24"/>
        </w:rPr>
        <w:t xml:space="preserve"> Deoxyribonucleotide Metabolism                  pp. 753-766                </w:t>
      </w:r>
    </w:p>
    <w:p w14:paraId="7B4B465B" w14:textId="77D82850"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4/2</w:t>
      </w:r>
      <w:r w:rsidR="007C4430">
        <w:rPr>
          <w:snapToGrid/>
          <w:szCs w:val="24"/>
        </w:rPr>
        <w:t>1</w:t>
      </w:r>
      <w:r w:rsidRPr="00045A54">
        <w:rPr>
          <w:snapToGrid/>
          <w:szCs w:val="24"/>
        </w:rPr>
        <w:t xml:space="preserve"> Cholesterol Biosynthesis                                pp. 767-800</w:t>
      </w:r>
    </w:p>
    <w:p w14:paraId="11D710E4" w14:textId="2EA7D713"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4/2</w:t>
      </w:r>
      <w:r w:rsidR="007C4430">
        <w:rPr>
          <w:snapToGrid/>
          <w:szCs w:val="24"/>
        </w:rPr>
        <w:t>3</w:t>
      </w:r>
      <w:r w:rsidRPr="00045A54">
        <w:rPr>
          <w:snapToGrid/>
          <w:szCs w:val="24"/>
        </w:rPr>
        <w:t xml:space="preserve"> Drug Development                                         pp. 1033-1056</w:t>
      </w:r>
    </w:p>
    <w:p w14:paraId="02AFA9D0" w14:textId="34119A24" w:rsidR="00045A54" w:rsidRPr="00045A54" w:rsidRDefault="00045A54" w:rsidP="00045A54">
      <w:pPr>
        <w:widowControl/>
        <w:numPr>
          <w:ilvl w:val="0"/>
          <w:numId w:val="11"/>
        </w:numPr>
        <w:spacing w:before="100" w:beforeAutospacing="1" w:after="100" w:afterAutospacing="1"/>
        <w:contextualSpacing/>
        <w:rPr>
          <w:snapToGrid/>
          <w:szCs w:val="24"/>
        </w:rPr>
      </w:pPr>
      <w:r w:rsidRPr="00045A54">
        <w:rPr>
          <w:snapToGrid/>
          <w:szCs w:val="24"/>
        </w:rPr>
        <w:t>4/</w:t>
      </w:r>
      <w:r w:rsidR="00EF55A5">
        <w:rPr>
          <w:snapToGrid/>
          <w:szCs w:val="24"/>
        </w:rPr>
        <w:t>2</w:t>
      </w:r>
      <w:r w:rsidR="007C4430">
        <w:rPr>
          <w:snapToGrid/>
          <w:szCs w:val="24"/>
        </w:rPr>
        <w:t>8</w:t>
      </w:r>
      <w:r w:rsidRPr="00045A54">
        <w:rPr>
          <w:snapToGrid/>
          <w:szCs w:val="24"/>
        </w:rPr>
        <w:t xml:space="preserve"> Metabolic Integration                                     pp. 801-826</w:t>
      </w:r>
    </w:p>
    <w:p w14:paraId="28123FC5" w14:textId="313DFC2A" w:rsidR="00045A54" w:rsidRPr="00045A54" w:rsidRDefault="007C4430" w:rsidP="00045A54">
      <w:pPr>
        <w:widowControl/>
        <w:numPr>
          <w:ilvl w:val="0"/>
          <w:numId w:val="11"/>
        </w:numPr>
        <w:spacing w:before="100" w:beforeAutospacing="1" w:after="100" w:afterAutospacing="1"/>
        <w:contextualSpacing/>
        <w:rPr>
          <w:snapToGrid/>
          <w:szCs w:val="24"/>
        </w:rPr>
      </w:pPr>
      <w:r>
        <w:rPr>
          <w:snapToGrid/>
          <w:szCs w:val="24"/>
        </w:rPr>
        <w:t xml:space="preserve">4/30 </w:t>
      </w:r>
      <w:r w:rsidR="00045A54" w:rsidRPr="00045A54">
        <w:rPr>
          <w:snapToGrid/>
          <w:szCs w:val="24"/>
        </w:rPr>
        <w:t>Review</w:t>
      </w:r>
    </w:p>
    <w:p w14:paraId="5F252CAD" w14:textId="2BD1CADB" w:rsidR="00045A54" w:rsidRPr="00045A54" w:rsidRDefault="00045A54" w:rsidP="00045A54">
      <w:pPr>
        <w:widowControl/>
        <w:numPr>
          <w:ilvl w:val="0"/>
          <w:numId w:val="11"/>
        </w:numPr>
        <w:spacing w:before="100" w:beforeAutospacing="1" w:after="100" w:afterAutospacing="1"/>
        <w:rPr>
          <w:snapToGrid/>
          <w:szCs w:val="24"/>
        </w:rPr>
      </w:pPr>
      <w:r w:rsidRPr="00045A54">
        <w:rPr>
          <w:snapToGrid/>
          <w:szCs w:val="24"/>
        </w:rPr>
        <w:t>5/</w:t>
      </w:r>
      <w:r w:rsidR="007C4430">
        <w:rPr>
          <w:snapToGrid/>
          <w:szCs w:val="24"/>
        </w:rPr>
        <w:t>5</w:t>
      </w:r>
      <w:r w:rsidRPr="00045A54">
        <w:rPr>
          <w:snapToGrid/>
          <w:szCs w:val="24"/>
        </w:rPr>
        <w:t xml:space="preserve"> Exam VI </w:t>
      </w:r>
      <w:r w:rsidR="00F71ADF">
        <w:rPr>
          <w:snapToGrid/>
          <w:szCs w:val="24"/>
        </w:rPr>
        <w:t>7</w:t>
      </w:r>
      <w:r w:rsidRPr="00045A54">
        <w:rPr>
          <w:snapToGrid/>
          <w:szCs w:val="24"/>
        </w:rPr>
        <w:t>:</w:t>
      </w:r>
      <w:r w:rsidR="00F71ADF">
        <w:rPr>
          <w:snapToGrid/>
          <w:szCs w:val="24"/>
        </w:rPr>
        <w:t>3</w:t>
      </w:r>
      <w:r w:rsidRPr="00045A54">
        <w:rPr>
          <w:snapToGrid/>
          <w:szCs w:val="24"/>
        </w:rPr>
        <w:t>0 AM-</w:t>
      </w:r>
      <w:r w:rsidR="00F71ADF">
        <w:rPr>
          <w:snapToGrid/>
          <w:szCs w:val="24"/>
        </w:rPr>
        <w:t>9</w:t>
      </w:r>
      <w:r w:rsidRPr="00045A54">
        <w:rPr>
          <w:snapToGrid/>
          <w:szCs w:val="24"/>
        </w:rPr>
        <w:t>:</w:t>
      </w:r>
      <w:r w:rsidR="00F71ADF">
        <w:rPr>
          <w:snapToGrid/>
          <w:szCs w:val="24"/>
        </w:rPr>
        <w:t>3</w:t>
      </w:r>
      <w:r w:rsidRPr="00045A54">
        <w:rPr>
          <w:snapToGrid/>
          <w:szCs w:val="24"/>
        </w:rPr>
        <w:t xml:space="preserve">0 </w:t>
      </w:r>
      <w:r w:rsidR="00DF62CE">
        <w:rPr>
          <w:snapToGrid/>
          <w:szCs w:val="24"/>
        </w:rPr>
        <w:t>A</w:t>
      </w:r>
      <w:r w:rsidRPr="00045A54">
        <w:rPr>
          <w:snapToGrid/>
          <w:szCs w:val="24"/>
        </w:rPr>
        <w:t>M</w:t>
      </w:r>
    </w:p>
    <w:bookmarkEnd w:id="0"/>
    <w:p w14:paraId="302FDDF6" w14:textId="77777777" w:rsidR="00D76AEF" w:rsidRDefault="00D76AEF" w:rsidP="00D76AEF">
      <w:pPr>
        <w:rPr>
          <w:rFonts w:ascii="Times" w:hAnsi="Times"/>
        </w:rPr>
      </w:pPr>
    </w:p>
    <w:p w14:paraId="3762FC89" w14:textId="77777777" w:rsidR="009A2A0F" w:rsidRDefault="009A2A0F">
      <w:pPr>
        <w:jc w:val="center"/>
      </w:pPr>
    </w:p>
    <w:p w14:paraId="6B7EE943" w14:textId="77777777" w:rsidR="00C16352" w:rsidRPr="009E62BC" w:rsidRDefault="00C16352" w:rsidP="00C16352">
      <w:pPr>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Cs w:val="24"/>
          <w:shd w:val="clear" w:color="auto" w:fill="FFFFFF"/>
        </w:rPr>
        <w:t xml:space="preserve"> </w:t>
      </w:r>
      <w:r w:rsidRPr="009E62BC">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history="1">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EC792D7" w14:textId="77777777" w:rsidR="00C16352" w:rsidRDefault="00C16352" w:rsidP="00C16352">
      <w:pPr>
        <w:rPr>
          <w:snapToGrid/>
          <w:sz w:val="18"/>
          <w:szCs w:val="18"/>
        </w:rPr>
      </w:pPr>
    </w:p>
    <w:p w14:paraId="49594AB3" w14:textId="77777777" w:rsidR="00C16352" w:rsidRPr="00BA125D" w:rsidRDefault="00C16352" w:rsidP="00C16352">
      <w:pPr>
        <w:rPr>
          <w:rFonts w:eastAsia="Calibri" w:cstheme="minorHAnsi"/>
        </w:rPr>
      </w:pPr>
      <w:r w:rsidRPr="00BA125D">
        <w:rPr>
          <w:rFonts w:eastAsiaTheme="minorEastAsia" w:cstheme="minorHAnsi"/>
          <w:iCs/>
        </w:rPr>
        <w:t>Every student in this class should have the right to learn and engage within an environment of respect and courtesy from others.  We will discuss our classroom’s habits of engagement</w:t>
      </w:r>
      <w:r w:rsidR="00DC6A5C">
        <w:rPr>
          <w:rFonts w:eastAsiaTheme="minorEastAsia" w:cstheme="minorHAnsi"/>
          <w:iCs/>
        </w:rPr>
        <w:t>,</w:t>
      </w:r>
      <w:r w:rsidRPr="00BA125D">
        <w:rPr>
          <w:rFonts w:eastAsiaTheme="minorEastAsia" w:cstheme="minorHAnsi"/>
          <w:iCs/>
        </w:rPr>
        <w:t xml:space="preserve"> and I also encourage you to review UNT’s student code of conduct so that we can all start with the same baseline civility understanding</w:t>
      </w:r>
      <w:r w:rsidRPr="00BA125D">
        <w:rPr>
          <w:rFonts w:eastAsiaTheme="minorEastAsia" w:cstheme="minorHAnsi"/>
        </w:rPr>
        <w:t xml:space="preserve"> (</w:t>
      </w:r>
      <w:hyperlink r:id="rId6">
        <w:r w:rsidRPr="00BA125D">
          <w:rPr>
            <w:rStyle w:val="Hyperlink"/>
            <w:rFonts w:eastAsia="Calibri" w:cstheme="minorHAnsi"/>
            <w:color w:val="0070C0"/>
          </w:rPr>
          <w:t>Code of Student Conduct</w:t>
        </w:r>
      </w:hyperlink>
      <w:r w:rsidRPr="00BA125D">
        <w:rPr>
          <w:rFonts w:eastAsia="Calibri" w:cstheme="minorHAnsi"/>
        </w:rPr>
        <w:t>) (</w:t>
      </w:r>
      <w:hyperlink r:id="rId7" w:history="1">
        <w:r w:rsidR="00DC6A5C">
          <w:rPr>
            <w:rStyle w:val="Hyperlink"/>
          </w:rPr>
          <w:t>Student Conduct and Community Standards | Division of Student Affairs (unt.edu)</w:t>
        </w:r>
      </w:hyperlink>
      <w:r w:rsidRPr="00BA125D">
        <w:rPr>
          <w:rFonts w:eastAsia="Calibri" w:cstheme="minorHAnsi"/>
        </w:rPr>
        <w:t>)</w:t>
      </w:r>
    </w:p>
    <w:p w14:paraId="019393F7" w14:textId="77777777" w:rsidR="00C16352" w:rsidRDefault="00C16352" w:rsidP="00C16352">
      <w:r w:rsidRPr="00227569">
        <w:rPr>
          <w:snapToGrid/>
          <w:sz w:val="18"/>
          <w:szCs w:val="18"/>
        </w:rPr>
        <w:t xml:space="preserve"> </w:t>
      </w:r>
    </w:p>
    <w:p w14:paraId="15A02387" w14:textId="77777777" w:rsidR="00C16352" w:rsidRDefault="00C16352" w:rsidP="00C16352">
      <w:pPr>
        <w:widowControl/>
        <w:rPr>
          <w:rFonts w:eastAsiaTheme="minorEastAsia" w:cstheme="minorHAnsi"/>
          <w:iCs/>
        </w:rPr>
      </w:pPr>
      <w:r w:rsidRPr="00BA125D">
        <w:rPr>
          <w:rFonts w:eastAsiaTheme="minorEastAsia" w:cstheme="minorHAnsi"/>
          <w:iCs/>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8" w:history="1">
        <w:r w:rsidRPr="00BA125D">
          <w:rPr>
            <w:rStyle w:val="Hyperlink"/>
            <w:rFonts w:eastAsiaTheme="minorEastAsia" w:cstheme="minorHAnsi"/>
            <w:iCs/>
          </w:rPr>
          <w:t>Student Attendance and Authorized Absences Policy (PDF)</w:t>
        </w:r>
      </w:hyperlink>
      <w:r w:rsidRPr="00BA125D">
        <w:rPr>
          <w:rFonts w:eastAsiaTheme="minorEastAsia" w:cstheme="minorHAnsi"/>
          <w:iCs/>
        </w:rPr>
        <w:t xml:space="preserve"> (https://policy.unt.edu/sites/default/files/06.039_StudAttnandAuthAbsence.Pub2_.19.pdf).  If you cannot attend a class due to an emergency, please let me know. Your safety and well-being are important to me.</w:t>
      </w:r>
    </w:p>
    <w:p w14:paraId="3B7FBFBF" w14:textId="77777777" w:rsidR="00C16352" w:rsidRPr="00BA125D" w:rsidRDefault="00C16352" w:rsidP="00C16352">
      <w:pPr>
        <w:widowControl/>
      </w:pPr>
    </w:p>
    <w:p w14:paraId="2EEBCF3A" w14:textId="77777777" w:rsidR="00C16352" w:rsidRPr="00BA125D" w:rsidRDefault="00C16352" w:rsidP="00C16352">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9"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10">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11">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2779B525" w14:textId="77777777" w:rsidR="00AC7240" w:rsidRDefault="00AC7240" w:rsidP="00AC7240">
      <w:pPr>
        <w:widowControl/>
      </w:pPr>
    </w:p>
    <w:p w14:paraId="03271474" w14:textId="77777777" w:rsidR="002D69CB" w:rsidRDefault="002D69CB" w:rsidP="002D69CB"/>
    <w:sectPr w:rsidR="002D69CB" w:rsidSect="004B00F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702"/>
    <w:multiLevelType w:val="singleLevel"/>
    <w:tmpl w:val="BABA27F0"/>
    <w:lvl w:ilvl="0">
      <w:start w:val="23"/>
      <w:numFmt w:val="decimal"/>
      <w:lvlText w:val="%1."/>
      <w:lvlJc w:val="left"/>
      <w:pPr>
        <w:tabs>
          <w:tab w:val="num" w:pos="720"/>
        </w:tabs>
        <w:ind w:left="720" w:hanging="720"/>
      </w:pPr>
      <w:rPr>
        <w:rFonts w:hint="default"/>
      </w:rPr>
    </w:lvl>
  </w:abstractNum>
  <w:abstractNum w:abstractNumId="1" w15:restartNumberingAfterBreak="0">
    <w:nsid w:val="0B126D43"/>
    <w:multiLevelType w:val="multilevel"/>
    <w:tmpl w:val="0398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D225E"/>
    <w:multiLevelType w:val="multilevel"/>
    <w:tmpl w:val="5150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36674"/>
    <w:multiLevelType w:val="multilevel"/>
    <w:tmpl w:val="5AE8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56859"/>
    <w:multiLevelType w:val="singleLevel"/>
    <w:tmpl w:val="E0862674"/>
    <w:lvl w:ilvl="0">
      <w:start w:val="12"/>
      <w:numFmt w:val="decimal"/>
      <w:lvlText w:val="%1."/>
      <w:lvlJc w:val="left"/>
      <w:pPr>
        <w:tabs>
          <w:tab w:val="num" w:pos="720"/>
        </w:tabs>
        <w:ind w:left="720" w:hanging="720"/>
      </w:pPr>
      <w:rPr>
        <w:rFonts w:hint="default"/>
      </w:rPr>
    </w:lvl>
  </w:abstractNum>
  <w:abstractNum w:abstractNumId="5" w15:restartNumberingAfterBreak="0">
    <w:nsid w:val="33337300"/>
    <w:multiLevelType w:val="multilevel"/>
    <w:tmpl w:val="255E0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6BC05A3"/>
    <w:multiLevelType w:val="multilevel"/>
    <w:tmpl w:val="B9AA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73A28"/>
    <w:multiLevelType w:val="singleLevel"/>
    <w:tmpl w:val="AB0A53DE"/>
    <w:lvl w:ilvl="0">
      <w:start w:val="11"/>
      <w:numFmt w:val="decimal"/>
      <w:lvlText w:val="%1."/>
      <w:lvlJc w:val="left"/>
      <w:pPr>
        <w:tabs>
          <w:tab w:val="num" w:pos="720"/>
        </w:tabs>
        <w:ind w:left="720" w:hanging="720"/>
      </w:pPr>
      <w:rPr>
        <w:rFonts w:hint="default"/>
      </w:rPr>
    </w:lvl>
  </w:abstractNum>
  <w:abstractNum w:abstractNumId="8" w15:restartNumberingAfterBreak="0">
    <w:nsid w:val="647B14F1"/>
    <w:multiLevelType w:val="multilevel"/>
    <w:tmpl w:val="34AAB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899436">
    <w:abstractNumId w:val="0"/>
  </w:num>
  <w:num w:numId="2" w16cid:durableId="1838764358">
    <w:abstractNumId w:val="4"/>
  </w:num>
  <w:num w:numId="3" w16cid:durableId="487016552">
    <w:abstractNumId w:val="7"/>
  </w:num>
  <w:num w:numId="4" w16cid:durableId="1756047885">
    <w:abstractNumId w:val="7"/>
    <w:lvlOverride w:ilvl="0">
      <w:startOverride w:val="11"/>
    </w:lvlOverride>
  </w:num>
  <w:num w:numId="5" w16cid:durableId="171650719">
    <w:abstractNumId w:val="0"/>
    <w:lvlOverride w:ilvl="0">
      <w:startOverride w:val="23"/>
    </w:lvlOverride>
  </w:num>
  <w:num w:numId="6" w16cid:durableId="1446660135">
    <w:abstractNumId w:val="3"/>
  </w:num>
  <w:num w:numId="7" w16cid:durableId="1895044138">
    <w:abstractNumId w:val="5"/>
  </w:num>
  <w:num w:numId="8" w16cid:durableId="1378554757">
    <w:abstractNumId w:val="2"/>
  </w:num>
  <w:num w:numId="9" w16cid:durableId="1793741541">
    <w:abstractNumId w:val="1"/>
  </w:num>
  <w:num w:numId="10" w16cid:durableId="139419973">
    <w:abstractNumId w:val="6"/>
  </w:num>
  <w:num w:numId="11" w16cid:durableId="1063288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85"/>
    <w:rsid w:val="00002564"/>
    <w:rsid w:val="00025EA2"/>
    <w:rsid w:val="00045A54"/>
    <w:rsid w:val="00064877"/>
    <w:rsid w:val="000659B7"/>
    <w:rsid w:val="00084B3A"/>
    <w:rsid w:val="00096B17"/>
    <w:rsid w:val="000B40B8"/>
    <w:rsid w:val="001035F4"/>
    <w:rsid w:val="0012491B"/>
    <w:rsid w:val="0017408B"/>
    <w:rsid w:val="001879ED"/>
    <w:rsid w:val="001C3AF8"/>
    <w:rsid w:val="00225297"/>
    <w:rsid w:val="002A7C3F"/>
    <w:rsid w:val="002D489B"/>
    <w:rsid w:val="002D69CB"/>
    <w:rsid w:val="00317390"/>
    <w:rsid w:val="003332F0"/>
    <w:rsid w:val="003A0586"/>
    <w:rsid w:val="003E153E"/>
    <w:rsid w:val="003E56FD"/>
    <w:rsid w:val="003F55D9"/>
    <w:rsid w:val="0041436B"/>
    <w:rsid w:val="0048419D"/>
    <w:rsid w:val="00486618"/>
    <w:rsid w:val="00496243"/>
    <w:rsid w:val="004A290F"/>
    <w:rsid w:val="004B00FB"/>
    <w:rsid w:val="0055474C"/>
    <w:rsid w:val="005E4329"/>
    <w:rsid w:val="0067606C"/>
    <w:rsid w:val="006E6C82"/>
    <w:rsid w:val="00722243"/>
    <w:rsid w:val="007609D1"/>
    <w:rsid w:val="007C4430"/>
    <w:rsid w:val="00867CDE"/>
    <w:rsid w:val="0092690E"/>
    <w:rsid w:val="00974F5F"/>
    <w:rsid w:val="00983183"/>
    <w:rsid w:val="009A2A0F"/>
    <w:rsid w:val="00A3599B"/>
    <w:rsid w:val="00A410EF"/>
    <w:rsid w:val="00A80FE5"/>
    <w:rsid w:val="00AB137A"/>
    <w:rsid w:val="00AB5985"/>
    <w:rsid w:val="00AC7240"/>
    <w:rsid w:val="00AD1035"/>
    <w:rsid w:val="00AD2010"/>
    <w:rsid w:val="00AD69A3"/>
    <w:rsid w:val="00AF449E"/>
    <w:rsid w:val="00B55553"/>
    <w:rsid w:val="00B63150"/>
    <w:rsid w:val="00B76B4C"/>
    <w:rsid w:val="00BA1A7B"/>
    <w:rsid w:val="00BA32EF"/>
    <w:rsid w:val="00BD0901"/>
    <w:rsid w:val="00C1252E"/>
    <w:rsid w:val="00C16352"/>
    <w:rsid w:val="00C229EA"/>
    <w:rsid w:val="00CD149B"/>
    <w:rsid w:val="00D27E26"/>
    <w:rsid w:val="00D76AEF"/>
    <w:rsid w:val="00DC6A5C"/>
    <w:rsid w:val="00DF62CE"/>
    <w:rsid w:val="00E23B43"/>
    <w:rsid w:val="00E35A49"/>
    <w:rsid w:val="00E53CA8"/>
    <w:rsid w:val="00E763F6"/>
    <w:rsid w:val="00E82085"/>
    <w:rsid w:val="00E921A0"/>
    <w:rsid w:val="00EF2F27"/>
    <w:rsid w:val="00EF55A5"/>
    <w:rsid w:val="00F6308F"/>
    <w:rsid w:val="00F7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B69FA"/>
  <w15:docId w15:val="{C4EBB89D-26E3-4487-8D7A-CA67FE18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F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00FB"/>
  </w:style>
  <w:style w:type="paragraph" w:styleId="NormalWeb">
    <w:name w:val="Normal (Web)"/>
    <w:basedOn w:val="Normal"/>
    <w:uiPriority w:val="99"/>
    <w:semiHidden/>
    <w:unhideWhenUsed/>
    <w:rsid w:val="002D69CB"/>
    <w:pPr>
      <w:widowControl/>
      <w:spacing w:before="100" w:beforeAutospacing="1" w:after="100" w:afterAutospacing="1"/>
    </w:pPr>
    <w:rPr>
      <w:snapToGrid/>
      <w:szCs w:val="24"/>
    </w:rPr>
  </w:style>
  <w:style w:type="paragraph" w:customStyle="1" w:styleId="xfontsmall">
    <w:name w:val="x_fontsmall"/>
    <w:basedOn w:val="Normal"/>
    <w:rsid w:val="002D69CB"/>
    <w:pPr>
      <w:widowControl/>
      <w:spacing w:before="100" w:beforeAutospacing="1" w:after="100" w:afterAutospacing="1"/>
    </w:pPr>
    <w:rPr>
      <w:snapToGrid/>
      <w:szCs w:val="24"/>
    </w:rPr>
  </w:style>
  <w:style w:type="character" w:styleId="Hyperlink">
    <w:name w:val="Hyperlink"/>
    <w:basedOn w:val="DefaultParagraphFont"/>
    <w:uiPriority w:val="99"/>
    <w:unhideWhenUsed/>
    <w:rsid w:val="002D69CB"/>
    <w:rPr>
      <w:color w:val="0000FF"/>
      <w:u w:val="single"/>
    </w:rPr>
  </w:style>
  <w:style w:type="character" w:customStyle="1" w:styleId="xfontmedium">
    <w:name w:val="x_fontmedium"/>
    <w:basedOn w:val="DefaultParagraphFont"/>
    <w:rsid w:val="002D69CB"/>
  </w:style>
  <w:style w:type="character" w:styleId="Strong">
    <w:name w:val="Strong"/>
    <w:basedOn w:val="DefaultParagraphFont"/>
    <w:uiPriority w:val="22"/>
    <w:qFormat/>
    <w:rsid w:val="002D69CB"/>
    <w:rPr>
      <w:b/>
      <w:bCs/>
    </w:rPr>
  </w:style>
  <w:style w:type="character" w:customStyle="1" w:styleId="xfontsmall1">
    <w:name w:val="x_fontsmall1"/>
    <w:basedOn w:val="DefaultParagraphFont"/>
    <w:rsid w:val="002D69CB"/>
  </w:style>
  <w:style w:type="paragraph" w:customStyle="1" w:styleId="xinstructor-email">
    <w:name w:val="x_instructor-email"/>
    <w:basedOn w:val="Normal"/>
    <w:rsid w:val="002D69CB"/>
    <w:pPr>
      <w:widowControl/>
      <w:spacing w:before="100" w:beforeAutospacing="1" w:after="100" w:afterAutospacing="1"/>
    </w:pPr>
    <w:rPr>
      <w:snapToGrid/>
      <w:szCs w:val="24"/>
    </w:rPr>
  </w:style>
  <w:style w:type="character" w:styleId="Emphasis">
    <w:name w:val="Emphasis"/>
    <w:basedOn w:val="DefaultParagraphFont"/>
    <w:uiPriority w:val="20"/>
    <w:qFormat/>
    <w:rsid w:val="00AC7240"/>
    <w:rPr>
      <w:i/>
      <w:iCs/>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365145">
      <w:bodyDiv w:val="1"/>
      <w:marLeft w:val="0"/>
      <w:marRight w:val="0"/>
      <w:marTop w:val="0"/>
      <w:marBottom w:val="0"/>
      <w:divBdr>
        <w:top w:val="none" w:sz="0" w:space="0" w:color="auto"/>
        <w:left w:val="none" w:sz="0" w:space="0" w:color="auto"/>
        <w:bottom w:val="none" w:sz="0" w:space="0" w:color="auto"/>
        <w:right w:val="none" w:sz="0" w:space="0" w:color="auto"/>
      </w:divBdr>
    </w:div>
    <w:div w:id="18606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39_StudAttnandAuthAbsence.Pub2_.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entaffairs.unt.edu/dean-of-students/con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anofstudents.unt.edu/conduct" TargetMode="External"/><Relationship Id="rId11" Type="http://schemas.openxmlformats.org/officeDocument/2006/relationships/hyperlink" Target="mailto:COVID@unt.edu" TargetMode="External"/><Relationship Id="rId5" Type="http://schemas.openxmlformats.org/officeDocument/2006/relationships/hyperlink" Target="https://studentaffairs.unt.edu/office-disability-access" TargetMode="External"/><Relationship Id="rId10" Type="http://schemas.openxmlformats.org/officeDocument/2006/relationships/hyperlink" Target="mailto:askSHWC@unt.edu" TargetMode="External"/><Relationship Id="rId4" Type="http://schemas.openxmlformats.org/officeDocument/2006/relationships/webSettings" Target="webSettings.xml"/><Relationship Id="rId9" Type="http://schemas.openxmlformats.org/officeDocument/2006/relationships/hyperlink" Target="https://www.cdc.gov/coronavirus/2019-ncov/symptoms%20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6204</Characters>
  <Application>Microsoft Office Word</Application>
  <DocSecurity>0</DocSecurity>
  <Lines>135</Lines>
  <Paragraphs>55</Paragraphs>
  <ScaleCrop>false</ScaleCrop>
  <HeadingPairs>
    <vt:vector size="2" baseType="variant">
      <vt:variant>
        <vt:lpstr>Title</vt:lpstr>
      </vt:variant>
      <vt:variant>
        <vt:i4>1</vt:i4>
      </vt:variant>
    </vt:vector>
  </HeadingPairs>
  <TitlesOfParts>
    <vt:vector size="1" baseType="lpstr">
      <vt:lpstr>BIOC 4550</vt:lpstr>
    </vt:vector>
  </TitlesOfParts>
  <Company>University of North Texas</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 4550</dc:title>
  <dc:creator>Doug Root</dc:creator>
  <cp:lastModifiedBy>Root, Douglas</cp:lastModifiedBy>
  <cp:revision>4</cp:revision>
  <cp:lastPrinted>1999-12-22T20:44:00Z</cp:lastPrinted>
  <dcterms:created xsi:type="dcterms:W3CDTF">2025-12-03T18:46:00Z</dcterms:created>
  <dcterms:modified xsi:type="dcterms:W3CDTF">2026-01-08T19:26:00Z</dcterms:modified>
</cp:coreProperties>
</file>