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E2C3B" w14:textId="77777777" w:rsidR="001E7F6C" w:rsidRPr="00656864" w:rsidRDefault="001E7F6C" w:rsidP="001E7F6C">
      <w:pPr>
        <w:pStyle w:val="Heading2"/>
        <w:rPr>
          <w:rFonts w:eastAsiaTheme="minorEastAsia" w:cstheme="minorHAnsi"/>
          <w:b/>
          <w:bCs/>
          <w:color w:val="00833B"/>
          <w:sz w:val="36"/>
          <w:szCs w:val="32"/>
        </w:rPr>
      </w:pPr>
      <w:r w:rsidRPr="00656864">
        <w:rPr>
          <w:rFonts w:eastAsiaTheme="minorEastAsia" w:cstheme="minorHAnsi"/>
          <w:b/>
          <w:bCs/>
          <w:color w:val="00833B"/>
          <w:sz w:val="36"/>
          <w:szCs w:val="32"/>
        </w:rPr>
        <w:t>ADDS 427</w:t>
      </w:r>
      <w:r>
        <w:rPr>
          <w:rFonts w:eastAsiaTheme="minorEastAsia" w:cstheme="minorHAnsi"/>
          <w:b/>
          <w:bCs/>
          <w:color w:val="00833B"/>
          <w:sz w:val="36"/>
          <w:szCs w:val="32"/>
        </w:rPr>
        <w:t xml:space="preserve">5, Section </w:t>
      </w:r>
      <w:r w:rsidRPr="00656864">
        <w:rPr>
          <w:rFonts w:eastAsiaTheme="minorEastAsia" w:cstheme="minorHAnsi"/>
          <w:b/>
          <w:bCs/>
          <w:color w:val="00833B"/>
          <w:sz w:val="36"/>
          <w:szCs w:val="32"/>
        </w:rPr>
        <w:t>900 (8307): ALCOHOL, DRUGS &amp; DISABILITY</w:t>
      </w:r>
    </w:p>
    <w:p w14:paraId="6D93B31D" w14:textId="77777777" w:rsidR="001E7F6C" w:rsidRPr="00F66C46" w:rsidRDefault="001E7F6C" w:rsidP="001E7F6C">
      <w:pPr>
        <w:pStyle w:val="Heading2"/>
        <w:rPr>
          <w:rFonts w:cstheme="minorHAnsi"/>
          <w:color w:val="000000" w:themeColor="text1"/>
        </w:rPr>
      </w:pPr>
      <w:r w:rsidRPr="00F66C46">
        <w:rPr>
          <w:rFonts w:cstheme="minorHAnsi"/>
          <w:color w:val="000000" w:themeColor="text1"/>
        </w:rPr>
        <w:t xml:space="preserve">Instructor Information  </w:t>
      </w:r>
    </w:p>
    <w:p w14:paraId="564B5E03" w14:textId="549BEC16" w:rsidR="001E7F6C" w:rsidRPr="00F66C46" w:rsidRDefault="001E7F6C" w:rsidP="001E7F6C">
      <w:pPr>
        <w:numPr>
          <w:ilvl w:val="0"/>
          <w:numId w:val="2"/>
        </w:numPr>
        <w:spacing w:after="0" w:line="240" w:lineRule="auto"/>
        <w:rPr>
          <w:rFonts w:eastAsiaTheme="minorEastAsia" w:cstheme="minorHAnsi"/>
          <w:color w:val="000000" w:themeColor="text1"/>
        </w:rPr>
      </w:pPr>
      <w:r w:rsidRPr="00F66C46">
        <w:rPr>
          <w:rFonts w:eastAsiaTheme="minorEastAsia" w:cstheme="minorHAnsi"/>
          <w:color w:val="000000" w:themeColor="text1"/>
        </w:rPr>
        <w:t>Instructor: Dalia Chowdhury</w:t>
      </w:r>
      <w:r w:rsidR="00715437">
        <w:rPr>
          <w:rFonts w:eastAsiaTheme="minorEastAsia" w:cstheme="minorHAnsi"/>
          <w:color w:val="000000" w:themeColor="text1"/>
        </w:rPr>
        <w:t xml:space="preserve">, </w:t>
      </w:r>
      <w:r w:rsidR="00715437" w:rsidRPr="00715437">
        <w:rPr>
          <w:rFonts w:eastAsiaTheme="minorEastAsia" w:cstheme="minorHAnsi"/>
          <w:bCs/>
          <w:color w:val="000000" w:themeColor="text1"/>
        </w:rPr>
        <w:t>PhD, CRC, CADC, LPC (IL)</w:t>
      </w:r>
    </w:p>
    <w:p w14:paraId="24628A4F" w14:textId="77777777" w:rsidR="001E7F6C" w:rsidRPr="00F66C46" w:rsidRDefault="001E7F6C" w:rsidP="001E7F6C">
      <w:pPr>
        <w:numPr>
          <w:ilvl w:val="0"/>
          <w:numId w:val="2"/>
        </w:numPr>
        <w:spacing w:after="0" w:line="240" w:lineRule="auto"/>
        <w:rPr>
          <w:rFonts w:eastAsiaTheme="minorEastAsia" w:cstheme="minorHAnsi"/>
          <w:color w:val="000000" w:themeColor="text1"/>
        </w:rPr>
      </w:pPr>
      <w:r w:rsidRPr="00F66C46">
        <w:rPr>
          <w:rFonts w:eastAsiaTheme="minorEastAsia" w:cstheme="minorHAnsi"/>
          <w:color w:val="000000" w:themeColor="text1"/>
        </w:rPr>
        <w:t>Pronouns:</w:t>
      </w:r>
      <w:r w:rsidRPr="00F66C46">
        <w:rPr>
          <w:rFonts w:eastAsiaTheme="minorEastAsia" w:cstheme="minorHAnsi"/>
          <w:i/>
          <w:iCs/>
          <w:color w:val="000000" w:themeColor="text1"/>
        </w:rPr>
        <w:t xml:space="preserve"> She/Her</w:t>
      </w:r>
    </w:p>
    <w:p w14:paraId="7360BDC8" w14:textId="7DF7551F" w:rsidR="001E7F6C" w:rsidRPr="00F66C46" w:rsidRDefault="001E7F6C" w:rsidP="001E7F6C">
      <w:pPr>
        <w:numPr>
          <w:ilvl w:val="0"/>
          <w:numId w:val="2"/>
        </w:numPr>
        <w:spacing w:after="0" w:line="240" w:lineRule="auto"/>
        <w:rPr>
          <w:rFonts w:eastAsiaTheme="minorEastAsia" w:cstheme="minorHAnsi"/>
          <w:color w:val="000000" w:themeColor="text1"/>
        </w:rPr>
      </w:pPr>
      <w:r w:rsidRPr="00F66C46">
        <w:rPr>
          <w:rFonts w:eastAsiaTheme="minorEastAsia" w:cstheme="minorHAnsi"/>
          <w:color w:val="000000" w:themeColor="text1"/>
        </w:rPr>
        <w:t>Office hours: </w:t>
      </w:r>
      <w:r w:rsidR="00E74791">
        <w:rPr>
          <w:rFonts w:eastAsiaTheme="minorEastAsia" w:cstheme="minorHAnsi"/>
          <w:color w:val="000000" w:themeColor="text1"/>
        </w:rPr>
        <w:t>Wednesday 1.30-3.30</w:t>
      </w:r>
      <w:r w:rsidR="00715437">
        <w:rPr>
          <w:rFonts w:eastAsiaTheme="minorEastAsia" w:cstheme="minorHAnsi"/>
          <w:color w:val="000000" w:themeColor="text1"/>
        </w:rPr>
        <w:t xml:space="preserve"> </w:t>
      </w:r>
      <w:r w:rsidR="00E74791">
        <w:rPr>
          <w:rFonts w:eastAsiaTheme="minorEastAsia" w:cstheme="minorHAnsi"/>
          <w:color w:val="000000" w:themeColor="text1"/>
        </w:rPr>
        <w:t>pm</w:t>
      </w:r>
    </w:p>
    <w:p w14:paraId="615D8DA0" w14:textId="77777777" w:rsidR="001E7F6C" w:rsidRPr="00F66C46" w:rsidRDefault="001E7F6C" w:rsidP="001E7F6C">
      <w:pPr>
        <w:numPr>
          <w:ilvl w:val="0"/>
          <w:numId w:val="2"/>
        </w:numPr>
        <w:spacing w:after="0" w:line="240" w:lineRule="auto"/>
        <w:rPr>
          <w:rFonts w:eastAsiaTheme="minorEastAsia" w:cstheme="minorHAnsi"/>
          <w:color w:val="000000" w:themeColor="text1"/>
        </w:rPr>
      </w:pPr>
      <w:r w:rsidRPr="00F66C46">
        <w:rPr>
          <w:rFonts w:eastAsiaTheme="minorEastAsia" w:cstheme="minorHAnsi"/>
          <w:color w:val="000000" w:themeColor="text1"/>
        </w:rPr>
        <w:t>Phone: 940-369-5001</w:t>
      </w:r>
    </w:p>
    <w:p w14:paraId="5D0F2996" w14:textId="77777777" w:rsidR="001E7F6C" w:rsidRPr="00F66C46" w:rsidRDefault="001E7F6C" w:rsidP="001E7F6C">
      <w:pPr>
        <w:numPr>
          <w:ilvl w:val="0"/>
          <w:numId w:val="2"/>
        </w:numPr>
        <w:spacing w:after="0" w:line="240" w:lineRule="auto"/>
        <w:rPr>
          <w:rFonts w:eastAsiaTheme="minorEastAsia" w:cstheme="minorHAnsi"/>
          <w:color w:val="000000" w:themeColor="text1"/>
        </w:rPr>
      </w:pPr>
      <w:r w:rsidRPr="00F66C46">
        <w:rPr>
          <w:rFonts w:eastAsiaTheme="minorEastAsia" w:cstheme="minorHAnsi"/>
          <w:color w:val="000000" w:themeColor="text1"/>
        </w:rPr>
        <w:t>Email: </w:t>
      </w:r>
      <w:hyperlink r:id="rId7" w:tgtFrame="_blank" w:history="1">
        <w:r w:rsidRPr="00451384">
          <w:rPr>
            <w:rStyle w:val="Hyperlink"/>
            <w:rFonts w:eastAsiaTheme="minorEastAsia" w:cstheme="minorHAnsi"/>
            <w:color w:val="2F5496" w:themeColor="accent1" w:themeShade="BF"/>
          </w:rPr>
          <w:t>Dalia.Chowdhury@unt.edu</w:t>
        </w:r>
      </w:hyperlink>
      <w:r w:rsidRPr="00451384">
        <w:rPr>
          <w:rFonts w:eastAsiaTheme="minorEastAsia" w:cstheme="minorHAnsi"/>
          <w:color w:val="2F5496" w:themeColor="accent1" w:themeShade="BF"/>
        </w:rPr>
        <w:t> </w:t>
      </w:r>
      <w:r w:rsidRPr="00F66C46">
        <w:rPr>
          <w:rFonts w:eastAsiaTheme="minorEastAsia" w:cstheme="minorHAnsi"/>
          <w:color w:val="000000" w:themeColor="text1"/>
        </w:rPr>
        <w:t>(preferred mode of communication)</w:t>
      </w:r>
    </w:p>
    <w:p w14:paraId="29BB4000" w14:textId="77777777" w:rsidR="001E7F6C" w:rsidRPr="00F66C46" w:rsidRDefault="001E7F6C" w:rsidP="001E7F6C">
      <w:pPr>
        <w:numPr>
          <w:ilvl w:val="0"/>
          <w:numId w:val="2"/>
        </w:numPr>
        <w:spacing w:after="0" w:line="240" w:lineRule="auto"/>
        <w:rPr>
          <w:rFonts w:eastAsiaTheme="minorEastAsia" w:cstheme="minorHAnsi"/>
          <w:color w:val="000000" w:themeColor="text1"/>
        </w:rPr>
      </w:pPr>
      <w:r w:rsidRPr="00F66C46">
        <w:rPr>
          <w:rFonts w:eastAsiaTheme="minorEastAsia" w:cstheme="minorHAnsi"/>
          <w:color w:val="000000" w:themeColor="text1"/>
        </w:rPr>
        <w:t>Class: Online, on CANVAS </w:t>
      </w:r>
    </w:p>
    <w:p w14:paraId="0F93180B" w14:textId="77777777" w:rsidR="001E7F6C" w:rsidRPr="00F66C46" w:rsidRDefault="001E7F6C" w:rsidP="001E7F6C">
      <w:pPr>
        <w:spacing w:after="0" w:line="240" w:lineRule="auto"/>
        <w:rPr>
          <w:rFonts w:eastAsiaTheme="minorEastAsia" w:cstheme="minorHAnsi"/>
          <w:color w:val="000000" w:themeColor="text1"/>
          <w:sz w:val="24"/>
          <w:szCs w:val="24"/>
        </w:rPr>
      </w:pPr>
    </w:p>
    <w:p w14:paraId="190E21E2" w14:textId="77777777" w:rsidR="001E7F6C" w:rsidRPr="00F66C46" w:rsidRDefault="001E7F6C" w:rsidP="001E7F6C">
      <w:pPr>
        <w:pStyle w:val="Heading3"/>
        <w:rPr>
          <w:rFonts w:cstheme="minorHAnsi"/>
          <w:color w:val="000000" w:themeColor="text1"/>
        </w:rPr>
      </w:pPr>
      <w:r w:rsidRPr="00F66C46">
        <w:rPr>
          <w:rFonts w:cstheme="minorHAnsi"/>
          <w:color w:val="000000" w:themeColor="text1"/>
        </w:rPr>
        <w:t xml:space="preserve">Course Description, Structure, and Objectives </w:t>
      </w:r>
    </w:p>
    <w:p w14:paraId="4E36A44E" w14:textId="77777777" w:rsidR="001E7F6C" w:rsidRPr="00F66C46" w:rsidRDefault="001E7F6C" w:rsidP="001E7F6C">
      <w:pPr>
        <w:spacing w:after="0" w:line="240" w:lineRule="auto"/>
        <w:rPr>
          <w:rFonts w:eastAsiaTheme="minorEastAsia" w:cstheme="minorHAnsi"/>
          <w:color w:val="000000" w:themeColor="text1"/>
        </w:rPr>
      </w:pPr>
      <w:r w:rsidRPr="00F66C46">
        <w:rPr>
          <w:rFonts w:eastAsiaTheme="minorEastAsia" w:cstheme="minorHAnsi"/>
          <w:color w:val="000000" w:themeColor="text1"/>
        </w:rPr>
        <w:t>This course examines the biological, psychological, and systemic nature of substance abuse and addiction, their overlap with other mental and physical disabilities and relationship to the process of rehabilitation. This is a 3-credit hour online class with no prerequisites.</w:t>
      </w:r>
    </w:p>
    <w:p w14:paraId="214A2FEF" w14:textId="77777777" w:rsidR="001E7F6C" w:rsidRPr="00F66C46" w:rsidRDefault="001E7F6C" w:rsidP="001E7F6C">
      <w:pPr>
        <w:spacing w:after="0" w:line="240" w:lineRule="auto"/>
        <w:rPr>
          <w:rFonts w:eastAsiaTheme="minorEastAsia" w:cstheme="minorHAnsi"/>
          <w:color w:val="000000" w:themeColor="text1"/>
        </w:rPr>
      </w:pPr>
    </w:p>
    <w:p w14:paraId="361DB75F" w14:textId="77777777" w:rsidR="001E7F6C" w:rsidRPr="00F66C46" w:rsidRDefault="001E7F6C" w:rsidP="001E7F6C">
      <w:pPr>
        <w:spacing w:after="0" w:line="240" w:lineRule="auto"/>
        <w:rPr>
          <w:rFonts w:cstheme="minorHAnsi"/>
          <w:color w:val="000000" w:themeColor="text1"/>
          <w:sz w:val="26"/>
          <w:szCs w:val="26"/>
          <w:shd w:val="clear" w:color="auto" w:fill="FFFFFF"/>
        </w:rPr>
      </w:pPr>
      <w:r w:rsidRPr="00F66C46">
        <w:rPr>
          <w:rFonts w:cstheme="minorHAnsi"/>
          <w:color w:val="000000" w:themeColor="text1"/>
          <w:sz w:val="26"/>
          <w:szCs w:val="26"/>
          <w:shd w:val="clear" w:color="auto" w:fill="FFFFFF"/>
        </w:rPr>
        <w:t>Course Structure</w:t>
      </w:r>
    </w:p>
    <w:p w14:paraId="2D107F4B" w14:textId="77777777" w:rsidR="001E7F6C" w:rsidRPr="00F66C46" w:rsidRDefault="001E7F6C" w:rsidP="001E7F6C">
      <w:pPr>
        <w:rPr>
          <w:rFonts w:cstheme="minorHAnsi"/>
          <w:color w:val="000000" w:themeColor="text1"/>
          <w:shd w:val="clear" w:color="auto" w:fill="FFFFFF"/>
        </w:rPr>
      </w:pPr>
      <w:r w:rsidRPr="00F66C46">
        <w:rPr>
          <w:rFonts w:cstheme="minorHAnsi"/>
          <w:color w:val="000000" w:themeColor="text1"/>
          <w:shd w:val="clear" w:color="auto" w:fill="FFFFFF"/>
        </w:rPr>
        <w:t>This course takes place 100% online. We will have a couple synchronous video conferences using Zoom throughout the semester. Other than that, your interaction with me and with your fellow students will take place in Canvas. I will have online office hours through zoom every week. There are 16 weeks of content that you will move through. All modules will be open from the beginning, however, quizzes in each module will open weekly.</w:t>
      </w:r>
    </w:p>
    <w:p w14:paraId="6CF03A88" w14:textId="77777777" w:rsidR="001E7F6C" w:rsidRPr="00F66C46" w:rsidRDefault="001E7F6C" w:rsidP="001E7F6C">
      <w:pPr>
        <w:spacing w:after="0" w:line="240" w:lineRule="auto"/>
        <w:rPr>
          <w:rFonts w:cstheme="minorHAnsi"/>
          <w:color w:val="000000" w:themeColor="text1"/>
          <w:sz w:val="26"/>
          <w:szCs w:val="26"/>
          <w:shd w:val="clear" w:color="auto" w:fill="FFFFFF"/>
        </w:rPr>
      </w:pPr>
      <w:r w:rsidRPr="00F66C46">
        <w:rPr>
          <w:rFonts w:cstheme="minorHAnsi"/>
          <w:color w:val="000000" w:themeColor="text1"/>
          <w:sz w:val="26"/>
          <w:szCs w:val="26"/>
          <w:shd w:val="clear" w:color="auto" w:fill="FFFFFF"/>
        </w:rPr>
        <w:t>Objective</w:t>
      </w:r>
    </w:p>
    <w:p w14:paraId="57026EE3" w14:textId="77777777" w:rsidR="001E7F6C" w:rsidRPr="00F66C46" w:rsidRDefault="001E7F6C" w:rsidP="001E7F6C">
      <w:pPr>
        <w:rPr>
          <w:rFonts w:cstheme="minorHAnsi"/>
          <w:i/>
          <w:iCs/>
          <w:color w:val="000000" w:themeColor="text1"/>
          <w:shd w:val="clear" w:color="auto" w:fill="FFFFFF"/>
        </w:rPr>
      </w:pPr>
      <w:r w:rsidRPr="00F66C46">
        <w:rPr>
          <w:rFonts w:cstheme="minorHAnsi"/>
          <w:i/>
          <w:iCs/>
          <w:color w:val="000000" w:themeColor="text1"/>
          <w:shd w:val="clear" w:color="auto" w:fill="FFFFFF"/>
        </w:rPr>
        <w:t>Upon completion of this course, the students will:</w:t>
      </w:r>
    </w:p>
    <w:p w14:paraId="1364E17F" w14:textId="77777777" w:rsidR="001E7F6C" w:rsidRPr="00F66C46" w:rsidRDefault="001E7F6C" w:rsidP="001E7F6C">
      <w:pPr>
        <w:pStyle w:val="ListParagraph"/>
        <w:numPr>
          <w:ilvl w:val="0"/>
          <w:numId w:val="3"/>
        </w:numPr>
        <w:rPr>
          <w:rFonts w:cstheme="minorHAnsi"/>
          <w:color w:val="000000" w:themeColor="text1"/>
          <w:shd w:val="clear" w:color="auto" w:fill="FFFFFF"/>
        </w:rPr>
      </w:pPr>
      <w:r w:rsidRPr="00F66C46">
        <w:rPr>
          <w:rFonts w:cstheme="minorHAnsi"/>
          <w:color w:val="000000" w:themeColor="text1"/>
          <w:shd w:val="clear" w:color="auto" w:fill="FFFFFF"/>
        </w:rPr>
        <w:t>Identify issues related to screening and assessing for substance use disorders among people</w:t>
      </w:r>
    </w:p>
    <w:p w14:paraId="202B6F40" w14:textId="77777777" w:rsidR="001E7F6C" w:rsidRPr="00F66C46" w:rsidRDefault="001E7F6C" w:rsidP="001E7F6C">
      <w:pPr>
        <w:pStyle w:val="ListParagraph"/>
        <w:rPr>
          <w:rFonts w:cstheme="minorHAnsi"/>
          <w:color w:val="000000" w:themeColor="text1"/>
          <w:shd w:val="clear" w:color="auto" w:fill="FFFFFF"/>
        </w:rPr>
      </w:pPr>
      <w:r w:rsidRPr="00F66C46">
        <w:rPr>
          <w:rFonts w:cstheme="minorHAnsi"/>
          <w:color w:val="000000" w:themeColor="text1"/>
          <w:shd w:val="clear" w:color="auto" w:fill="FFFFFF"/>
        </w:rPr>
        <w:t>with disabilities.</w:t>
      </w:r>
    </w:p>
    <w:p w14:paraId="3D57A0E0" w14:textId="77777777" w:rsidR="001E7F6C" w:rsidRPr="00F66C46" w:rsidRDefault="001E7F6C" w:rsidP="001E7F6C">
      <w:pPr>
        <w:pStyle w:val="ListParagraph"/>
        <w:numPr>
          <w:ilvl w:val="0"/>
          <w:numId w:val="3"/>
        </w:numPr>
        <w:rPr>
          <w:rFonts w:cstheme="minorHAnsi"/>
          <w:color w:val="000000" w:themeColor="text1"/>
          <w:shd w:val="clear" w:color="auto" w:fill="FFFFFF"/>
        </w:rPr>
      </w:pPr>
      <w:r w:rsidRPr="00F66C46">
        <w:rPr>
          <w:rFonts w:cstheme="minorHAnsi"/>
          <w:color w:val="000000" w:themeColor="text1"/>
          <w:shd w:val="clear" w:color="auto" w:fill="FFFFFF"/>
        </w:rPr>
        <w:t>Determine how physical, emotional, and psychiatric disabilities may contribute to</w:t>
      </w:r>
    </w:p>
    <w:p w14:paraId="65C374CF" w14:textId="77777777" w:rsidR="001E7F6C" w:rsidRPr="00F66C46" w:rsidRDefault="001E7F6C" w:rsidP="001E7F6C">
      <w:pPr>
        <w:pStyle w:val="ListParagraph"/>
        <w:rPr>
          <w:rFonts w:cstheme="minorHAnsi"/>
          <w:color w:val="000000" w:themeColor="text1"/>
          <w:shd w:val="clear" w:color="auto" w:fill="FFFFFF"/>
        </w:rPr>
      </w:pPr>
      <w:r w:rsidRPr="00F66C46">
        <w:rPr>
          <w:rFonts w:cstheme="minorHAnsi"/>
          <w:color w:val="000000" w:themeColor="text1"/>
          <w:shd w:val="clear" w:color="auto" w:fill="FFFFFF"/>
        </w:rPr>
        <w:t>substance use.</w:t>
      </w:r>
    </w:p>
    <w:p w14:paraId="16651553" w14:textId="77777777" w:rsidR="001E7F6C" w:rsidRPr="00F66C46" w:rsidRDefault="001E7F6C" w:rsidP="001E7F6C">
      <w:pPr>
        <w:pStyle w:val="ListParagraph"/>
        <w:numPr>
          <w:ilvl w:val="0"/>
          <w:numId w:val="3"/>
        </w:numPr>
        <w:rPr>
          <w:rFonts w:cstheme="minorHAnsi"/>
          <w:color w:val="000000" w:themeColor="text1"/>
          <w:shd w:val="clear" w:color="auto" w:fill="FFFFFF"/>
        </w:rPr>
      </w:pPr>
      <w:r w:rsidRPr="00F66C46">
        <w:rPr>
          <w:rFonts w:cstheme="minorHAnsi"/>
          <w:color w:val="000000" w:themeColor="text1"/>
          <w:shd w:val="clear" w:color="auto" w:fill="FFFFFF"/>
        </w:rPr>
        <w:t>Recognize co-occurring psychiatric and substance use disorders treatment issues.</w:t>
      </w:r>
    </w:p>
    <w:p w14:paraId="3EEFC8C0" w14:textId="77777777" w:rsidR="001E7F6C" w:rsidRPr="00F66C46" w:rsidRDefault="001E7F6C" w:rsidP="001E7F6C">
      <w:pPr>
        <w:pStyle w:val="ListParagraph"/>
        <w:numPr>
          <w:ilvl w:val="0"/>
          <w:numId w:val="3"/>
        </w:numPr>
        <w:rPr>
          <w:rFonts w:cstheme="minorHAnsi"/>
          <w:color w:val="000000" w:themeColor="text1"/>
          <w:shd w:val="clear" w:color="auto" w:fill="FFFFFF"/>
        </w:rPr>
      </w:pPr>
      <w:r w:rsidRPr="00F66C46">
        <w:rPr>
          <w:rFonts w:cstheme="minorHAnsi"/>
          <w:color w:val="000000" w:themeColor="text1"/>
          <w:shd w:val="clear" w:color="auto" w:fill="FFFFFF"/>
        </w:rPr>
        <w:t>Identify barriers that affect accessibility to substance use treatment services for people with</w:t>
      </w:r>
    </w:p>
    <w:p w14:paraId="0FF53F0D" w14:textId="77777777" w:rsidR="001E7F6C" w:rsidRPr="00F66C46" w:rsidRDefault="001E7F6C" w:rsidP="001E7F6C">
      <w:pPr>
        <w:pStyle w:val="ListParagraph"/>
        <w:rPr>
          <w:rFonts w:cstheme="minorHAnsi"/>
          <w:color w:val="000000" w:themeColor="text1"/>
          <w:shd w:val="clear" w:color="auto" w:fill="FFFFFF"/>
        </w:rPr>
      </w:pPr>
      <w:r w:rsidRPr="00F66C46">
        <w:rPr>
          <w:rFonts w:cstheme="minorHAnsi"/>
          <w:color w:val="000000" w:themeColor="text1"/>
          <w:shd w:val="clear" w:color="auto" w:fill="FFFFFF"/>
        </w:rPr>
        <w:t>disabilities.</w:t>
      </w:r>
    </w:p>
    <w:p w14:paraId="4E808C45" w14:textId="77777777" w:rsidR="001E7F6C" w:rsidRPr="00F66C46" w:rsidRDefault="001E7F6C" w:rsidP="001E7F6C">
      <w:pPr>
        <w:pStyle w:val="ListParagraph"/>
        <w:numPr>
          <w:ilvl w:val="0"/>
          <w:numId w:val="3"/>
        </w:numPr>
        <w:rPr>
          <w:rFonts w:cstheme="minorHAnsi"/>
          <w:color w:val="000000" w:themeColor="text1"/>
          <w:shd w:val="clear" w:color="auto" w:fill="FFFFFF"/>
        </w:rPr>
      </w:pPr>
      <w:r w:rsidRPr="00F66C46">
        <w:rPr>
          <w:rFonts w:cstheme="minorHAnsi"/>
          <w:color w:val="000000" w:themeColor="text1"/>
          <w:shd w:val="clear" w:color="auto" w:fill="FFFFFF"/>
        </w:rPr>
        <w:t xml:space="preserve">Practice identifying and eliminating barriers </w:t>
      </w:r>
      <w:proofErr w:type="gramStart"/>
      <w:r w:rsidRPr="00F66C46">
        <w:rPr>
          <w:rFonts w:cstheme="minorHAnsi"/>
          <w:color w:val="000000" w:themeColor="text1"/>
          <w:shd w:val="clear" w:color="auto" w:fill="FFFFFF"/>
        </w:rPr>
        <w:t>in order to</w:t>
      </w:r>
      <w:proofErr w:type="gramEnd"/>
      <w:r w:rsidRPr="00F66C46">
        <w:rPr>
          <w:rFonts w:cstheme="minorHAnsi"/>
          <w:color w:val="000000" w:themeColor="text1"/>
          <w:shd w:val="clear" w:color="auto" w:fill="FFFFFF"/>
        </w:rPr>
        <w:t xml:space="preserve"> increase accessibility to substance</w:t>
      </w:r>
    </w:p>
    <w:p w14:paraId="349215E6" w14:textId="77777777" w:rsidR="001E7F6C" w:rsidRPr="00F66C46" w:rsidRDefault="001E7F6C" w:rsidP="001E7F6C">
      <w:pPr>
        <w:pStyle w:val="ListParagraph"/>
        <w:rPr>
          <w:rFonts w:cstheme="minorHAnsi"/>
          <w:color w:val="000000" w:themeColor="text1"/>
          <w:shd w:val="clear" w:color="auto" w:fill="FFFFFF"/>
        </w:rPr>
      </w:pPr>
      <w:r w:rsidRPr="00F66C46">
        <w:rPr>
          <w:rFonts w:cstheme="minorHAnsi"/>
          <w:color w:val="000000" w:themeColor="text1"/>
          <w:shd w:val="clear" w:color="auto" w:fill="FFFFFF"/>
        </w:rPr>
        <w:t>use treatment services for people with disabilities</w:t>
      </w:r>
      <w:r w:rsidRPr="00F66C46">
        <w:rPr>
          <w:rFonts w:cstheme="minorHAnsi"/>
          <w:i/>
          <w:iCs/>
          <w:color w:val="000000" w:themeColor="text1"/>
          <w:shd w:val="clear" w:color="auto" w:fill="FFFFFF"/>
        </w:rPr>
        <w:t>.</w:t>
      </w:r>
      <w:r w:rsidRPr="00F66C46">
        <w:rPr>
          <w:rFonts w:cstheme="minorHAnsi"/>
          <w:color w:val="000000" w:themeColor="text1"/>
          <w:shd w:val="clear" w:color="auto" w:fill="FFFFFF"/>
        </w:rPr>
        <w:t xml:space="preserve"> </w:t>
      </w:r>
    </w:p>
    <w:p w14:paraId="635EE26F" w14:textId="77777777" w:rsidR="001E7F6C" w:rsidRPr="00F66C46" w:rsidRDefault="001E7F6C" w:rsidP="001E7F6C">
      <w:pPr>
        <w:pStyle w:val="Heading2"/>
        <w:rPr>
          <w:rFonts w:cstheme="minorHAnsi"/>
          <w:color w:val="000000" w:themeColor="text1"/>
        </w:rPr>
      </w:pPr>
      <w:r w:rsidRPr="00F66C46">
        <w:rPr>
          <w:rFonts w:cstheme="minorHAnsi"/>
          <w:color w:val="000000" w:themeColor="text1"/>
        </w:rPr>
        <w:t xml:space="preserve">Required/Recommended Materials </w:t>
      </w:r>
    </w:p>
    <w:p w14:paraId="4A2199E9" w14:textId="2E78DE58" w:rsidR="001E7F6C" w:rsidRPr="00F66C46" w:rsidRDefault="001E7F6C" w:rsidP="001E7F6C">
      <w:pPr>
        <w:rPr>
          <w:rFonts w:eastAsiaTheme="minorEastAsia" w:cstheme="minorHAnsi"/>
          <w:color w:val="000000" w:themeColor="text1"/>
        </w:rPr>
      </w:pPr>
      <w:r w:rsidRPr="00F66C46">
        <w:rPr>
          <w:rFonts w:eastAsiaTheme="minorEastAsia" w:cstheme="minorHAnsi"/>
          <w:color w:val="000000" w:themeColor="text1"/>
        </w:rPr>
        <w:t xml:space="preserve">As you all know by now, this topic of "co-occurring disorders" does not have a textbook yet that meets the standard of this class (unless I write one in the future). So, for every week, I have curated a group of readings. Some of them are old, and some are newer. However, all of them are important for creating an understanding of the subject area. Some of the readings will be extra-long....however, the idea is not to punish you by making you read all these pages and statistics, but to list and showcase some of the best work on the topic. For the extra-long readings, I suggest that you focus on the main points and not the minutiae for the purposes of the quiz. .... however, for your interest, the sky is the limit!! </w:t>
      </w:r>
    </w:p>
    <w:p w14:paraId="2B72ED7E" w14:textId="77777777" w:rsidR="00497CF3" w:rsidRDefault="00497CF3" w:rsidP="001E7F6C">
      <w:pPr>
        <w:rPr>
          <w:rFonts w:eastAsiaTheme="minorEastAsia" w:cstheme="minorHAnsi"/>
          <w:b/>
          <w:bCs/>
          <w:i/>
          <w:iCs/>
          <w:color w:val="000000" w:themeColor="text1"/>
        </w:rPr>
      </w:pPr>
    </w:p>
    <w:p w14:paraId="749C9CF6" w14:textId="77777777" w:rsidR="00497CF3" w:rsidRDefault="00497CF3" w:rsidP="001E7F6C">
      <w:pPr>
        <w:rPr>
          <w:rFonts w:eastAsiaTheme="minorEastAsia" w:cstheme="minorHAnsi"/>
          <w:b/>
          <w:bCs/>
          <w:i/>
          <w:iCs/>
          <w:color w:val="000000" w:themeColor="text1"/>
        </w:rPr>
      </w:pPr>
    </w:p>
    <w:p w14:paraId="061A5478" w14:textId="730DD476" w:rsidR="001E7F6C" w:rsidRPr="00F66C46" w:rsidRDefault="001E7F6C" w:rsidP="001E7F6C">
      <w:pPr>
        <w:rPr>
          <w:rFonts w:eastAsiaTheme="minorEastAsia" w:cstheme="minorHAnsi"/>
          <w:color w:val="000000" w:themeColor="text1"/>
        </w:rPr>
      </w:pPr>
      <w:r w:rsidRPr="00F66C46">
        <w:rPr>
          <w:rFonts w:eastAsiaTheme="minorEastAsia" w:cstheme="minorHAnsi"/>
          <w:b/>
          <w:bCs/>
          <w:i/>
          <w:iCs/>
          <w:color w:val="000000" w:themeColor="text1"/>
        </w:rPr>
        <w:lastRenderedPageBreak/>
        <w:t>List of Readings (All readings are provided on CANVAS).</w:t>
      </w:r>
    </w:p>
    <w:p w14:paraId="3B272462"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Brucker, D. (2008). Prescription drug abuse among persons with disabilities. </w:t>
      </w:r>
      <w:r w:rsidRPr="00F66C46">
        <w:rPr>
          <w:rFonts w:eastAsiaTheme="minorEastAsia" w:cstheme="minorHAnsi"/>
          <w:i/>
          <w:iCs/>
          <w:color w:val="000000" w:themeColor="text1"/>
        </w:rPr>
        <w:t>Journal of Vocational Rehabilitation, 29</w:t>
      </w:r>
      <w:r w:rsidRPr="00F66C46">
        <w:rPr>
          <w:rFonts w:eastAsiaTheme="minorEastAsia" w:cstheme="minorHAnsi"/>
          <w:color w:val="000000" w:themeColor="text1"/>
        </w:rPr>
        <w:t xml:space="preserve">(2), 105-115. </w:t>
      </w:r>
    </w:p>
    <w:p w14:paraId="67ABA48F"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Brucker, D.L. (2008). Social construction of disability and substance abuse within public disability benefit systems. </w:t>
      </w:r>
      <w:r w:rsidRPr="00F66C46">
        <w:rPr>
          <w:rFonts w:eastAsiaTheme="minorEastAsia" w:cstheme="minorHAnsi"/>
          <w:i/>
          <w:iCs/>
          <w:color w:val="000000" w:themeColor="text1"/>
        </w:rPr>
        <w:t>International Journal of Drug Policy, 20</w:t>
      </w:r>
      <w:r w:rsidRPr="00F66C46">
        <w:rPr>
          <w:rFonts w:eastAsiaTheme="minorEastAsia" w:cstheme="minorHAnsi"/>
          <w:color w:val="000000" w:themeColor="text1"/>
        </w:rPr>
        <w:t xml:space="preserve">, 418-423. </w:t>
      </w:r>
      <w:proofErr w:type="spellStart"/>
      <w:r w:rsidRPr="00F66C46">
        <w:rPr>
          <w:rFonts w:eastAsiaTheme="minorEastAsia" w:cstheme="minorHAnsi"/>
          <w:color w:val="000000" w:themeColor="text1"/>
        </w:rPr>
        <w:t>doi</w:t>
      </w:r>
      <w:proofErr w:type="spellEnd"/>
      <w:r w:rsidRPr="00F66C46">
        <w:rPr>
          <w:rFonts w:eastAsiaTheme="minorEastAsia" w:cstheme="minorHAnsi"/>
          <w:color w:val="000000" w:themeColor="text1"/>
        </w:rPr>
        <w:t>: 10.1016/j.drugpo.2008.09.008.</w:t>
      </w:r>
    </w:p>
    <w:p w14:paraId="3ED4DD70"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Department of Health (Alcohol and Drug Abuse Division). (2013). </w:t>
      </w:r>
      <w:r w:rsidRPr="00F66C46">
        <w:rPr>
          <w:rFonts w:eastAsiaTheme="minorEastAsia" w:cstheme="minorHAnsi"/>
          <w:i/>
          <w:iCs/>
          <w:color w:val="000000" w:themeColor="text1"/>
        </w:rPr>
        <w:t>Twelve core functions of the alcohol and other drug abuse counselor. Honolulu, Hawaii: DOH</w:t>
      </w:r>
      <w:r w:rsidRPr="00F66C46">
        <w:rPr>
          <w:rFonts w:eastAsiaTheme="minorEastAsia" w:cstheme="minorHAnsi"/>
          <w:color w:val="000000" w:themeColor="text1"/>
        </w:rPr>
        <w:t xml:space="preserve">. Retrieved from:  http://health.hawaii.gov/substance-abuse/files/2013/05/csac-corefunctions1.pdf </w:t>
      </w:r>
    </w:p>
    <w:p w14:paraId="073FE337"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Ditre, J. W., &amp; </w:t>
      </w:r>
      <w:proofErr w:type="spellStart"/>
      <w:r w:rsidRPr="00F66C46">
        <w:rPr>
          <w:rFonts w:eastAsiaTheme="minorEastAsia" w:cstheme="minorHAnsi"/>
          <w:color w:val="000000" w:themeColor="text1"/>
        </w:rPr>
        <w:t>Radnitz</w:t>
      </w:r>
      <w:proofErr w:type="spellEnd"/>
      <w:r w:rsidRPr="00F66C46">
        <w:rPr>
          <w:rFonts w:eastAsiaTheme="minorEastAsia" w:cstheme="minorHAnsi"/>
          <w:color w:val="000000" w:themeColor="text1"/>
        </w:rPr>
        <w:t xml:space="preserve">, C. L. (2005). Pre- and postinjury substance misuse among veterans with spinal cord injury. </w:t>
      </w:r>
      <w:r w:rsidRPr="00F66C46">
        <w:rPr>
          <w:rFonts w:eastAsiaTheme="minorEastAsia" w:cstheme="minorHAnsi"/>
          <w:i/>
          <w:iCs/>
          <w:color w:val="000000" w:themeColor="text1"/>
        </w:rPr>
        <w:t>Rehabilitation Psychology, 50</w:t>
      </w:r>
      <w:r w:rsidRPr="00F66C46">
        <w:rPr>
          <w:rFonts w:eastAsiaTheme="minorEastAsia" w:cstheme="minorHAnsi"/>
          <w:color w:val="000000" w:themeColor="text1"/>
        </w:rPr>
        <w:t>(2), 142-148. doi:10.1037/0090-5550.50.2.142</w:t>
      </w:r>
    </w:p>
    <w:p w14:paraId="38FC5A12"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Donnell, C. M., Mizelle, N. D., &amp; Yan, Z. (2009). Consumers of vocational rehabilitation services diagnosed with </w:t>
      </w:r>
      <w:proofErr w:type="gramStart"/>
      <w:r w:rsidRPr="00F66C46">
        <w:rPr>
          <w:rFonts w:eastAsiaTheme="minorEastAsia" w:cstheme="minorHAnsi"/>
          <w:color w:val="000000" w:themeColor="text1"/>
        </w:rPr>
        <w:t>psychiatric</w:t>
      </w:r>
      <w:proofErr w:type="gramEnd"/>
      <w:r w:rsidRPr="00F66C46">
        <w:rPr>
          <w:rFonts w:eastAsiaTheme="minorEastAsia" w:cstheme="minorHAnsi"/>
          <w:color w:val="000000" w:themeColor="text1"/>
        </w:rPr>
        <w:t xml:space="preserve"> and substance use disorders. </w:t>
      </w:r>
      <w:r w:rsidRPr="00F66C46">
        <w:rPr>
          <w:rFonts w:eastAsiaTheme="minorEastAsia" w:cstheme="minorHAnsi"/>
          <w:i/>
          <w:iCs/>
          <w:color w:val="000000" w:themeColor="text1"/>
        </w:rPr>
        <w:t>Journal of Rehabilitation, 75</w:t>
      </w:r>
      <w:r w:rsidRPr="00F66C46">
        <w:rPr>
          <w:rFonts w:eastAsiaTheme="minorEastAsia" w:cstheme="minorHAnsi"/>
          <w:color w:val="000000" w:themeColor="text1"/>
        </w:rPr>
        <w:t>(3), 41-49.</w:t>
      </w:r>
    </w:p>
    <w:p w14:paraId="44183B02"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Higgins, K., McCrystal, P., &amp; Percy, A. (2007). Substance use behaviors of young people with a moderate learning disability: A longitudinal analysis. </w:t>
      </w:r>
      <w:r w:rsidRPr="00F66C46">
        <w:rPr>
          <w:rFonts w:eastAsiaTheme="minorEastAsia" w:cstheme="minorHAnsi"/>
          <w:i/>
          <w:iCs/>
          <w:color w:val="000000" w:themeColor="text1"/>
        </w:rPr>
        <w:t>American Journal of Drug and Alcohol Abuse, 33</w:t>
      </w:r>
      <w:r w:rsidRPr="00F66C46">
        <w:rPr>
          <w:rFonts w:eastAsiaTheme="minorEastAsia" w:cstheme="minorHAnsi"/>
          <w:color w:val="000000" w:themeColor="text1"/>
        </w:rPr>
        <w:t xml:space="preserve">, 155-161. </w:t>
      </w:r>
      <w:proofErr w:type="spellStart"/>
      <w:r w:rsidRPr="00F66C46">
        <w:rPr>
          <w:rFonts w:eastAsiaTheme="minorEastAsia" w:cstheme="minorHAnsi"/>
          <w:color w:val="000000" w:themeColor="text1"/>
        </w:rPr>
        <w:t>doi</w:t>
      </w:r>
      <w:proofErr w:type="spellEnd"/>
      <w:r w:rsidRPr="00F66C46">
        <w:rPr>
          <w:rFonts w:eastAsiaTheme="minorEastAsia" w:cstheme="minorHAnsi"/>
          <w:color w:val="000000" w:themeColor="text1"/>
        </w:rPr>
        <w:t>: 10.1080/00952990601091143</w:t>
      </w:r>
    </w:p>
    <w:p w14:paraId="709C86BA"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Janikowski, T. P., Lawrence, J. C., &amp; Donnelly, J. P. (2007). The functional limitations of clients with coexisting disabilities. </w:t>
      </w:r>
      <w:r w:rsidRPr="00F66C46">
        <w:rPr>
          <w:rFonts w:eastAsiaTheme="minorEastAsia" w:cstheme="minorHAnsi"/>
          <w:i/>
          <w:iCs/>
          <w:color w:val="000000" w:themeColor="text1"/>
        </w:rPr>
        <w:t>Journal of Rehabilitation, 73</w:t>
      </w:r>
      <w:r w:rsidRPr="00F66C46">
        <w:rPr>
          <w:rFonts w:eastAsiaTheme="minorEastAsia" w:cstheme="minorHAnsi"/>
          <w:color w:val="000000" w:themeColor="text1"/>
        </w:rPr>
        <w:t>(4), 15-22.</w:t>
      </w:r>
    </w:p>
    <w:p w14:paraId="3FE986F4"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Krahn, G., Farrell, N., Gabriel, R., Deck, D. (2006). Access barriers to substance abuse treatment for persons with disabilities: An exploratory study. </w:t>
      </w:r>
      <w:r w:rsidRPr="00F66C46">
        <w:rPr>
          <w:rFonts w:eastAsiaTheme="minorEastAsia" w:cstheme="minorHAnsi"/>
          <w:i/>
          <w:iCs/>
          <w:color w:val="000000" w:themeColor="text1"/>
        </w:rPr>
        <w:t>Journal of Substance Abuse Treatment, 31,</w:t>
      </w:r>
      <w:r w:rsidRPr="00F66C46">
        <w:rPr>
          <w:rFonts w:eastAsiaTheme="minorEastAsia" w:cstheme="minorHAnsi"/>
          <w:color w:val="000000" w:themeColor="text1"/>
        </w:rPr>
        <w:t xml:space="preserve"> 375-384.</w:t>
      </w:r>
    </w:p>
    <w:p w14:paraId="7CEB225E"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Koch, D. S., </w:t>
      </w:r>
      <w:proofErr w:type="spellStart"/>
      <w:r w:rsidRPr="00F66C46">
        <w:rPr>
          <w:rFonts w:eastAsiaTheme="minorEastAsia" w:cstheme="minorHAnsi"/>
          <w:color w:val="000000" w:themeColor="text1"/>
        </w:rPr>
        <w:t>Nelipovich</w:t>
      </w:r>
      <w:proofErr w:type="spellEnd"/>
      <w:r w:rsidRPr="00F66C46">
        <w:rPr>
          <w:rFonts w:eastAsiaTheme="minorEastAsia" w:cstheme="minorHAnsi"/>
          <w:color w:val="000000" w:themeColor="text1"/>
        </w:rPr>
        <w:t xml:space="preserve">, M., &amp; Sneed, Z. (2002). Alcohol and other drug abuse as coexisting disabilities: Considerations for counselors serving individuals who are blind or visually impaired. </w:t>
      </w:r>
      <w:proofErr w:type="spellStart"/>
      <w:proofErr w:type="gramStart"/>
      <w:r w:rsidRPr="00F66C46">
        <w:rPr>
          <w:rFonts w:eastAsiaTheme="minorEastAsia" w:cstheme="minorHAnsi"/>
          <w:i/>
          <w:iCs/>
          <w:color w:val="000000" w:themeColor="text1"/>
        </w:rPr>
        <w:t>Re:View</w:t>
      </w:r>
      <w:proofErr w:type="spellEnd"/>
      <w:proofErr w:type="gramEnd"/>
      <w:r w:rsidRPr="00F66C46">
        <w:rPr>
          <w:rFonts w:eastAsiaTheme="minorEastAsia" w:cstheme="minorHAnsi"/>
          <w:i/>
          <w:iCs/>
          <w:color w:val="000000" w:themeColor="text1"/>
        </w:rPr>
        <w:t>, 33</w:t>
      </w:r>
      <w:r w:rsidRPr="00F66C46">
        <w:rPr>
          <w:rFonts w:eastAsiaTheme="minorEastAsia" w:cstheme="minorHAnsi"/>
          <w:color w:val="000000" w:themeColor="text1"/>
        </w:rPr>
        <w:t>(4), 151-159.</w:t>
      </w:r>
    </w:p>
    <w:p w14:paraId="63926748"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Moore, D., &amp; Li, L (1998). Prevalence and risk factors of illicit drug use by people with disabilities. American </w:t>
      </w:r>
      <w:r w:rsidRPr="00F66C46">
        <w:rPr>
          <w:rFonts w:eastAsiaTheme="minorEastAsia" w:cstheme="minorHAnsi"/>
          <w:i/>
          <w:iCs/>
          <w:color w:val="000000" w:themeColor="text1"/>
        </w:rPr>
        <w:t>Journal on Addictions, 7</w:t>
      </w:r>
      <w:r w:rsidRPr="00F66C46">
        <w:rPr>
          <w:rFonts w:eastAsiaTheme="minorEastAsia" w:cstheme="minorHAnsi"/>
          <w:color w:val="000000" w:themeColor="text1"/>
        </w:rPr>
        <w:t>(2). 93-102</w:t>
      </w:r>
    </w:p>
    <w:p w14:paraId="02912E2B" w14:textId="77777777" w:rsidR="001E7F6C" w:rsidRPr="00F66C46" w:rsidRDefault="001E7F6C" w:rsidP="001E7F6C">
      <w:pPr>
        <w:spacing w:after="0" w:line="240" w:lineRule="auto"/>
        <w:ind w:left="720" w:hanging="720"/>
        <w:rPr>
          <w:rFonts w:eastAsiaTheme="minorEastAsia" w:cstheme="minorHAnsi"/>
          <w:color w:val="000000" w:themeColor="text1"/>
        </w:rPr>
      </w:pPr>
      <w:proofErr w:type="spellStart"/>
      <w:r w:rsidRPr="00F66C46">
        <w:rPr>
          <w:rFonts w:eastAsiaTheme="minorEastAsia" w:cstheme="minorHAnsi"/>
          <w:color w:val="000000" w:themeColor="text1"/>
        </w:rPr>
        <w:t>Sizoo</w:t>
      </w:r>
      <w:proofErr w:type="spellEnd"/>
      <w:r w:rsidRPr="00F66C46">
        <w:rPr>
          <w:rFonts w:eastAsiaTheme="minorEastAsia" w:cstheme="minorHAnsi"/>
          <w:color w:val="000000" w:themeColor="text1"/>
        </w:rPr>
        <w:t xml:space="preserve">, B., van den Brink, W., </w:t>
      </w:r>
      <w:proofErr w:type="spellStart"/>
      <w:r w:rsidRPr="00F66C46">
        <w:rPr>
          <w:rFonts w:eastAsiaTheme="minorEastAsia" w:cstheme="minorHAnsi"/>
          <w:color w:val="000000" w:themeColor="text1"/>
        </w:rPr>
        <w:t>Koeter</w:t>
      </w:r>
      <w:proofErr w:type="spellEnd"/>
      <w:r w:rsidRPr="00F66C46">
        <w:rPr>
          <w:rFonts w:eastAsiaTheme="minorEastAsia" w:cstheme="minorHAnsi"/>
          <w:color w:val="000000" w:themeColor="text1"/>
        </w:rPr>
        <w:t xml:space="preserve">, M., van </w:t>
      </w:r>
      <w:proofErr w:type="spellStart"/>
      <w:r w:rsidRPr="00F66C46">
        <w:rPr>
          <w:rFonts w:eastAsiaTheme="minorEastAsia" w:cstheme="minorHAnsi"/>
          <w:color w:val="000000" w:themeColor="text1"/>
        </w:rPr>
        <w:t>Eenige</w:t>
      </w:r>
      <w:proofErr w:type="spellEnd"/>
      <w:r w:rsidRPr="00F66C46">
        <w:rPr>
          <w:rFonts w:eastAsiaTheme="minorEastAsia" w:cstheme="minorHAnsi"/>
          <w:color w:val="000000" w:themeColor="text1"/>
        </w:rPr>
        <w:t xml:space="preserve">, M. G, van Wijngaarden-Cremers, P., &amp; van der Gaag, R. J. (2010). Treatment seeking adults with autism or ADHD and co-morbid </w:t>
      </w:r>
      <w:proofErr w:type="gramStart"/>
      <w:r w:rsidRPr="00F66C46">
        <w:rPr>
          <w:rFonts w:eastAsiaTheme="minorEastAsia" w:cstheme="minorHAnsi"/>
          <w:color w:val="000000" w:themeColor="text1"/>
        </w:rPr>
        <w:t>Substance Use Disorder</w:t>
      </w:r>
      <w:proofErr w:type="gramEnd"/>
      <w:r w:rsidRPr="00F66C46">
        <w:rPr>
          <w:rFonts w:eastAsiaTheme="minorEastAsia" w:cstheme="minorHAnsi"/>
          <w:color w:val="000000" w:themeColor="text1"/>
        </w:rPr>
        <w:t xml:space="preserve">:  Prevalence, risk factors and functional disability.  </w:t>
      </w:r>
      <w:r w:rsidRPr="00F66C46">
        <w:rPr>
          <w:rFonts w:eastAsiaTheme="minorEastAsia" w:cstheme="minorHAnsi"/>
          <w:i/>
          <w:iCs/>
          <w:color w:val="000000" w:themeColor="text1"/>
        </w:rPr>
        <w:t>Drug and Alcohol Dependence, 107</w:t>
      </w:r>
      <w:r w:rsidRPr="00F66C46">
        <w:rPr>
          <w:rFonts w:eastAsiaTheme="minorEastAsia" w:cstheme="minorHAnsi"/>
          <w:color w:val="000000" w:themeColor="text1"/>
        </w:rPr>
        <w:t>, 44-50.</w:t>
      </w:r>
    </w:p>
    <w:p w14:paraId="16A4E883"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Slayter, E. M. (2010). Disparities in access to substance abuse treatment among people with intellectual disabilities and serious mental illness. </w:t>
      </w:r>
      <w:r w:rsidRPr="00F66C46">
        <w:rPr>
          <w:rFonts w:eastAsiaTheme="minorEastAsia" w:cstheme="minorHAnsi"/>
          <w:i/>
          <w:iCs/>
          <w:color w:val="000000" w:themeColor="text1"/>
        </w:rPr>
        <w:t>Health &amp; Social Work, 35</w:t>
      </w:r>
      <w:r w:rsidRPr="00F66C46">
        <w:rPr>
          <w:rFonts w:eastAsiaTheme="minorEastAsia" w:cstheme="minorHAnsi"/>
          <w:color w:val="000000" w:themeColor="text1"/>
        </w:rPr>
        <w:t>(1), 49-59.</w:t>
      </w:r>
    </w:p>
    <w:p w14:paraId="4F78A89B"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Smart, J. F., &amp; Smart, D. W. (2006). Models of Disability:  Implications for the counseling profession.  </w:t>
      </w:r>
      <w:r w:rsidRPr="00F66C46">
        <w:rPr>
          <w:rFonts w:eastAsiaTheme="minorEastAsia" w:cstheme="minorHAnsi"/>
          <w:i/>
          <w:iCs/>
          <w:color w:val="000000" w:themeColor="text1"/>
        </w:rPr>
        <w:t>Journal of Counseling &amp; Development, 84,</w:t>
      </w:r>
      <w:r w:rsidRPr="00F66C46">
        <w:rPr>
          <w:rFonts w:eastAsiaTheme="minorEastAsia" w:cstheme="minorHAnsi"/>
          <w:color w:val="000000" w:themeColor="text1"/>
        </w:rPr>
        <w:t xml:space="preserve"> 29-40.</w:t>
      </w:r>
    </w:p>
    <w:p w14:paraId="62E929EF"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Substance Abuse and Mental Health Services Administration (SAMHSA).  (2008).  </w:t>
      </w:r>
      <w:r w:rsidRPr="00F66C46">
        <w:rPr>
          <w:rFonts w:eastAsiaTheme="minorEastAsia" w:cstheme="minorHAnsi"/>
          <w:i/>
          <w:iCs/>
          <w:color w:val="000000" w:themeColor="text1"/>
        </w:rPr>
        <w:t>Treatment improvement protocol (TIP) series: Substance Use Disorder Treatment for People with Physical and Cognitive Disabilities</w:t>
      </w:r>
      <w:r w:rsidRPr="00F66C46">
        <w:rPr>
          <w:rFonts w:eastAsiaTheme="minorEastAsia" w:cstheme="minorHAnsi"/>
          <w:color w:val="000000" w:themeColor="text1"/>
        </w:rPr>
        <w:t>.  Publication No. 29. Rockville, MD: SAMHSA.</w:t>
      </w:r>
    </w:p>
    <w:p w14:paraId="25FA97AF"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Taggart, L., </w:t>
      </w:r>
      <w:proofErr w:type="spellStart"/>
      <w:r w:rsidRPr="00F66C46">
        <w:rPr>
          <w:rFonts w:eastAsiaTheme="minorEastAsia" w:cstheme="minorHAnsi"/>
          <w:color w:val="000000" w:themeColor="text1"/>
        </w:rPr>
        <w:t>McLaughln</w:t>
      </w:r>
      <w:proofErr w:type="spellEnd"/>
      <w:r w:rsidRPr="00F66C46">
        <w:rPr>
          <w:rFonts w:eastAsiaTheme="minorEastAsia" w:cstheme="minorHAnsi"/>
          <w:color w:val="000000" w:themeColor="text1"/>
        </w:rPr>
        <w:t xml:space="preserve">, D., McFarlane, C. (2007) Listening to people with intellectual disabilities who misuse alcohol and drugs. </w:t>
      </w:r>
      <w:r w:rsidRPr="00F66C46">
        <w:rPr>
          <w:rFonts w:eastAsiaTheme="minorEastAsia" w:cstheme="minorHAnsi"/>
          <w:i/>
          <w:iCs/>
          <w:color w:val="000000" w:themeColor="text1"/>
        </w:rPr>
        <w:t>Health and Social Care in the Community, 15</w:t>
      </w:r>
      <w:r w:rsidRPr="00F66C46">
        <w:rPr>
          <w:rFonts w:eastAsiaTheme="minorEastAsia" w:cstheme="minorHAnsi"/>
          <w:color w:val="000000" w:themeColor="text1"/>
        </w:rPr>
        <w:t xml:space="preserve">(4), 360-368. </w:t>
      </w:r>
      <w:proofErr w:type="spellStart"/>
      <w:r w:rsidRPr="00F66C46">
        <w:rPr>
          <w:rFonts w:eastAsiaTheme="minorEastAsia" w:cstheme="minorHAnsi"/>
          <w:color w:val="000000" w:themeColor="text1"/>
        </w:rPr>
        <w:t>doi</w:t>
      </w:r>
      <w:proofErr w:type="spellEnd"/>
      <w:r w:rsidRPr="00F66C46">
        <w:rPr>
          <w:rFonts w:eastAsiaTheme="minorEastAsia" w:cstheme="minorHAnsi"/>
          <w:color w:val="000000" w:themeColor="text1"/>
        </w:rPr>
        <w:t>: 10.1111/j.1365-2524.</w:t>
      </w:r>
      <w:proofErr w:type="gramStart"/>
      <w:r w:rsidRPr="00F66C46">
        <w:rPr>
          <w:rFonts w:eastAsiaTheme="minorEastAsia" w:cstheme="minorHAnsi"/>
          <w:color w:val="000000" w:themeColor="text1"/>
        </w:rPr>
        <w:t>2007.00691.x</w:t>
      </w:r>
      <w:proofErr w:type="gramEnd"/>
    </w:p>
    <w:p w14:paraId="1999D098"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Taylor, L. A., Kreutzer, J. S., </w:t>
      </w:r>
      <w:proofErr w:type="spellStart"/>
      <w:r w:rsidRPr="00F66C46">
        <w:rPr>
          <w:rFonts w:eastAsiaTheme="minorEastAsia" w:cstheme="minorHAnsi"/>
          <w:color w:val="000000" w:themeColor="text1"/>
        </w:rPr>
        <w:t>Demm</w:t>
      </w:r>
      <w:proofErr w:type="spellEnd"/>
      <w:r w:rsidRPr="00F66C46">
        <w:rPr>
          <w:rFonts w:eastAsiaTheme="minorEastAsia" w:cstheme="minorHAnsi"/>
          <w:color w:val="000000" w:themeColor="text1"/>
        </w:rPr>
        <w:t xml:space="preserve">, S. R., &amp; Meade, M. A. (2003). Traumatic brain injury and substance abuse: A review and analysis of the literature. </w:t>
      </w:r>
      <w:r w:rsidRPr="00F66C46">
        <w:rPr>
          <w:rFonts w:eastAsiaTheme="minorEastAsia" w:cstheme="minorHAnsi"/>
          <w:i/>
          <w:iCs/>
          <w:color w:val="000000" w:themeColor="text1"/>
        </w:rPr>
        <w:t>Neuropsychological Rehabilitation, 13</w:t>
      </w:r>
      <w:r w:rsidRPr="00F66C46">
        <w:rPr>
          <w:rFonts w:eastAsiaTheme="minorEastAsia" w:cstheme="minorHAnsi"/>
          <w:color w:val="000000" w:themeColor="text1"/>
        </w:rPr>
        <w:t>(1/2), 165-188.</w:t>
      </w:r>
    </w:p>
    <w:p w14:paraId="3CE41DA7"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Titus, J. C., &amp; Guthmann, D. (2010). Addressing the black hole in substance abuse treatment for deaf and hard of hearing individuals: Technology to the rescue. </w:t>
      </w:r>
      <w:r w:rsidRPr="00F66C46">
        <w:rPr>
          <w:rFonts w:eastAsiaTheme="minorEastAsia" w:cstheme="minorHAnsi"/>
          <w:i/>
          <w:iCs/>
          <w:color w:val="000000" w:themeColor="text1"/>
        </w:rPr>
        <w:t>Journal of The American Deafness &amp; Rehabilitation Association (JADARA), 43</w:t>
      </w:r>
      <w:r w:rsidRPr="00F66C46">
        <w:rPr>
          <w:rFonts w:eastAsiaTheme="minorEastAsia" w:cstheme="minorHAnsi"/>
          <w:color w:val="000000" w:themeColor="text1"/>
        </w:rPr>
        <w:t>(2), 92-100.</w:t>
      </w:r>
    </w:p>
    <w:p w14:paraId="16525F9F" w14:textId="77777777" w:rsidR="001E7F6C" w:rsidRPr="00F66C46"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Walls, R. T., Moore, L. C., Batiste, L. C., &amp; Loy, B. (2009). Vocational rehabilitation and job accommodations for individuals with substance abuse disorders. </w:t>
      </w:r>
      <w:r w:rsidRPr="00F66C46">
        <w:rPr>
          <w:rFonts w:eastAsiaTheme="minorEastAsia" w:cstheme="minorHAnsi"/>
          <w:i/>
          <w:iCs/>
          <w:color w:val="000000" w:themeColor="text1"/>
        </w:rPr>
        <w:t>Journal of Rehabilitation, 75</w:t>
      </w:r>
      <w:r w:rsidRPr="00F66C46">
        <w:rPr>
          <w:rFonts w:eastAsiaTheme="minorEastAsia" w:cstheme="minorHAnsi"/>
          <w:color w:val="000000" w:themeColor="text1"/>
        </w:rPr>
        <w:t>(4), 25-44.</w:t>
      </w:r>
    </w:p>
    <w:p w14:paraId="712B02F7" w14:textId="77777777" w:rsidR="001E7F6C" w:rsidRDefault="001E7F6C" w:rsidP="001E7F6C">
      <w:pPr>
        <w:spacing w:after="0" w:line="240" w:lineRule="auto"/>
        <w:ind w:left="720" w:hanging="720"/>
        <w:rPr>
          <w:rFonts w:eastAsiaTheme="minorEastAsia" w:cstheme="minorHAnsi"/>
          <w:color w:val="000000" w:themeColor="text1"/>
        </w:rPr>
      </w:pPr>
      <w:r w:rsidRPr="00F66C46">
        <w:rPr>
          <w:rFonts w:eastAsiaTheme="minorEastAsia" w:cstheme="minorHAnsi"/>
          <w:color w:val="000000" w:themeColor="text1"/>
        </w:rPr>
        <w:t xml:space="preserve">West, S. (2008). The utilization of vocational rehabilitation services in substance abuse treatment facilities in the US. </w:t>
      </w:r>
      <w:r w:rsidRPr="00F66C46">
        <w:rPr>
          <w:rFonts w:eastAsiaTheme="minorEastAsia" w:cstheme="minorHAnsi"/>
          <w:i/>
          <w:iCs/>
          <w:color w:val="000000" w:themeColor="text1"/>
        </w:rPr>
        <w:t>Journal of Vocational Rehabilitation, 29</w:t>
      </w:r>
      <w:r w:rsidRPr="00F66C46">
        <w:rPr>
          <w:rFonts w:eastAsiaTheme="minorEastAsia" w:cstheme="minorHAnsi"/>
          <w:color w:val="000000" w:themeColor="text1"/>
        </w:rPr>
        <w:t>(2), 71-75.</w:t>
      </w:r>
    </w:p>
    <w:p w14:paraId="765B6A55" w14:textId="77777777" w:rsidR="00497CF3" w:rsidRPr="00F66C46" w:rsidRDefault="00497CF3" w:rsidP="001E7F6C">
      <w:pPr>
        <w:spacing w:after="0" w:line="240" w:lineRule="auto"/>
        <w:ind w:left="720" w:hanging="720"/>
        <w:rPr>
          <w:rFonts w:eastAsiaTheme="minorEastAsia" w:cstheme="minorHAnsi"/>
          <w:color w:val="000000" w:themeColor="text1"/>
        </w:rPr>
      </w:pPr>
    </w:p>
    <w:p w14:paraId="1A1DC461" w14:textId="77777777" w:rsidR="001E7F6C" w:rsidRPr="00F66C46" w:rsidRDefault="001E7F6C" w:rsidP="001E7F6C">
      <w:pPr>
        <w:spacing w:after="0" w:line="240" w:lineRule="auto"/>
        <w:rPr>
          <w:rFonts w:eastAsiaTheme="minorEastAsia" w:cstheme="minorHAnsi"/>
          <w:b/>
          <w:bCs/>
          <w:i/>
          <w:iCs/>
          <w:color w:val="000000" w:themeColor="text1"/>
        </w:rPr>
      </w:pPr>
      <w:r w:rsidRPr="00F66C46">
        <w:rPr>
          <w:rFonts w:eastAsiaTheme="minorEastAsia" w:cstheme="minorHAnsi"/>
          <w:b/>
          <w:bCs/>
          <w:i/>
          <w:iCs/>
          <w:color w:val="000000" w:themeColor="text1"/>
        </w:rPr>
        <w:t>Additional readings will be assigned and made available via the Blackboard course website.</w:t>
      </w:r>
    </w:p>
    <w:p w14:paraId="03038074" w14:textId="77777777" w:rsidR="001E7F6C" w:rsidRPr="00F66C46" w:rsidRDefault="001E7F6C" w:rsidP="001E7F6C">
      <w:pPr>
        <w:spacing w:after="0" w:line="240" w:lineRule="auto"/>
        <w:rPr>
          <w:rFonts w:eastAsiaTheme="minorEastAsia" w:cstheme="minorHAnsi"/>
          <w:b/>
          <w:bCs/>
          <w:i/>
          <w:iCs/>
          <w:color w:val="000000" w:themeColor="text1"/>
        </w:rPr>
      </w:pPr>
    </w:p>
    <w:p w14:paraId="5F0B0499" w14:textId="77777777" w:rsidR="001E7F6C" w:rsidRPr="00F66C46" w:rsidRDefault="001E7F6C" w:rsidP="001E7F6C">
      <w:pPr>
        <w:spacing w:after="0" w:line="240" w:lineRule="auto"/>
        <w:rPr>
          <w:rFonts w:cstheme="minorHAnsi"/>
          <w:color w:val="000000" w:themeColor="text1"/>
          <w:sz w:val="26"/>
          <w:szCs w:val="26"/>
          <w:shd w:val="clear" w:color="auto" w:fill="FFFFFF"/>
        </w:rPr>
      </w:pPr>
      <w:r w:rsidRPr="00F66C46">
        <w:rPr>
          <w:rFonts w:cstheme="minorHAnsi"/>
          <w:color w:val="000000" w:themeColor="text1"/>
          <w:sz w:val="26"/>
          <w:szCs w:val="26"/>
          <w:shd w:val="clear" w:color="auto" w:fill="FFFFFF"/>
        </w:rPr>
        <w:lastRenderedPageBreak/>
        <w:t>Technology Requirement</w:t>
      </w:r>
    </w:p>
    <w:p w14:paraId="44BC48C2" w14:textId="77777777" w:rsidR="001E7F6C" w:rsidRPr="00F66C46" w:rsidRDefault="001E7F6C" w:rsidP="001E7F6C">
      <w:pPr>
        <w:spacing w:after="0" w:line="240" w:lineRule="auto"/>
        <w:rPr>
          <w:rFonts w:eastAsiaTheme="minorEastAsia" w:cstheme="minorHAnsi"/>
          <w:b/>
          <w:bCs/>
          <w:i/>
          <w:iCs/>
          <w:color w:val="000000" w:themeColor="text1"/>
        </w:rPr>
      </w:pPr>
    </w:p>
    <w:p w14:paraId="064018E4" w14:textId="77777777" w:rsidR="001E7F6C" w:rsidRPr="00F66C46" w:rsidRDefault="001E7F6C" w:rsidP="001E7F6C">
      <w:pPr>
        <w:pStyle w:val="ListParagraph"/>
        <w:numPr>
          <w:ilvl w:val="0"/>
          <w:numId w:val="1"/>
        </w:numPr>
        <w:spacing w:after="0" w:line="240" w:lineRule="auto"/>
        <w:rPr>
          <w:rFonts w:eastAsia="Arial" w:cstheme="minorHAnsi"/>
          <w:color w:val="000000" w:themeColor="text1"/>
        </w:rPr>
      </w:pPr>
      <w:r w:rsidRPr="00F66C46">
        <w:rPr>
          <w:rFonts w:eastAsiaTheme="minorEastAsia" w:cstheme="minorHAnsi"/>
          <w:color w:val="000000" w:themeColor="text1"/>
        </w:rPr>
        <w:t xml:space="preserve">Technology requirements for courses with digital materials: This course has digital components.  To fully participate in this class, students will need internet access to reference content on the Canvas Learning Management System. For online meetings, you will need zoom access, webcam, and microphone access. If circumstances change, you will be informed of other technical needs to access course content.  Information on how to be successful in a digital learning environment can be found at </w:t>
      </w:r>
      <w:hyperlink r:id="rId8" w:history="1">
        <w:r w:rsidRPr="000005D7">
          <w:rPr>
            <w:rStyle w:val="Hyperlink"/>
            <w:rFonts w:eastAsiaTheme="minorEastAsia" w:cstheme="minorHAnsi"/>
            <w:color w:val="2F5496" w:themeColor="accent1" w:themeShade="BF"/>
          </w:rPr>
          <w:t>Learn Anywhere</w:t>
        </w:r>
      </w:hyperlink>
      <w:r w:rsidRPr="000005D7">
        <w:rPr>
          <w:rFonts w:eastAsiaTheme="minorEastAsia" w:cstheme="minorHAnsi"/>
          <w:color w:val="2F5496" w:themeColor="accent1" w:themeShade="BF"/>
        </w:rPr>
        <w:t xml:space="preserve"> </w:t>
      </w:r>
      <w:r w:rsidRPr="00F66C46">
        <w:rPr>
          <w:rFonts w:eastAsiaTheme="minorEastAsia" w:cstheme="minorHAnsi"/>
          <w:color w:val="000000" w:themeColor="text1"/>
        </w:rPr>
        <w:t>(</w:t>
      </w:r>
      <w:r w:rsidRPr="000005D7">
        <w:rPr>
          <w:rFonts w:eastAsiaTheme="minorEastAsia" w:cstheme="minorHAnsi"/>
          <w:color w:val="2F5496" w:themeColor="accent1" w:themeShade="BF"/>
        </w:rPr>
        <w:t>https://online.unt.edu/learn</w:t>
      </w:r>
      <w:r w:rsidRPr="00F66C46">
        <w:rPr>
          <w:rFonts w:eastAsiaTheme="minorEastAsia" w:cstheme="minorHAnsi"/>
          <w:color w:val="000000" w:themeColor="text1"/>
        </w:rPr>
        <w:t xml:space="preserve">). </w:t>
      </w:r>
    </w:p>
    <w:p w14:paraId="64079135" w14:textId="77777777" w:rsidR="001E7F6C" w:rsidRPr="00F66C46" w:rsidRDefault="001E7F6C" w:rsidP="001E7F6C">
      <w:pPr>
        <w:spacing w:after="0" w:line="240" w:lineRule="auto"/>
        <w:ind w:left="1008"/>
        <w:rPr>
          <w:rFonts w:eastAsiaTheme="minorEastAsia" w:cstheme="minorHAnsi"/>
          <w:color w:val="000000" w:themeColor="text1"/>
        </w:rPr>
      </w:pPr>
    </w:p>
    <w:p w14:paraId="115A88CE" w14:textId="77777777" w:rsidR="001E7F6C" w:rsidRPr="00F66C46" w:rsidRDefault="001E7F6C" w:rsidP="001E7F6C">
      <w:pPr>
        <w:pStyle w:val="Heading2"/>
        <w:rPr>
          <w:rFonts w:cstheme="minorHAnsi"/>
          <w:color w:val="000000" w:themeColor="text1"/>
        </w:rPr>
      </w:pPr>
      <w:r w:rsidRPr="00F66C46">
        <w:rPr>
          <w:rFonts w:cstheme="minorHAnsi"/>
          <w:color w:val="000000" w:themeColor="text1"/>
        </w:rPr>
        <w:t xml:space="preserve">How to Succeed in this Course </w:t>
      </w:r>
    </w:p>
    <w:p w14:paraId="593F058D" w14:textId="77777777" w:rsidR="001E7F6C" w:rsidRPr="00F66C46" w:rsidRDefault="001E7F6C" w:rsidP="001E7F6C">
      <w:pPr>
        <w:pStyle w:val="ListParagraph"/>
        <w:numPr>
          <w:ilvl w:val="0"/>
          <w:numId w:val="4"/>
        </w:numPr>
        <w:spacing w:after="0" w:line="240" w:lineRule="auto"/>
        <w:ind w:left="360"/>
        <w:rPr>
          <w:rFonts w:eastAsiaTheme="minorEastAsia" w:cstheme="minorHAnsi"/>
          <w:color w:val="000000" w:themeColor="text1"/>
        </w:rPr>
      </w:pPr>
      <w:r w:rsidRPr="00F66C46">
        <w:rPr>
          <w:rFonts w:eastAsiaTheme="minorEastAsia" w:cstheme="minorHAnsi"/>
          <w:color w:val="000000" w:themeColor="text1"/>
        </w:rPr>
        <w:t>While I want to make myself as available as possible to each of you, I do have to place some limitations on when I can be contacted. I prefer to be contacted within office hours (9 am to 5 pm), Monday through Friday. I also reply to emails during weekends; however, if it is some emergency consultation that you need for an upcoming paper or other issues, then mention the word "Important" in the subject area during weekends. Other than that, all general emails received during weekends will be answered on Monday.  </w:t>
      </w:r>
    </w:p>
    <w:p w14:paraId="61C4CD55" w14:textId="2AB756DF" w:rsidR="001E7F6C" w:rsidRPr="00931268" w:rsidRDefault="001E7F6C" w:rsidP="001E7F6C">
      <w:pPr>
        <w:pStyle w:val="ListParagraph"/>
        <w:numPr>
          <w:ilvl w:val="0"/>
          <w:numId w:val="4"/>
        </w:numPr>
        <w:spacing w:after="0" w:line="240" w:lineRule="auto"/>
        <w:rPr>
          <w:rFonts w:cstheme="minorHAnsi"/>
          <w:b/>
          <w:bCs/>
          <w:color w:val="000000" w:themeColor="text1"/>
        </w:rPr>
      </w:pPr>
      <w:r w:rsidRPr="00F66C46">
        <w:rPr>
          <w:rFonts w:eastAsiaTheme="minorEastAsia" w:cstheme="minorHAnsi"/>
          <w:color w:val="000000" w:themeColor="text1"/>
        </w:rPr>
        <w:t xml:space="preserve">During busy times, my inbox becomes rather full, so if you contact me and do not receive a response within two business days, please send a follow up email. A gentle nudge is always appreciated. </w:t>
      </w:r>
      <w:r w:rsidR="00931268" w:rsidRPr="00931268">
        <w:rPr>
          <w:rFonts w:eastAsiaTheme="minorEastAsia" w:cstheme="minorHAnsi"/>
          <w:b/>
          <w:bCs/>
          <w:color w:val="000000" w:themeColor="text1"/>
        </w:rPr>
        <w:t>Please include ADDS 4275 in the subject area of the email.</w:t>
      </w:r>
    </w:p>
    <w:p w14:paraId="56063149" w14:textId="77777777" w:rsidR="001E7F6C" w:rsidRPr="00F66C46" w:rsidRDefault="001E7F6C" w:rsidP="001E7F6C">
      <w:pPr>
        <w:spacing w:after="0" w:line="240" w:lineRule="auto"/>
        <w:rPr>
          <w:rFonts w:eastAsiaTheme="minorEastAsia" w:cstheme="minorHAnsi"/>
          <w:color w:val="000000" w:themeColor="text1"/>
        </w:rPr>
      </w:pPr>
    </w:p>
    <w:p w14:paraId="469D9D94" w14:textId="77777777" w:rsidR="001E7F6C" w:rsidRPr="00F66C46" w:rsidRDefault="001E7F6C" w:rsidP="001E7F6C">
      <w:pPr>
        <w:pStyle w:val="ListParagraph"/>
        <w:numPr>
          <w:ilvl w:val="0"/>
          <w:numId w:val="4"/>
        </w:numPr>
        <w:spacing w:after="0" w:line="240" w:lineRule="auto"/>
        <w:ind w:left="360"/>
        <w:rPr>
          <w:rFonts w:eastAsiaTheme="minorEastAsia" w:cstheme="minorHAnsi"/>
          <w:color w:val="000000" w:themeColor="text1"/>
        </w:rPr>
      </w:pPr>
      <w:r w:rsidRPr="00F66C46">
        <w:rPr>
          <w:rFonts w:eastAsiaTheme="minorEastAsia" w:cstheme="minorHAnsi"/>
          <w:color w:val="000000" w:themeColor="text1"/>
        </w:rPr>
        <w:t>If you have a private question, please contact me via email and I will respond within 24 hours on weekdays (usually sooner). Please do not expect a response over the weekend. Please use my phone number as a last resort - but, also, please use it if you need to!</w:t>
      </w:r>
    </w:p>
    <w:p w14:paraId="27B30B5D" w14:textId="77777777" w:rsidR="001E7F6C" w:rsidRPr="00F66C46" w:rsidRDefault="001E7F6C" w:rsidP="001E7F6C">
      <w:pPr>
        <w:spacing w:after="0" w:line="240" w:lineRule="auto"/>
        <w:rPr>
          <w:rFonts w:eastAsiaTheme="minorEastAsia" w:cstheme="minorHAnsi"/>
          <w:color w:val="000000" w:themeColor="text1"/>
        </w:rPr>
      </w:pPr>
    </w:p>
    <w:p w14:paraId="1AC7A509" w14:textId="77777777" w:rsidR="001E7F6C" w:rsidRPr="00F66C46" w:rsidRDefault="001E7F6C" w:rsidP="001E7F6C">
      <w:pPr>
        <w:pStyle w:val="ListParagraph"/>
        <w:numPr>
          <w:ilvl w:val="0"/>
          <w:numId w:val="4"/>
        </w:numPr>
        <w:spacing w:after="0" w:line="240" w:lineRule="auto"/>
        <w:ind w:left="360"/>
        <w:rPr>
          <w:rFonts w:eastAsiaTheme="minorEastAsia" w:cstheme="minorHAnsi"/>
          <w:color w:val="000000" w:themeColor="text1"/>
        </w:rPr>
      </w:pPr>
      <w:r w:rsidRPr="00F66C46">
        <w:rPr>
          <w:rFonts w:eastAsiaTheme="minorEastAsia" w:cstheme="minorHAnsi"/>
          <w:color w:val="000000" w:themeColor="text1"/>
        </w:rPr>
        <w:t>Normally, you will receive feedback on all written assignments within 10 days of the due date. However, if I see that I will be unable to return your feedback that quickly I will post an Announcement to let everyone know when it can be expected. You can expect to see me participate in the discussion board after all student original posts have been posted - usually on the Friday of the first week of the module.</w:t>
      </w:r>
    </w:p>
    <w:p w14:paraId="27D7380F" w14:textId="77777777" w:rsidR="001E7F6C" w:rsidRPr="00F66C46" w:rsidRDefault="001E7F6C" w:rsidP="001E7F6C">
      <w:pPr>
        <w:spacing w:after="0" w:line="240" w:lineRule="auto"/>
        <w:rPr>
          <w:rFonts w:eastAsiaTheme="minorEastAsia" w:cstheme="minorHAnsi"/>
          <w:color w:val="000000" w:themeColor="text1"/>
        </w:rPr>
      </w:pPr>
    </w:p>
    <w:p w14:paraId="068E4ED3" w14:textId="77777777" w:rsidR="001E7F6C" w:rsidRPr="00F66C46" w:rsidRDefault="001E7F6C" w:rsidP="001E7F6C">
      <w:pPr>
        <w:pStyle w:val="Heading2"/>
        <w:rPr>
          <w:rFonts w:cstheme="minorHAnsi"/>
          <w:color w:val="000000" w:themeColor="text1"/>
        </w:rPr>
      </w:pPr>
      <w:r w:rsidRPr="00F66C46">
        <w:rPr>
          <w:rFonts w:cstheme="minorHAnsi"/>
          <w:color w:val="000000" w:themeColor="text1"/>
        </w:rPr>
        <w:t xml:space="preserve">Supporting Your Success and Creating an Inclusive Learning Environment  </w:t>
      </w:r>
    </w:p>
    <w:p w14:paraId="71C444BD" w14:textId="77777777" w:rsidR="002017CD" w:rsidRDefault="001E7F6C" w:rsidP="002017CD">
      <w:pPr>
        <w:spacing w:after="0" w:line="240" w:lineRule="auto"/>
        <w:ind w:left="720"/>
        <w:rPr>
          <w:rFonts w:eastAsia="Calibri" w:cstheme="minorHAnsi"/>
          <w:color w:val="000000" w:themeColor="text1"/>
        </w:rPr>
      </w:pPr>
      <w:r w:rsidRPr="00F66C46">
        <w:rPr>
          <w:rFonts w:eastAsiaTheme="minorEastAsia" w:cstheme="minorHAnsi"/>
          <w:color w:val="000000" w:themeColor="text1"/>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Furthermore, </w:t>
      </w:r>
      <w:proofErr w:type="gramStart"/>
      <w:r w:rsidRPr="00F66C46">
        <w:rPr>
          <w:rFonts w:eastAsiaTheme="minorEastAsia" w:cstheme="minorHAnsi"/>
          <w:color w:val="000000" w:themeColor="text1"/>
        </w:rPr>
        <w:t>Every</w:t>
      </w:r>
      <w:proofErr w:type="gramEnd"/>
      <w:r w:rsidRPr="00F66C46">
        <w:rPr>
          <w:rFonts w:eastAsiaTheme="minorEastAsia" w:cstheme="minorHAnsi"/>
          <w:color w:val="000000" w:themeColor="text1"/>
        </w:rPr>
        <w:t xml:space="preserve">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hyperlink r:id="rId9">
        <w:r w:rsidRPr="000005D7">
          <w:rPr>
            <w:rStyle w:val="Hyperlink"/>
            <w:rFonts w:eastAsia="Calibri" w:cstheme="minorHAnsi"/>
            <w:color w:val="2F5496" w:themeColor="accent1" w:themeShade="BF"/>
          </w:rPr>
          <w:t>Code of Student Conduct</w:t>
        </w:r>
      </w:hyperlink>
      <w:r w:rsidRPr="000005D7">
        <w:rPr>
          <w:rFonts w:eastAsia="Calibri" w:cstheme="minorHAnsi"/>
          <w:color w:val="2F5496" w:themeColor="accent1" w:themeShade="BF"/>
        </w:rPr>
        <w:t>) (</w:t>
      </w:r>
      <w:hyperlink r:id="rId10" w:history="1">
        <w:r w:rsidRPr="000005D7">
          <w:rPr>
            <w:rStyle w:val="Hyperlink"/>
            <w:rFonts w:eastAsia="Calibri" w:cstheme="minorHAnsi"/>
            <w:color w:val="2F5496" w:themeColor="accent1" w:themeShade="BF"/>
          </w:rPr>
          <w:t>https://deanofstudents.unt.edu/conduct</w:t>
        </w:r>
      </w:hyperlink>
      <w:r w:rsidRPr="00F66C46">
        <w:rPr>
          <w:rFonts w:eastAsia="Calibri" w:cstheme="minorHAnsi"/>
          <w:color w:val="000000" w:themeColor="text1"/>
        </w:rPr>
        <w:t>)</w:t>
      </w:r>
    </w:p>
    <w:p w14:paraId="0F66BC79" w14:textId="77777777" w:rsidR="002017CD" w:rsidRDefault="002017CD" w:rsidP="002017CD">
      <w:pPr>
        <w:spacing w:after="0" w:line="240" w:lineRule="auto"/>
        <w:ind w:left="720"/>
        <w:rPr>
          <w:rFonts w:ascii="Calibri" w:hAnsi="Calibri" w:cs="Calibri"/>
          <w:b/>
          <w:bCs/>
        </w:rPr>
      </w:pPr>
    </w:p>
    <w:p w14:paraId="690C5F48" w14:textId="7EABB28B" w:rsidR="002017CD" w:rsidRPr="002017CD" w:rsidRDefault="002017CD" w:rsidP="002017CD">
      <w:pPr>
        <w:spacing w:after="0" w:line="240" w:lineRule="auto"/>
        <w:ind w:left="720"/>
        <w:rPr>
          <w:rFonts w:eastAsia="Calibri" w:cstheme="minorHAnsi"/>
          <w:color w:val="000000" w:themeColor="text1"/>
        </w:rPr>
      </w:pPr>
      <w:r w:rsidRPr="009646F3">
        <w:rPr>
          <w:rFonts w:ascii="Calibri" w:hAnsi="Calibri" w:cs="Calibri"/>
          <w:b/>
          <w:bCs/>
        </w:rPr>
        <w:t>Well-Being Statement:</w:t>
      </w:r>
      <w:r>
        <w:rPr>
          <w:rFonts w:ascii="Calibri" w:hAnsi="Calibri" w:cs="Calibri"/>
          <w:b/>
          <w:bCs/>
        </w:rPr>
        <w:t xml:space="preserve"> </w:t>
      </w:r>
      <w:r w:rsidRPr="009646F3">
        <w:rPr>
          <w:rFonts w:ascii="Calibri" w:hAnsi="Calibri" w:cs="Calibri"/>
        </w:rPr>
        <w:t xml:space="preserve">Students often experience stressors that can impact both their academic experience and personal well-being. We recognize that students are more than just someone in a class. Students are encouraged to learn about and utilize UNT’s mental health services and/or other resources as needed. Resources can be found on </w:t>
      </w:r>
      <w:hyperlink r:id="rId11" w:history="1">
        <w:r w:rsidRPr="009646F3">
          <w:rPr>
            <w:rStyle w:val="Hyperlink"/>
            <w:rFonts w:ascii="Calibri" w:hAnsi="Calibri" w:cs="Calibri"/>
          </w:rPr>
          <w:t>UNT’s student counseling services website.</w:t>
        </w:r>
      </w:hyperlink>
      <w:r w:rsidRPr="009646F3">
        <w:rPr>
          <w:rFonts w:ascii="Calibri" w:hAnsi="Calibri" w:cs="Calibri"/>
        </w:rPr>
        <w:t xml:space="preserve"> </w:t>
      </w:r>
    </w:p>
    <w:p w14:paraId="76FEDC44" w14:textId="77777777" w:rsidR="001E7F6C" w:rsidRPr="00F66C46" w:rsidRDefault="001E7F6C" w:rsidP="001E7F6C">
      <w:pPr>
        <w:spacing w:after="0" w:line="240" w:lineRule="auto"/>
        <w:ind w:left="720"/>
        <w:rPr>
          <w:rFonts w:eastAsia="Calibri" w:cstheme="minorHAnsi"/>
          <w:color w:val="000000" w:themeColor="text1"/>
        </w:rPr>
      </w:pPr>
    </w:p>
    <w:p w14:paraId="7046BAD3" w14:textId="40D18FCE" w:rsidR="006E5EEF" w:rsidRPr="001B7E11" w:rsidRDefault="001E7F6C" w:rsidP="001B7E11">
      <w:pPr>
        <w:pStyle w:val="ListParagraph"/>
        <w:numPr>
          <w:ilvl w:val="0"/>
          <w:numId w:val="4"/>
        </w:numPr>
        <w:spacing w:after="0" w:line="240" w:lineRule="auto"/>
        <w:ind w:left="360"/>
        <w:rPr>
          <w:rFonts w:cstheme="minorHAnsi"/>
          <w:color w:val="000000" w:themeColor="text1"/>
          <w:shd w:val="clear" w:color="auto" w:fill="FFFFFF"/>
        </w:rPr>
      </w:pPr>
      <w:r w:rsidRPr="00F66C46">
        <w:rPr>
          <w:rFonts w:cstheme="minorHAnsi"/>
          <w:b/>
          <w:bCs/>
          <w:color w:val="000000" w:themeColor="text1"/>
          <w:shd w:val="clear" w:color="auto" w:fill="FFFFFF"/>
        </w:rPr>
        <w:t>ADA Accommodation Statement:</w:t>
      </w:r>
      <w:r w:rsidRPr="00F66C46">
        <w:rPr>
          <w:rFonts w:cstheme="minorHAnsi"/>
          <w:color w:val="000000" w:themeColor="text1"/>
          <w:shd w:val="clear" w:color="auto" w:fill="FFFFFF"/>
        </w:rPr>
        <w:t xml:space="preserve"> The University of North Texas makes reasonable academic accommodation for students with disabilities. Students seeking reasonable accommodation must first register with the Office of Disability Access (ODA) to verify their eligibility. If a disability is verified, the ODA </w:t>
      </w:r>
      <w:r w:rsidRPr="00F66C46">
        <w:rPr>
          <w:rFonts w:cstheme="minorHAnsi"/>
          <w:color w:val="000000" w:themeColor="text1"/>
          <w:shd w:val="clear" w:color="auto" w:fill="FFFFFF"/>
        </w:rPr>
        <w:lastRenderedPageBreak/>
        <w:t>will provide you with a reasonable accommodation letter to be delivered to faculty to begin a private discussion regarding your specific needs in a course. You may request reasonable</w:t>
      </w:r>
      <w:r w:rsidRPr="00F66C46">
        <w:rPr>
          <w:rFonts w:cstheme="minorHAnsi"/>
          <w:color w:val="000000" w:themeColor="text1"/>
          <w:sz w:val="24"/>
          <w:szCs w:val="24"/>
          <w:shd w:val="clear" w:color="auto" w:fill="FFFFFF"/>
        </w:rPr>
        <w:t xml:space="preserve"> </w:t>
      </w:r>
      <w:r w:rsidRPr="00F66C46">
        <w:rPr>
          <w:rFonts w:cstheme="minorHAnsi"/>
          <w:color w:val="000000" w:themeColor="text1"/>
          <w:shd w:val="clear" w:color="auto" w:fill="FFFFFF"/>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2" w:history="1">
        <w:r w:rsidRPr="000005D7">
          <w:rPr>
            <w:rStyle w:val="Hyperlink"/>
            <w:rFonts w:cstheme="minorHAnsi"/>
            <w:color w:val="2F5496" w:themeColor="accent1" w:themeShade="BF"/>
            <w:shd w:val="clear" w:color="auto" w:fill="FFFFFF"/>
          </w:rPr>
          <w:t>Office of Disability Access</w:t>
        </w:r>
      </w:hyperlink>
      <w:r w:rsidRPr="000005D7">
        <w:rPr>
          <w:rFonts w:cstheme="minorHAnsi"/>
          <w:color w:val="2F5496" w:themeColor="accent1" w:themeShade="BF"/>
          <w:shd w:val="clear" w:color="auto" w:fill="FFFFFF"/>
        </w:rPr>
        <w:t xml:space="preserve"> website (</w:t>
      </w:r>
      <w:r w:rsidRPr="000005D7">
        <w:rPr>
          <w:rFonts w:cstheme="minorHAnsi"/>
          <w:color w:val="2F5496" w:themeColor="accent1" w:themeShade="BF"/>
          <w:bdr w:val="none" w:sz="0" w:space="0" w:color="auto" w:frame="1"/>
          <w:shd w:val="clear" w:color="auto" w:fill="FFFFFF"/>
        </w:rPr>
        <w:t>http://www.unt.edu/oda</w:t>
      </w:r>
      <w:r w:rsidRPr="00F66C46">
        <w:rPr>
          <w:rFonts w:cstheme="minorHAnsi"/>
          <w:color w:val="000000" w:themeColor="text1"/>
          <w:bdr w:val="none" w:sz="0" w:space="0" w:color="auto" w:frame="1"/>
          <w:shd w:val="clear" w:color="auto" w:fill="FFFFFF"/>
        </w:rPr>
        <w:t xml:space="preserve">). </w:t>
      </w:r>
      <w:r w:rsidRPr="00F66C46">
        <w:rPr>
          <w:rFonts w:cstheme="minorHAnsi"/>
          <w:color w:val="000000" w:themeColor="text1"/>
          <w:shd w:val="clear" w:color="auto" w:fill="FFFFFF"/>
        </w:rPr>
        <w:t>You may also contact ODA by phone at (940) 565-4323.</w:t>
      </w:r>
    </w:p>
    <w:p w14:paraId="471581A1" w14:textId="77777777" w:rsidR="0083753A" w:rsidRPr="00F66C46" w:rsidRDefault="0083753A" w:rsidP="0083753A">
      <w:pPr>
        <w:pStyle w:val="ListParagraph"/>
        <w:spacing w:after="0" w:line="240" w:lineRule="auto"/>
        <w:ind w:left="360"/>
        <w:rPr>
          <w:rFonts w:cstheme="minorHAnsi"/>
          <w:color w:val="000000" w:themeColor="text1"/>
          <w:shd w:val="clear" w:color="auto" w:fill="FFFFFF"/>
        </w:rPr>
      </w:pPr>
    </w:p>
    <w:p w14:paraId="73F3F563" w14:textId="391F498C" w:rsidR="00E74791" w:rsidRPr="001B7E11" w:rsidRDefault="001E7F6C" w:rsidP="001E7F6C">
      <w:pPr>
        <w:spacing w:after="0" w:line="240" w:lineRule="auto"/>
        <w:rPr>
          <w:rFonts w:cstheme="minorHAnsi"/>
          <w:color w:val="000000" w:themeColor="text1"/>
          <w:sz w:val="30"/>
          <w:szCs w:val="30"/>
        </w:rPr>
      </w:pPr>
      <w:r w:rsidRPr="00F66C46">
        <w:rPr>
          <w:rFonts w:cstheme="minorHAnsi"/>
          <w:color w:val="000000" w:themeColor="text1"/>
          <w:sz w:val="30"/>
          <w:szCs w:val="30"/>
        </w:rPr>
        <w:t>Activities</w:t>
      </w:r>
    </w:p>
    <w:p w14:paraId="328E1C52" w14:textId="77777777" w:rsidR="00E74791" w:rsidRPr="00E74791" w:rsidRDefault="00E74791" w:rsidP="00E74791">
      <w:pPr>
        <w:spacing w:after="0" w:line="240" w:lineRule="auto"/>
        <w:rPr>
          <w:rFonts w:cstheme="minorHAnsi"/>
          <w:color w:val="000000" w:themeColor="text1"/>
          <w:shd w:val="clear" w:color="auto" w:fill="FFFFFF"/>
        </w:rPr>
      </w:pPr>
      <w:r w:rsidRPr="00E74791">
        <w:rPr>
          <w:rFonts w:cstheme="minorHAnsi"/>
          <w:b/>
          <w:bCs/>
          <w:color w:val="000000" w:themeColor="text1"/>
          <w:shd w:val="clear" w:color="auto" w:fill="FFFFFF"/>
        </w:rPr>
        <w:t>A. Weekly quizzes:</w:t>
      </w:r>
    </w:p>
    <w:p w14:paraId="10E132DC" w14:textId="77777777" w:rsidR="00E74791" w:rsidRPr="00E74791" w:rsidRDefault="00E74791" w:rsidP="00E74791">
      <w:pPr>
        <w:numPr>
          <w:ilvl w:val="0"/>
          <w:numId w:val="9"/>
        </w:numPr>
        <w:spacing w:after="0" w:line="240" w:lineRule="auto"/>
        <w:rPr>
          <w:rFonts w:cstheme="minorHAnsi"/>
          <w:color w:val="000000" w:themeColor="text1"/>
          <w:shd w:val="clear" w:color="auto" w:fill="FFFFFF"/>
        </w:rPr>
      </w:pPr>
      <w:r w:rsidRPr="00E74791">
        <w:rPr>
          <w:rFonts w:cstheme="minorHAnsi"/>
          <w:color w:val="000000" w:themeColor="text1"/>
          <w:shd w:val="clear" w:color="auto" w:fill="FFFFFF"/>
        </w:rPr>
        <w:t>Students will have the opportunity to submit 14 weekly quizzes. One quiz for each module. They are worth 10 points each and coincide with assigned readings and course lectures of the concurrent week.</w:t>
      </w:r>
    </w:p>
    <w:p w14:paraId="2A68D6D3" w14:textId="77777777" w:rsidR="00E74791" w:rsidRPr="00E74791" w:rsidRDefault="00E74791" w:rsidP="00E74791">
      <w:pPr>
        <w:numPr>
          <w:ilvl w:val="0"/>
          <w:numId w:val="9"/>
        </w:numPr>
        <w:spacing w:after="0" w:line="240" w:lineRule="auto"/>
        <w:rPr>
          <w:rFonts w:cstheme="minorHAnsi"/>
          <w:color w:val="000000" w:themeColor="text1"/>
          <w:shd w:val="clear" w:color="auto" w:fill="FFFFFF"/>
        </w:rPr>
      </w:pPr>
      <w:r w:rsidRPr="00E74791">
        <w:rPr>
          <w:rFonts w:cstheme="minorHAnsi"/>
          <w:color w:val="000000" w:themeColor="text1"/>
          <w:shd w:val="clear" w:color="auto" w:fill="FFFFFF"/>
        </w:rPr>
        <w:t>Quizzes will contain true/false, multiple-choice questions covering readings listed in that module.</w:t>
      </w:r>
    </w:p>
    <w:p w14:paraId="13061946" w14:textId="77777777" w:rsidR="00E74791" w:rsidRDefault="00E74791" w:rsidP="00E74791">
      <w:pPr>
        <w:numPr>
          <w:ilvl w:val="0"/>
          <w:numId w:val="9"/>
        </w:numPr>
        <w:spacing w:after="0" w:line="240" w:lineRule="auto"/>
        <w:rPr>
          <w:rFonts w:cstheme="minorHAnsi"/>
          <w:color w:val="000000" w:themeColor="text1"/>
          <w:shd w:val="clear" w:color="auto" w:fill="FFFFFF"/>
        </w:rPr>
      </w:pPr>
      <w:r w:rsidRPr="00E74791">
        <w:rPr>
          <w:rFonts w:cstheme="minorHAnsi"/>
          <w:color w:val="000000" w:themeColor="text1"/>
          <w:shd w:val="clear" w:color="auto" w:fill="FFFFFF"/>
        </w:rPr>
        <w:t>Quizzes will open at 9.00 am on Monday and will close at 11.59 pm on the following Sunday.</w:t>
      </w:r>
    </w:p>
    <w:p w14:paraId="50BA0628" w14:textId="77777777" w:rsidR="00E74791" w:rsidRPr="00E74791" w:rsidRDefault="00E74791" w:rsidP="00E74791">
      <w:pPr>
        <w:spacing w:after="0" w:line="240" w:lineRule="auto"/>
        <w:ind w:left="720"/>
        <w:rPr>
          <w:rFonts w:cstheme="minorHAnsi"/>
          <w:color w:val="000000" w:themeColor="text1"/>
          <w:shd w:val="clear" w:color="auto" w:fill="FFFFFF"/>
        </w:rPr>
      </w:pPr>
    </w:p>
    <w:p w14:paraId="6C0443E1" w14:textId="77777777" w:rsidR="00E74791" w:rsidRPr="00E74791" w:rsidRDefault="00E74791" w:rsidP="00E74791">
      <w:pPr>
        <w:spacing w:after="0" w:line="240" w:lineRule="auto"/>
        <w:rPr>
          <w:rFonts w:cstheme="minorHAnsi"/>
          <w:color w:val="000000" w:themeColor="text1"/>
          <w:shd w:val="clear" w:color="auto" w:fill="FFFFFF"/>
        </w:rPr>
      </w:pPr>
      <w:r w:rsidRPr="00E74791">
        <w:rPr>
          <w:rFonts w:cstheme="minorHAnsi"/>
          <w:b/>
          <w:bCs/>
          <w:color w:val="000000" w:themeColor="text1"/>
          <w:shd w:val="clear" w:color="auto" w:fill="FFFFFF"/>
        </w:rPr>
        <w:t>B. Final Paper</w:t>
      </w:r>
    </w:p>
    <w:p w14:paraId="7AAD0A71" w14:textId="77777777" w:rsidR="00E74791" w:rsidRPr="00E74791" w:rsidRDefault="00E74791" w:rsidP="00E74791">
      <w:pPr>
        <w:numPr>
          <w:ilvl w:val="0"/>
          <w:numId w:val="10"/>
        </w:numPr>
        <w:spacing w:after="0" w:line="240" w:lineRule="auto"/>
        <w:rPr>
          <w:rFonts w:cstheme="minorHAnsi"/>
          <w:color w:val="000000" w:themeColor="text1"/>
          <w:shd w:val="clear" w:color="auto" w:fill="FFFFFF"/>
        </w:rPr>
      </w:pPr>
      <w:r w:rsidRPr="00E74791">
        <w:rPr>
          <w:rFonts w:cstheme="minorHAnsi"/>
          <w:color w:val="000000" w:themeColor="text1"/>
          <w:shd w:val="clear" w:color="auto" w:fill="FFFFFF"/>
        </w:rPr>
        <w:t>The final paper is due in the last week of class.</w:t>
      </w:r>
    </w:p>
    <w:p w14:paraId="5B768D0E" w14:textId="77777777" w:rsidR="00E74791" w:rsidRDefault="00E74791" w:rsidP="00E74791">
      <w:pPr>
        <w:numPr>
          <w:ilvl w:val="0"/>
          <w:numId w:val="10"/>
        </w:numPr>
        <w:spacing w:after="0" w:line="240" w:lineRule="auto"/>
        <w:rPr>
          <w:rFonts w:cstheme="minorHAnsi"/>
          <w:color w:val="000000" w:themeColor="text1"/>
          <w:shd w:val="clear" w:color="auto" w:fill="FFFFFF"/>
        </w:rPr>
      </w:pPr>
      <w:r w:rsidRPr="00E74791">
        <w:rPr>
          <w:rFonts w:cstheme="minorHAnsi"/>
          <w:color w:val="000000" w:themeColor="text1"/>
          <w:shd w:val="clear" w:color="auto" w:fill="FFFFFF"/>
        </w:rPr>
        <w:t>The final paper is open from the beginning of the semester.</w:t>
      </w:r>
    </w:p>
    <w:p w14:paraId="60AA6CF3" w14:textId="43236A56" w:rsidR="00E74791" w:rsidRPr="00E74791" w:rsidRDefault="00E74791" w:rsidP="00E74791">
      <w:pPr>
        <w:numPr>
          <w:ilvl w:val="0"/>
          <w:numId w:val="10"/>
        </w:numPr>
        <w:spacing w:after="0" w:line="240" w:lineRule="auto"/>
        <w:rPr>
          <w:rFonts w:cstheme="minorHAnsi"/>
          <w:color w:val="000000" w:themeColor="text1"/>
          <w:shd w:val="clear" w:color="auto" w:fill="FFFFFF"/>
        </w:rPr>
      </w:pPr>
      <w:r>
        <w:rPr>
          <w:rFonts w:cstheme="minorHAnsi"/>
          <w:color w:val="000000" w:themeColor="text1"/>
          <w:shd w:val="clear" w:color="auto" w:fill="FFFFFF"/>
        </w:rPr>
        <w:t xml:space="preserve">Details are available on the CANVAS module. </w:t>
      </w:r>
    </w:p>
    <w:p w14:paraId="3CF8F58D" w14:textId="77777777" w:rsidR="001E7F6C" w:rsidRPr="00F66C46" w:rsidRDefault="001E7F6C" w:rsidP="001E7F6C">
      <w:pPr>
        <w:spacing w:after="0" w:line="240" w:lineRule="auto"/>
        <w:rPr>
          <w:rFonts w:cstheme="minorHAnsi"/>
          <w:color w:val="000000" w:themeColor="text1"/>
          <w:shd w:val="clear" w:color="auto" w:fill="FFFFFF"/>
        </w:rPr>
      </w:pPr>
    </w:p>
    <w:p w14:paraId="51735DC8" w14:textId="77777777" w:rsidR="002017CD" w:rsidRPr="002017CD" w:rsidRDefault="001E7F6C" w:rsidP="002017CD">
      <w:pPr>
        <w:pStyle w:val="Heading2"/>
        <w:spacing w:before="0" w:after="0" w:line="240" w:lineRule="auto"/>
        <w:rPr>
          <w:rFonts w:ascii="Calibri" w:eastAsiaTheme="minorEastAsia" w:hAnsi="Calibri" w:cs="Calibri"/>
          <w:b/>
          <w:bCs/>
          <w:color w:val="000000" w:themeColor="text1"/>
          <w:sz w:val="22"/>
          <w:szCs w:val="22"/>
        </w:rPr>
      </w:pPr>
      <w:r w:rsidRPr="002017CD">
        <w:rPr>
          <w:rFonts w:ascii="Calibri" w:eastAsiaTheme="minorEastAsia" w:hAnsi="Calibri" w:cs="Calibri"/>
          <w:b/>
          <w:bCs/>
          <w:color w:val="000000" w:themeColor="text1"/>
          <w:sz w:val="22"/>
          <w:szCs w:val="22"/>
        </w:rPr>
        <w:t>Assessing Your Work</w:t>
      </w:r>
      <w:r w:rsidR="002017CD" w:rsidRPr="002017CD">
        <w:rPr>
          <w:rFonts w:ascii="Calibri" w:eastAsiaTheme="minorEastAsia" w:hAnsi="Calibri" w:cs="Calibri"/>
          <w:b/>
          <w:bCs/>
          <w:color w:val="000000" w:themeColor="text1"/>
          <w:sz w:val="22"/>
          <w:szCs w:val="22"/>
        </w:rPr>
        <w:t>:</w:t>
      </w:r>
    </w:p>
    <w:p w14:paraId="15BD637C" w14:textId="6BA26E6E" w:rsidR="0083753A" w:rsidRPr="002017CD" w:rsidRDefault="001E7F6C" w:rsidP="002017CD">
      <w:pPr>
        <w:pStyle w:val="Heading2"/>
        <w:spacing w:before="0" w:after="0" w:line="240" w:lineRule="auto"/>
        <w:rPr>
          <w:rFonts w:ascii="Calibri" w:eastAsiaTheme="minorEastAsia" w:hAnsi="Calibri" w:cs="Calibri"/>
          <w:color w:val="000000" w:themeColor="text1"/>
          <w:sz w:val="22"/>
          <w:szCs w:val="22"/>
        </w:rPr>
      </w:pPr>
      <w:r w:rsidRPr="002017CD">
        <w:rPr>
          <w:rFonts w:ascii="Calibri" w:eastAsiaTheme="minorEastAsia" w:hAnsi="Calibri" w:cs="Calibri"/>
          <w:color w:val="000000" w:themeColor="text1"/>
          <w:sz w:val="22"/>
          <w:szCs w:val="22"/>
        </w:rPr>
        <w:t xml:space="preserve">You will have 15 modules with assignments each week. Each module along with the assignments will open 9.00am on Monday and will close on 11.59pm the following Sunday. There will be no Midterm but there is a </w:t>
      </w:r>
      <w:proofErr w:type="gramStart"/>
      <w:r w:rsidRPr="002017CD">
        <w:rPr>
          <w:rFonts w:ascii="Calibri" w:eastAsiaTheme="minorEastAsia" w:hAnsi="Calibri" w:cs="Calibri"/>
          <w:color w:val="000000" w:themeColor="text1"/>
          <w:sz w:val="22"/>
          <w:szCs w:val="22"/>
        </w:rPr>
        <w:t>Final</w:t>
      </w:r>
      <w:proofErr w:type="gramEnd"/>
      <w:r w:rsidRPr="002017CD">
        <w:rPr>
          <w:rFonts w:ascii="Calibri" w:eastAsiaTheme="minorEastAsia" w:hAnsi="Calibri" w:cs="Calibri"/>
          <w:color w:val="000000" w:themeColor="text1"/>
          <w:sz w:val="22"/>
          <w:szCs w:val="22"/>
        </w:rPr>
        <w:t xml:space="preserve"> paper in this class.</w:t>
      </w:r>
      <w:r w:rsidR="0083753A" w:rsidRPr="002017CD">
        <w:rPr>
          <w:rFonts w:ascii="Calibri" w:eastAsiaTheme="minorEastAsia" w:hAnsi="Calibri" w:cs="Calibri"/>
          <w:color w:val="000000" w:themeColor="text1"/>
          <w:sz w:val="22"/>
          <w:szCs w:val="22"/>
        </w:rPr>
        <w:t xml:space="preserve"> </w:t>
      </w:r>
      <w:r w:rsidR="0083753A" w:rsidRPr="002017CD">
        <w:rPr>
          <w:rFonts w:ascii="Calibri" w:eastAsiaTheme="minorEastAsia" w:hAnsi="Calibri" w:cs="Calibri"/>
          <w:b/>
          <w:bCs/>
          <w:i/>
          <w:iCs/>
          <w:color w:val="000000" w:themeColor="text1"/>
          <w:sz w:val="22"/>
          <w:szCs w:val="22"/>
        </w:rPr>
        <w:t xml:space="preserve">LATE WORK IS NOT ACCEPTED AND STUDENT WILL RECEIVE AN AUTOMATIC ZERO. </w:t>
      </w:r>
    </w:p>
    <w:p w14:paraId="7AF4C444" w14:textId="77777777" w:rsidR="001E7F6C" w:rsidRPr="00F66C46" w:rsidRDefault="001E7F6C" w:rsidP="001E7F6C">
      <w:pPr>
        <w:spacing w:after="0" w:line="240" w:lineRule="auto"/>
        <w:rPr>
          <w:rFonts w:eastAsiaTheme="minorEastAsia" w:cstheme="minorHAnsi"/>
          <w:color w:val="000000" w:themeColor="text1"/>
        </w:rPr>
      </w:pPr>
    </w:p>
    <w:p w14:paraId="1FB8D36D" w14:textId="77777777" w:rsidR="00E74791" w:rsidRPr="00E74791" w:rsidRDefault="00E74791" w:rsidP="00E74791">
      <w:pPr>
        <w:spacing w:after="0" w:line="240" w:lineRule="auto"/>
        <w:rPr>
          <w:rFonts w:eastAsiaTheme="minorEastAsia" w:cstheme="minorHAnsi"/>
          <w:b/>
          <w:bCs/>
          <w:color w:val="000000" w:themeColor="text1"/>
        </w:rPr>
      </w:pPr>
      <w:r w:rsidRPr="00E74791">
        <w:rPr>
          <w:rFonts w:eastAsiaTheme="minorEastAsia" w:cstheme="minorHAnsi"/>
          <w:b/>
          <w:bCs/>
          <w:color w:val="000000" w:themeColor="text1"/>
        </w:rPr>
        <w:t>Grading Rubric</w:t>
      </w:r>
    </w:p>
    <w:p w14:paraId="1093B240" w14:textId="77777777" w:rsidR="00E74791" w:rsidRPr="00E74791" w:rsidRDefault="00E74791" w:rsidP="00E74791">
      <w:pPr>
        <w:spacing w:after="0" w:line="240" w:lineRule="auto"/>
        <w:rPr>
          <w:rFonts w:eastAsiaTheme="minorEastAsia" w:cstheme="minorHAnsi"/>
          <w:color w:val="000000" w:themeColor="text1"/>
        </w:rPr>
      </w:pPr>
      <w:r w:rsidRPr="00E74791">
        <w:rPr>
          <w:rFonts w:eastAsiaTheme="minorEastAsia" w:cstheme="minorHAnsi"/>
          <w:color w:val="000000" w:themeColor="text1"/>
        </w:rPr>
        <w:t>Weekly quizzes 14 @ 10 points each</w:t>
      </w:r>
    </w:p>
    <w:p w14:paraId="0D29F6D4" w14:textId="77777777" w:rsidR="00E74791" w:rsidRPr="00E74791" w:rsidRDefault="00E74791" w:rsidP="00E74791">
      <w:pPr>
        <w:spacing w:after="0" w:line="240" w:lineRule="auto"/>
        <w:rPr>
          <w:rFonts w:eastAsiaTheme="minorEastAsia" w:cstheme="minorHAnsi"/>
          <w:color w:val="000000" w:themeColor="text1"/>
        </w:rPr>
      </w:pPr>
      <w:r w:rsidRPr="00E74791">
        <w:rPr>
          <w:rFonts w:eastAsiaTheme="minorEastAsia" w:cstheme="minorHAnsi"/>
          <w:color w:val="000000" w:themeColor="text1"/>
        </w:rPr>
        <w:t>Final Paper @ 60 point</w:t>
      </w:r>
    </w:p>
    <w:p w14:paraId="1DEED1A0" w14:textId="77777777" w:rsidR="00E74791" w:rsidRPr="00E74791" w:rsidRDefault="00E74791" w:rsidP="00E74791">
      <w:pPr>
        <w:spacing w:after="0" w:line="240" w:lineRule="auto"/>
        <w:rPr>
          <w:rFonts w:eastAsiaTheme="minorEastAsia" w:cstheme="minorHAnsi"/>
          <w:color w:val="000000" w:themeColor="text1"/>
        </w:rPr>
      </w:pPr>
      <w:r w:rsidRPr="00E74791">
        <w:rPr>
          <w:rFonts w:eastAsiaTheme="minorEastAsia" w:cstheme="minorHAnsi"/>
          <w:color w:val="000000" w:themeColor="text1"/>
        </w:rPr>
        <w:t>Total 200 point</w:t>
      </w:r>
    </w:p>
    <w:p w14:paraId="329207C1" w14:textId="77777777" w:rsidR="00E74791" w:rsidRPr="00E74791" w:rsidRDefault="00E74791" w:rsidP="00E74791">
      <w:pPr>
        <w:spacing w:after="0" w:line="240" w:lineRule="auto"/>
        <w:rPr>
          <w:rFonts w:eastAsiaTheme="minorEastAsia" w:cstheme="minorHAnsi"/>
          <w:b/>
          <w:bCs/>
          <w:color w:val="000000" w:themeColor="text1"/>
        </w:rPr>
      </w:pPr>
    </w:p>
    <w:p w14:paraId="6DEC99D9" w14:textId="77777777" w:rsidR="00E74791" w:rsidRPr="00E74791" w:rsidRDefault="00E74791" w:rsidP="00E74791">
      <w:pPr>
        <w:spacing w:after="0" w:line="240" w:lineRule="auto"/>
        <w:rPr>
          <w:rFonts w:eastAsiaTheme="minorEastAsia" w:cstheme="minorHAnsi"/>
          <w:b/>
          <w:bCs/>
          <w:color w:val="000000" w:themeColor="text1"/>
        </w:rPr>
      </w:pPr>
      <w:r w:rsidRPr="00E74791">
        <w:rPr>
          <w:rFonts w:eastAsiaTheme="minorEastAsia" w:cstheme="minorHAnsi"/>
          <w:b/>
          <w:bCs/>
          <w:color w:val="000000" w:themeColor="text1"/>
        </w:rPr>
        <w:t>Grading Scale:</w:t>
      </w:r>
    </w:p>
    <w:p w14:paraId="28D718EA" w14:textId="77777777" w:rsidR="00E74791" w:rsidRPr="00E74791" w:rsidRDefault="00E74791" w:rsidP="00E74791">
      <w:pPr>
        <w:spacing w:after="0" w:line="240" w:lineRule="auto"/>
        <w:rPr>
          <w:rFonts w:eastAsiaTheme="minorEastAsia" w:cstheme="minorHAnsi"/>
          <w:color w:val="000000" w:themeColor="text1"/>
        </w:rPr>
      </w:pPr>
      <w:r w:rsidRPr="00E74791">
        <w:rPr>
          <w:rFonts w:eastAsiaTheme="minorEastAsia" w:cstheme="minorHAnsi"/>
          <w:color w:val="000000" w:themeColor="text1"/>
        </w:rPr>
        <w:t>A = 200-180 (90-100%: Outstanding, excellent work. The student performs well above the minimum criteria.)</w:t>
      </w:r>
    </w:p>
    <w:p w14:paraId="5EE37EE1" w14:textId="77777777" w:rsidR="00E74791" w:rsidRPr="00E74791" w:rsidRDefault="00E74791" w:rsidP="00E74791">
      <w:pPr>
        <w:spacing w:after="0" w:line="240" w:lineRule="auto"/>
        <w:rPr>
          <w:rFonts w:eastAsiaTheme="minorEastAsia" w:cstheme="minorHAnsi"/>
          <w:color w:val="000000" w:themeColor="text1"/>
        </w:rPr>
      </w:pPr>
      <w:r w:rsidRPr="00E74791">
        <w:rPr>
          <w:rFonts w:eastAsiaTheme="minorEastAsia" w:cstheme="minorHAnsi"/>
          <w:color w:val="000000" w:themeColor="text1"/>
        </w:rPr>
        <w:t>B = 179-160 (80-89%: Good, impressive work. The student performs above the minimum criteria.)</w:t>
      </w:r>
    </w:p>
    <w:p w14:paraId="58876E94" w14:textId="77777777" w:rsidR="00E74791" w:rsidRPr="00E74791" w:rsidRDefault="00E74791" w:rsidP="00E74791">
      <w:pPr>
        <w:spacing w:after="0" w:line="240" w:lineRule="auto"/>
        <w:rPr>
          <w:rFonts w:eastAsiaTheme="minorEastAsia" w:cstheme="minorHAnsi"/>
          <w:color w:val="000000" w:themeColor="text1"/>
        </w:rPr>
      </w:pPr>
      <w:r w:rsidRPr="00E74791">
        <w:rPr>
          <w:rFonts w:eastAsiaTheme="minorEastAsia" w:cstheme="minorHAnsi"/>
          <w:color w:val="000000" w:themeColor="text1"/>
        </w:rPr>
        <w:t>C = 159-140 (70-79%: Solid, college-level work. The student meets the criteria of the assignment.)</w:t>
      </w:r>
    </w:p>
    <w:p w14:paraId="5EAA12BC" w14:textId="77777777" w:rsidR="00E74791" w:rsidRPr="00E74791" w:rsidRDefault="00E74791" w:rsidP="00E74791">
      <w:pPr>
        <w:spacing w:after="0" w:line="240" w:lineRule="auto"/>
        <w:rPr>
          <w:rFonts w:eastAsiaTheme="minorEastAsia" w:cstheme="minorHAnsi"/>
          <w:color w:val="000000" w:themeColor="text1"/>
        </w:rPr>
      </w:pPr>
      <w:r w:rsidRPr="00E74791">
        <w:rPr>
          <w:rFonts w:eastAsiaTheme="minorEastAsia" w:cstheme="minorHAnsi"/>
          <w:color w:val="000000" w:themeColor="text1"/>
        </w:rPr>
        <w:t>D = 139-120 (60-69%: Below average work. The student fails to meet the minimum criteria.)</w:t>
      </w:r>
    </w:p>
    <w:p w14:paraId="3D9D9083" w14:textId="77777777" w:rsidR="00E74791" w:rsidRPr="00E74791" w:rsidRDefault="00E74791" w:rsidP="00E74791">
      <w:pPr>
        <w:spacing w:after="0" w:line="240" w:lineRule="auto"/>
        <w:rPr>
          <w:rFonts w:eastAsiaTheme="minorEastAsia" w:cstheme="minorHAnsi"/>
          <w:color w:val="000000" w:themeColor="text1"/>
        </w:rPr>
      </w:pPr>
      <w:r w:rsidRPr="00E74791">
        <w:rPr>
          <w:rFonts w:eastAsiaTheme="minorEastAsia" w:cstheme="minorHAnsi"/>
          <w:color w:val="000000" w:themeColor="text1"/>
        </w:rPr>
        <w:t>F = 119 – 0 (59% and below: Sub-par work. The student fails to complete the assignment.)</w:t>
      </w:r>
    </w:p>
    <w:p w14:paraId="2BCDE399" w14:textId="42869A11" w:rsidR="006E5EEF" w:rsidRPr="006E5EEF" w:rsidRDefault="00E74791" w:rsidP="001E7F6C">
      <w:pPr>
        <w:spacing w:after="0" w:line="240" w:lineRule="auto"/>
        <w:rPr>
          <w:rStyle w:val="Emphasis"/>
          <w:b/>
          <w:bCs/>
        </w:rPr>
      </w:pPr>
      <w:r>
        <w:rPr>
          <w:rStyle w:val="Emphasis"/>
          <w:b/>
          <w:bCs/>
        </w:rPr>
        <w:t xml:space="preserve">For this class exact grades are </w:t>
      </w:r>
      <w:proofErr w:type="gramStart"/>
      <w:r>
        <w:rPr>
          <w:rStyle w:val="Emphasis"/>
          <w:b/>
          <w:bCs/>
        </w:rPr>
        <w:t>reported</w:t>
      </w:r>
      <w:proofErr w:type="gramEnd"/>
      <w:r>
        <w:rPr>
          <w:rStyle w:val="Emphasis"/>
          <w:b/>
          <w:bCs/>
        </w:rPr>
        <w:t xml:space="preserve"> and they are not rounded </w:t>
      </w:r>
      <w:proofErr w:type="gramStart"/>
      <w:r>
        <w:rPr>
          <w:rStyle w:val="Emphasis"/>
          <w:b/>
          <w:bCs/>
        </w:rPr>
        <w:t>up, or</w:t>
      </w:r>
      <w:proofErr w:type="gramEnd"/>
      <w:r>
        <w:rPr>
          <w:rStyle w:val="Emphasis"/>
          <w:b/>
          <w:bCs/>
        </w:rPr>
        <w:t xml:space="preserve"> curved.</w:t>
      </w:r>
    </w:p>
    <w:p w14:paraId="6CD2BB79" w14:textId="77777777" w:rsidR="0034140B" w:rsidRDefault="006E5EEF" w:rsidP="0034140B">
      <w:pPr>
        <w:spacing w:after="0" w:line="240" w:lineRule="auto"/>
        <w:rPr>
          <w:rFonts w:eastAsiaTheme="minorEastAsia" w:cstheme="minorHAnsi"/>
          <w:b/>
          <w:bCs/>
          <w:color w:val="000000" w:themeColor="text1"/>
        </w:rPr>
      </w:pPr>
      <w:r w:rsidRPr="006E5EEF">
        <w:rPr>
          <w:rFonts w:eastAsiaTheme="minorEastAsia" w:cstheme="minorHAnsi"/>
          <w:b/>
          <w:bCs/>
          <w:color w:val="000000" w:themeColor="text1"/>
        </w:rPr>
        <w:t xml:space="preserve">For your final letter grade, please access your grades at </w:t>
      </w:r>
      <w:proofErr w:type="spellStart"/>
      <w:r w:rsidRPr="006E5EEF">
        <w:rPr>
          <w:rFonts w:eastAsiaTheme="minorEastAsia" w:cstheme="minorHAnsi"/>
          <w:b/>
          <w:bCs/>
          <w:color w:val="000000" w:themeColor="text1"/>
        </w:rPr>
        <w:t>myUNT</w:t>
      </w:r>
      <w:proofErr w:type="spellEnd"/>
      <w:r w:rsidRPr="006E5EEF">
        <w:rPr>
          <w:rFonts w:eastAsiaTheme="minorEastAsia" w:cstheme="minorHAnsi"/>
          <w:b/>
          <w:bCs/>
          <w:color w:val="000000" w:themeColor="text1"/>
        </w:rPr>
        <w:t>, and not depend on CANVAS.</w:t>
      </w:r>
    </w:p>
    <w:p w14:paraId="1BC7881D" w14:textId="77777777" w:rsidR="0034140B" w:rsidRDefault="0034140B" w:rsidP="0034140B">
      <w:pPr>
        <w:spacing w:after="0" w:line="240" w:lineRule="auto"/>
        <w:rPr>
          <w:rFonts w:eastAsiaTheme="minorEastAsia" w:cstheme="minorHAnsi"/>
          <w:b/>
          <w:bCs/>
          <w:color w:val="000000" w:themeColor="text1"/>
        </w:rPr>
      </w:pPr>
    </w:p>
    <w:p w14:paraId="3B8C5F4A" w14:textId="148994C7" w:rsidR="0034140B" w:rsidRDefault="001E7F6C" w:rsidP="0034140B">
      <w:pPr>
        <w:spacing w:after="0" w:line="240" w:lineRule="auto"/>
        <w:rPr>
          <w:rFonts w:ascii="Calibri" w:eastAsiaTheme="minorEastAsia" w:hAnsi="Calibri" w:cs="Calibri"/>
          <w:color w:val="000000" w:themeColor="text1"/>
          <w:sz w:val="30"/>
          <w:szCs w:val="30"/>
        </w:rPr>
      </w:pPr>
      <w:r w:rsidRPr="0034140B">
        <w:rPr>
          <w:rFonts w:ascii="Calibri" w:eastAsiaTheme="minorEastAsia" w:hAnsi="Calibri" w:cs="Calibri"/>
          <w:color w:val="000000" w:themeColor="text1"/>
          <w:sz w:val="30"/>
          <w:szCs w:val="30"/>
        </w:rPr>
        <w:t>Course Policies</w:t>
      </w:r>
    </w:p>
    <w:p w14:paraId="6A66FC6C" w14:textId="77777777" w:rsidR="00715437" w:rsidRDefault="00715437" w:rsidP="0034140B">
      <w:pPr>
        <w:spacing w:after="0" w:line="240" w:lineRule="auto"/>
        <w:rPr>
          <w:rFonts w:ascii="Calibri" w:eastAsiaTheme="minorEastAsia" w:hAnsi="Calibri" w:cs="Calibri"/>
          <w:color w:val="000000" w:themeColor="text1"/>
          <w:sz w:val="30"/>
          <w:szCs w:val="30"/>
        </w:rPr>
      </w:pPr>
    </w:p>
    <w:p w14:paraId="76D484DF" w14:textId="51B30C5E" w:rsidR="00AF21D2" w:rsidRPr="0034140B" w:rsidRDefault="00AF21D2" w:rsidP="0034140B">
      <w:pPr>
        <w:spacing w:after="0" w:line="240" w:lineRule="auto"/>
        <w:rPr>
          <w:rFonts w:eastAsiaTheme="minorEastAsia" w:cstheme="minorHAnsi"/>
          <w:color w:val="000000" w:themeColor="text1"/>
        </w:rPr>
      </w:pPr>
      <w:r w:rsidRPr="0034140B">
        <w:rPr>
          <w:rFonts w:ascii="Calibri" w:hAnsi="Calibri" w:cs="Calibri"/>
          <w:b/>
          <w:bCs/>
          <w:color w:val="000000" w:themeColor="text1"/>
        </w:rPr>
        <w:t>Assignment Reopening and Late Submission Policy</w:t>
      </w:r>
      <w:r w:rsidRPr="0034140B">
        <w:rPr>
          <w:rFonts w:ascii="Calibri" w:hAnsi="Calibri" w:cs="Calibri"/>
          <w:color w:val="000000" w:themeColor="text1"/>
        </w:rPr>
        <w:t>: I do not reopen quizzes or short papers, nor do I extend their dates. Quizzes will remain open for a week, from Monday 9.00am-Sunday 11.59 pm. I do not accept late</w:t>
      </w:r>
      <w:r w:rsidR="002017CD" w:rsidRPr="0034140B">
        <w:rPr>
          <w:rFonts w:ascii="Calibri" w:hAnsi="Calibri" w:cs="Calibri"/>
          <w:color w:val="000000" w:themeColor="text1"/>
        </w:rPr>
        <w:t xml:space="preserve"> </w:t>
      </w:r>
      <w:r w:rsidRPr="0034140B">
        <w:rPr>
          <w:rFonts w:ascii="Calibri" w:hAnsi="Calibri" w:cs="Calibri"/>
          <w:color w:val="000000" w:themeColor="text1"/>
        </w:rPr>
        <w:t>submissions, other than under extenuating circumstances. Any request without associating paperwork is not accepted.</w:t>
      </w:r>
    </w:p>
    <w:p w14:paraId="046CF41B" w14:textId="77777777" w:rsidR="001E7F6C" w:rsidRPr="00F66C46" w:rsidRDefault="001E7F6C" w:rsidP="0034140B">
      <w:pPr>
        <w:spacing w:after="0" w:line="240" w:lineRule="auto"/>
        <w:rPr>
          <w:rFonts w:cstheme="minorHAnsi"/>
          <w:color w:val="000000" w:themeColor="text1"/>
        </w:rPr>
      </w:pPr>
      <w:r w:rsidRPr="00F66C46">
        <w:rPr>
          <w:rFonts w:eastAsiaTheme="minorEastAsia" w:cstheme="minorHAnsi"/>
          <w:b/>
          <w:bCs/>
          <w:color w:val="000000" w:themeColor="text1"/>
        </w:rPr>
        <w:lastRenderedPageBreak/>
        <w:t>Academic Integrity:</w:t>
      </w:r>
      <w:r w:rsidRPr="00F66C46">
        <w:rPr>
          <w:rFonts w:eastAsiaTheme="minorEastAsia" w:cstheme="minorHAnsi"/>
          <w:color w:val="000000" w:themeColor="text1"/>
        </w:rPr>
        <w:t xml:space="preserve"> </w:t>
      </w:r>
      <w:r w:rsidRPr="00F66C46">
        <w:rPr>
          <w:rFonts w:cstheme="minorHAnsi"/>
          <w:color w:val="000000" w:themeColor="text1"/>
        </w:rPr>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13" w:history="1">
        <w:r w:rsidRPr="00451384">
          <w:rPr>
            <w:rStyle w:val="Hyperlink"/>
            <w:rFonts w:cstheme="minorHAnsi"/>
            <w:color w:val="2F5496" w:themeColor="accent1" w:themeShade="BF"/>
          </w:rPr>
          <w:t>guidelines for your academic success</w:t>
        </w:r>
      </w:hyperlink>
      <w:r w:rsidRPr="00451384">
        <w:rPr>
          <w:rFonts w:cstheme="minorHAnsi"/>
          <w:color w:val="2F5496" w:themeColor="accent1" w:themeShade="BF"/>
        </w:rPr>
        <w:t xml:space="preserve"> </w:t>
      </w:r>
      <w:r w:rsidRPr="00F66C46">
        <w:rPr>
          <w:rFonts w:cstheme="minorHAnsi"/>
          <w:color w:val="000000" w:themeColor="text1"/>
        </w:rPr>
        <w:t>(https://policy.unt.edu/policy/06-003).  If you have questions about this, or any UNT policy, please email me or come discuss this with me during my office hours.</w:t>
      </w:r>
    </w:p>
    <w:p w14:paraId="62DD665B" w14:textId="77777777" w:rsidR="001E7F6C" w:rsidRPr="00F66C46" w:rsidRDefault="001E7F6C" w:rsidP="0034140B">
      <w:pPr>
        <w:spacing w:after="0" w:line="240" w:lineRule="auto"/>
        <w:rPr>
          <w:rFonts w:cstheme="minorHAnsi"/>
          <w:color w:val="000000" w:themeColor="text1"/>
        </w:rPr>
      </w:pPr>
    </w:p>
    <w:p w14:paraId="11B25BB6" w14:textId="40B32AED" w:rsidR="001E7F6C" w:rsidRPr="00F66C46" w:rsidRDefault="001E7F6C" w:rsidP="0034140B">
      <w:pPr>
        <w:spacing w:after="0" w:line="240" w:lineRule="auto"/>
        <w:rPr>
          <w:rFonts w:cstheme="minorHAnsi"/>
          <w:color w:val="000000" w:themeColor="text1"/>
        </w:rPr>
      </w:pPr>
      <w:r w:rsidRPr="00F66C46">
        <w:rPr>
          <w:rFonts w:cstheme="minorHAnsi"/>
          <w:b/>
          <w:bCs/>
          <w:color w:val="000000" w:themeColor="text1"/>
        </w:rPr>
        <w:t xml:space="preserve">Online class participation: </w:t>
      </w:r>
      <w:r w:rsidRPr="00F66C46">
        <w:rPr>
          <w:rFonts w:cstheme="minorHAnsi"/>
          <w:color w:val="000000" w:themeColor="text1"/>
        </w:rPr>
        <w:t xml:space="preserve">This is an online </w:t>
      </w:r>
      <w:proofErr w:type="gramStart"/>
      <w:r w:rsidRPr="00F66C46">
        <w:rPr>
          <w:rFonts w:cstheme="minorHAnsi"/>
          <w:color w:val="000000" w:themeColor="text1"/>
        </w:rPr>
        <w:t>class</w:t>
      </w:r>
      <w:proofErr w:type="gramEnd"/>
      <w:r w:rsidRPr="00F66C46">
        <w:rPr>
          <w:rFonts w:cstheme="minorHAnsi"/>
          <w:color w:val="000000" w:themeColor="text1"/>
        </w:rPr>
        <w:t xml:space="preserve"> and students are encouraged to login regularly to the online class site. I frequently use the tracking feature in CANVAS to monitor student activity. Students are also encouraged to participate in all class activities such as discussion board, chat or conference sessions and group projects. Please make sure that you complete your assignments on time. For timely completion of weekly module activities 10 points each week are assigned. </w:t>
      </w:r>
    </w:p>
    <w:p w14:paraId="5F673A6C" w14:textId="77777777" w:rsidR="001E7F6C" w:rsidRPr="00F66C46" w:rsidRDefault="001E7F6C" w:rsidP="0034140B">
      <w:pPr>
        <w:spacing w:after="0" w:line="240" w:lineRule="auto"/>
        <w:rPr>
          <w:rFonts w:cstheme="minorHAnsi"/>
          <w:color w:val="000000" w:themeColor="text1"/>
        </w:rPr>
      </w:pPr>
    </w:p>
    <w:p w14:paraId="163932C2" w14:textId="77777777" w:rsidR="001E7F6C" w:rsidRPr="00451384" w:rsidRDefault="001E7F6C" w:rsidP="0034140B">
      <w:pPr>
        <w:spacing w:after="0" w:line="240" w:lineRule="auto"/>
        <w:rPr>
          <w:rFonts w:eastAsiaTheme="minorEastAsia" w:cstheme="minorHAnsi"/>
          <w:color w:val="2F5496" w:themeColor="accent1" w:themeShade="BF"/>
        </w:rPr>
      </w:pPr>
      <w:r w:rsidRPr="00F66C46">
        <w:rPr>
          <w:rFonts w:eastAsiaTheme="minorEastAsia" w:cstheme="minorHAnsi"/>
          <w:b/>
          <w:bCs/>
          <w:color w:val="000000" w:themeColor="text1"/>
        </w:rPr>
        <w:t>Emergency Notifications:</w:t>
      </w:r>
      <w:r w:rsidRPr="00F66C46">
        <w:rPr>
          <w:rFonts w:eastAsiaTheme="minorEastAsia" w:cstheme="minorHAnsi"/>
          <w:color w:val="000000" w:themeColor="text1"/>
        </w:rPr>
        <w:t xml:space="preserve"> students will be notified by Eagle Alert if there is a campus closing that will impact a class and describe that the calendar is subject to change, citing the </w:t>
      </w:r>
      <w:hyperlink r:id="rId14" w:history="1">
        <w:r w:rsidRPr="00451384">
          <w:rPr>
            <w:rStyle w:val="Hyperlink"/>
            <w:rFonts w:eastAsiaTheme="minorEastAsia" w:cstheme="minorHAnsi"/>
            <w:color w:val="2F5496" w:themeColor="accent1" w:themeShade="BF"/>
          </w:rPr>
          <w:t>Emergency Notifications and Procedures Policy (PDF)</w:t>
        </w:r>
      </w:hyperlink>
      <w:r w:rsidRPr="00451384">
        <w:rPr>
          <w:rFonts w:eastAsiaTheme="minorEastAsia" w:cstheme="minorHAnsi"/>
          <w:color w:val="2F5496" w:themeColor="accent1" w:themeShade="BF"/>
        </w:rPr>
        <w:t xml:space="preserve"> </w:t>
      </w:r>
    </w:p>
    <w:p w14:paraId="2B5CE7B6" w14:textId="77777777" w:rsidR="001E7F6C" w:rsidRPr="00451384" w:rsidRDefault="001E7F6C" w:rsidP="0034140B">
      <w:pPr>
        <w:spacing w:after="0" w:line="240" w:lineRule="auto"/>
        <w:rPr>
          <w:rFonts w:eastAsiaTheme="minorEastAsia" w:cstheme="minorHAnsi"/>
          <w:color w:val="2F5496" w:themeColor="accent1" w:themeShade="BF"/>
        </w:rPr>
      </w:pPr>
    </w:p>
    <w:p w14:paraId="2632038A" w14:textId="77777777" w:rsidR="001E7F6C" w:rsidRPr="00F66C46" w:rsidRDefault="001E7F6C" w:rsidP="0034140B">
      <w:pPr>
        <w:spacing w:after="0" w:line="240" w:lineRule="auto"/>
        <w:rPr>
          <w:rFonts w:eastAsiaTheme="minorEastAsia" w:cstheme="minorHAnsi"/>
          <w:color w:val="000000" w:themeColor="text1"/>
        </w:rPr>
      </w:pPr>
      <w:r w:rsidRPr="00F66C46">
        <w:rPr>
          <w:rFonts w:eastAsiaTheme="minorEastAsia" w:cstheme="minorHAnsi"/>
          <w:b/>
          <w:bCs/>
          <w:color w:val="000000" w:themeColor="text1"/>
        </w:rPr>
        <w:t xml:space="preserve">Policy on Server Unavailability or Other Technical Difficulties: </w:t>
      </w:r>
      <w:r w:rsidRPr="00F66C46">
        <w:rPr>
          <w:rFonts w:eastAsiaTheme="minorEastAsia" w:cstheme="minorHAnsi"/>
          <w:color w:val="000000" w:themeColor="text1"/>
        </w:rPr>
        <w:t xml:space="preserve">The University is committed to providing a reliable online course system to all users. However, in the event of any recorded unexpected server outage or any unusual technical difficulty, which prevents students from completing a time sensitive assessment activity, students should immediately report any problems to the instructor </w:t>
      </w:r>
      <w:proofErr w:type="gramStart"/>
      <w:r w:rsidRPr="00F66C46">
        <w:rPr>
          <w:rFonts w:eastAsiaTheme="minorEastAsia" w:cstheme="minorHAnsi"/>
          <w:color w:val="000000" w:themeColor="text1"/>
        </w:rPr>
        <w:t>and also</w:t>
      </w:r>
      <w:proofErr w:type="gramEnd"/>
      <w:r w:rsidRPr="00F66C46">
        <w:rPr>
          <w:rFonts w:eastAsiaTheme="minorEastAsia" w:cstheme="minorHAnsi"/>
          <w:color w:val="000000" w:themeColor="text1"/>
        </w:rPr>
        <w:t xml:space="preserve"> contact the UNT Student Help Desk: </w:t>
      </w:r>
      <w:r w:rsidRPr="000005D7">
        <w:rPr>
          <w:rFonts w:eastAsiaTheme="minorEastAsia" w:cstheme="minorHAnsi"/>
          <w:color w:val="2F5496" w:themeColor="accent1" w:themeShade="BF"/>
        </w:rPr>
        <w:t xml:space="preserve">helpdesk@unt.edu </w:t>
      </w:r>
      <w:r w:rsidRPr="00F66C46">
        <w:rPr>
          <w:rFonts w:eastAsiaTheme="minorEastAsia" w:cstheme="minorHAnsi"/>
          <w:color w:val="000000" w:themeColor="text1"/>
        </w:rPr>
        <w:t xml:space="preserve">or 940.565.2324 </w:t>
      </w:r>
    </w:p>
    <w:p w14:paraId="67BE977A" w14:textId="77777777" w:rsidR="001E7F6C" w:rsidRPr="00F66C46" w:rsidRDefault="001E7F6C" w:rsidP="0034140B">
      <w:pPr>
        <w:spacing w:after="0" w:line="240" w:lineRule="auto"/>
        <w:rPr>
          <w:rFonts w:cstheme="minorHAnsi"/>
          <w:color w:val="000000" w:themeColor="text1"/>
        </w:rPr>
      </w:pPr>
    </w:p>
    <w:p w14:paraId="15C61510" w14:textId="77777777" w:rsidR="001E7F6C" w:rsidRPr="00F66C46" w:rsidRDefault="001E7F6C" w:rsidP="0034140B">
      <w:pPr>
        <w:spacing w:after="0" w:line="240" w:lineRule="auto"/>
        <w:rPr>
          <w:rFonts w:ascii="Calibri" w:eastAsia="Calibri" w:hAnsi="Calibri" w:cs="Calibri"/>
          <w:color w:val="000000" w:themeColor="text1"/>
        </w:rPr>
      </w:pPr>
      <w:r w:rsidRPr="00F66C46">
        <w:rPr>
          <w:rFonts w:cstheme="minorHAnsi"/>
          <w:b/>
          <w:bCs/>
          <w:color w:val="000000" w:themeColor="text1"/>
        </w:rPr>
        <w:t>Student Support Services</w:t>
      </w:r>
      <w:r w:rsidRPr="00F66C46">
        <w:rPr>
          <w:rFonts w:cstheme="minorHAnsi"/>
          <w:color w:val="000000" w:themeColor="text1"/>
        </w:rPr>
        <w:t xml:space="preserve">: Students can visit </w:t>
      </w:r>
      <w:r w:rsidRPr="00F66C46">
        <w:rPr>
          <w:rFonts w:ascii="Calibri" w:eastAsia="Calibri" w:hAnsi="Calibri" w:cs="Calibri"/>
          <w:color w:val="000000" w:themeColor="text1"/>
        </w:rPr>
        <w:t xml:space="preserve">the </w:t>
      </w:r>
      <w:hyperlink r:id="rId15">
        <w:r w:rsidRPr="00451384">
          <w:rPr>
            <w:rStyle w:val="Hyperlink"/>
            <w:rFonts w:ascii="Calibri" w:eastAsia="Calibri" w:hAnsi="Calibri" w:cs="Calibri"/>
            <w:color w:val="2F5496" w:themeColor="accent1" w:themeShade="BF"/>
          </w:rPr>
          <w:t>Student Support Services &amp; Policies</w:t>
        </w:r>
      </w:hyperlink>
      <w:r w:rsidRPr="00451384">
        <w:rPr>
          <w:rFonts w:ascii="Calibri" w:eastAsia="Calibri" w:hAnsi="Calibri" w:cs="Calibri"/>
          <w:color w:val="2F5496" w:themeColor="accent1" w:themeShade="BF"/>
        </w:rPr>
        <w:t xml:space="preserve"> </w:t>
      </w:r>
      <w:r w:rsidRPr="00F66C46">
        <w:rPr>
          <w:rFonts w:ascii="Calibri" w:eastAsia="Calibri" w:hAnsi="Calibri" w:cs="Calibri"/>
          <w:color w:val="000000" w:themeColor="text1"/>
        </w:rPr>
        <w:t xml:space="preserve">page to know in details about the COVID-19 policies and procedures, especially in relation to wearing masks on campus. </w:t>
      </w:r>
    </w:p>
    <w:p w14:paraId="6B22D64F" w14:textId="77777777" w:rsidR="001E7F6C" w:rsidRPr="00F66C46" w:rsidRDefault="001E7F6C" w:rsidP="0034140B">
      <w:pPr>
        <w:spacing w:after="0" w:line="240" w:lineRule="auto"/>
        <w:rPr>
          <w:rFonts w:ascii="Calibri" w:eastAsia="Calibri" w:hAnsi="Calibri" w:cs="Calibri"/>
          <w:color w:val="000000" w:themeColor="text1"/>
        </w:rPr>
      </w:pPr>
    </w:p>
    <w:p w14:paraId="32848A30" w14:textId="77777777" w:rsidR="001E7F6C" w:rsidRPr="00F66C46" w:rsidRDefault="001E7F6C" w:rsidP="0034140B">
      <w:pPr>
        <w:spacing w:after="0" w:line="240" w:lineRule="auto"/>
        <w:rPr>
          <w:rFonts w:cstheme="minorHAnsi"/>
          <w:color w:val="000000" w:themeColor="text1"/>
        </w:rPr>
      </w:pPr>
      <w:r w:rsidRPr="00F66C46">
        <w:rPr>
          <w:rFonts w:cstheme="minorHAnsi"/>
          <w:b/>
          <w:bCs/>
          <w:color w:val="000000" w:themeColor="text1"/>
        </w:rPr>
        <w:t>Add/Drop Policy:</w:t>
      </w:r>
      <w:r w:rsidRPr="00F66C46">
        <w:rPr>
          <w:rFonts w:cstheme="minorHAnsi"/>
          <w:color w:val="000000" w:themeColor="text1"/>
        </w:rPr>
        <w:t xml:space="preserve"> Please refer to the Office of the Registrar regarding the Add/Drop Policy. </w:t>
      </w:r>
    </w:p>
    <w:p w14:paraId="21B62616" w14:textId="77777777" w:rsidR="001E7F6C" w:rsidRPr="00F66C46" w:rsidRDefault="001E7F6C" w:rsidP="0034140B">
      <w:pPr>
        <w:spacing w:after="0" w:line="240" w:lineRule="auto"/>
        <w:rPr>
          <w:rFonts w:cstheme="minorHAnsi"/>
          <w:color w:val="000000" w:themeColor="text1"/>
        </w:rPr>
      </w:pPr>
    </w:p>
    <w:p w14:paraId="63DFDAE1" w14:textId="77777777" w:rsidR="001E7F6C" w:rsidRPr="00F66C46" w:rsidRDefault="001E7F6C" w:rsidP="0034140B">
      <w:pPr>
        <w:spacing w:after="0" w:line="240" w:lineRule="auto"/>
        <w:rPr>
          <w:rFonts w:cstheme="minorHAnsi"/>
          <w:color w:val="000000" w:themeColor="text1"/>
        </w:rPr>
      </w:pPr>
      <w:r w:rsidRPr="00F66C46">
        <w:rPr>
          <w:rFonts w:cstheme="minorHAnsi"/>
          <w:b/>
          <w:bCs/>
          <w:color w:val="000000" w:themeColor="text1"/>
        </w:rPr>
        <w:t>Incomplete Grade:</w:t>
      </w:r>
      <w:r w:rsidRPr="00F66C46">
        <w:rPr>
          <w:rFonts w:cstheme="minorHAnsi"/>
          <w:color w:val="000000" w:themeColor="text1"/>
        </w:rPr>
        <w:t xml:space="preserve"> Students are expected to complete the course within the session time frame. A grade of Incomplete will only be given if the student is (a) passing the course, has completed 75% of the course requirement, (b) has very compelling special circumstances, and (c) provides adequate documentation. I will require that the course requirements be fulfilled by the end of the following semester. </w:t>
      </w:r>
    </w:p>
    <w:p w14:paraId="1DDCCF1E" w14:textId="77777777" w:rsidR="001E7F6C" w:rsidRPr="00F66C46" w:rsidRDefault="001E7F6C" w:rsidP="0034140B">
      <w:pPr>
        <w:spacing w:after="0" w:line="240" w:lineRule="auto"/>
        <w:ind w:firstLine="720"/>
        <w:rPr>
          <w:rFonts w:cstheme="minorHAnsi"/>
          <w:color w:val="000000" w:themeColor="text1"/>
        </w:rPr>
      </w:pPr>
      <w:r w:rsidRPr="00F66C46">
        <w:rPr>
          <w:rFonts w:cstheme="minorHAnsi"/>
          <w:color w:val="000000" w:themeColor="text1"/>
        </w:rPr>
        <w:t xml:space="preserve">According to UNT policy: § An Incomplete Grade ("I") is a non-punitive grade given only during the last one- fourth of a term/semester and only if a student (1) is passing the course and (2) has a justifiable and documented reason, beyond the control of the student (such as serious illness or military service), for not completing the work on schedule. </w:t>
      </w:r>
    </w:p>
    <w:p w14:paraId="3B028286" w14:textId="77777777" w:rsidR="001E7F6C" w:rsidRPr="00F66C46" w:rsidRDefault="001E7F6C" w:rsidP="0034140B">
      <w:pPr>
        <w:spacing w:after="0" w:line="240" w:lineRule="auto"/>
        <w:ind w:firstLine="720"/>
        <w:rPr>
          <w:rFonts w:cstheme="minorHAnsi"/>
          <w:color w:val="000000" w:themeColor="text1"/>
        </w:rPr>
      </w:pPr>
      <w:r w:rsidRPr="00F66C46">
        <w:rPr>
          <w:rFonts w:cstheme="minorHAnsi"/>
          <w:color w:val="000000" w:themeColor="text1"/>
        </w:rPr>
        <w:t xml:space="preserve">§ The student must arrange with the instructor to finish the course </w:t>
      </w:r>
      <w:proofErr w:type="gramStart"/>
      <w:r w:rsidRPr="00F66C46">
        <w:rPr>
          <w:rFonts w:cstheme="minorHAnsi"/>
          <w:color w:val="000000" w:themeColor="text1"/>
        </w:rPr>
        <w:t>at a later date</w:t>
      </w:r>
      <w:proofErr w:type="gramEnd"/>
      <w:r w:rsidRPr="00F66C46">
        <w:rPr>
          <w:rFonts w:cstheme="minorHAnsi"/>
          <w:color w:val="000000" w:themeColor="text1"/>
        </w:rPr>
        <w:t xml:space="preserve"> by completing specific requirements. These requirements must be listed on a Request for Grade of Incomplete form signed by the instructor, student, and department chair; </w:t>
      </w:r>
      <w:proofErr w:type="gramStart"/>
      <w:r w:rsidRPr="00F66C46">
        <w:rPr>
          <w:rFonts w:cstheme="minorHAnsi"/>
          <w:color w:val="000000" w:themeColor="text1"/>
        </w:rPr>
        <w:t>and also</w:t>
      </w:r>
      <w:proofErr w:type="gramEnd"/>
      <w:r w:rsidRPr="00F66C46">
        <w:rPr>
          <w:rFonts w:cstheme="minorHAnsi"/>
          <w:color w:val="000000" w:themeColor="text1"/>
        </w:rPr>
        <w:t xml:space="preserve"> entered on the grade roster by the instructor. (</w:t>
      </w:r>
      <w:hyperlink r:id="rId16" w:history="1">
        <w:r w:rsidRPr="00451384">
          <w:rPr>
            <w:rStyle w:val="Hyperlink"/>
            <w:rFonts w:cstheme="minorHAnsi"/>
            <w:color w:val="2F5496" w:themeColor="accent1" w:themeShade="BF"/>
          </w:rPr>
          <w:t>http://essc.unt.edu/registrar/incomplete.htm</w:t>
        </w:r>
      </w:hyperlink>
      <w:r w:rsidRPr="00451384">
        <w:rPr>
          <w:rFonts w:cstheme="minorHAnsi"/>
          <w:color w:val="2F5496" w:themeColor="accent1" w:themeShade="BF"/>
        </w:rPr>
        <w:t xml:space="preserve"> </w:t>
      </w:r>
      <w:r w:rsidRPr="00F66C46">
        <w:rPr>
          <w:rFonts w:cstheme="minorHAnsi"/>
          <w:color w:val="000000" w:themeColor="text1"/>
        </w:rPr>
        <w:t>, p. 1).</w:t>
      </w:r>
    </w:p>
    <w:p w14:paraId="6A56133D" w14:textId="77777777" w:rsidR="001E7F6C" w:rsidRPr="00F66C46" w:rsidRDefault="001E7F6C" w:rsidP="0034140B">
      <w:pPr>
        <w:spacing w:after="0" w:line="240" w:lineRule="auto"/>
        <w:ind w:firstLine="720"/>
        <w:rPr>
          <w:rFonts w:cstheme="minorHAnsi"/>
          <w:color w:val="000000" w:themeColor="text1"/>
        </w:rPr>
      </w:pPr>
      <w:r w:rsidRPr="00F66C46">
        <w:rPr>
          <w:rFonts w:cstheme="minorHAnsi"/>
          <w:color w:val="000000" w:themeColor="text1"/>
        </w:rPr>
        <w:t>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Please come talk to me if you find yourself having any difficulties with keeping up with the assignments or are not doing well on the quizzes.</w:t>
      </w:r>
    </w:p>
    <w:p w14:paraId="032CECB9" w14:textId="77777777" w:rsidR="001E7F6C" w:rsidRPr="00F66C46" w:rsidRDefault="001E7F6C" w:rsidP="0034140B">
      <w:pPr>
        <w:spacing w:after="0" w:line="240" w:lineRule="auto"/>
        <w:rPr>
          <w:rFonts w:cstheme="minorHAnsi"/>
          <w:color w:val="000000" w:themeColor="text1"/>
        </w:rPr>
      </w:pPr>
    </w:p>
    <w:p w14:paraId="6D821559" w14:textId="77777777" w:rsidR="001E7F6C" w:rsidRPr="00F66C46" w:rsidRDefault="001E7F6C" w:rsidP="0034140B">
      <w:pPr>
        <w:spacing w:after="0" w:line="240" w:lineRule="auto"/>
        <w:rPr>
          <w:rFonts w:cstheme="minorHAnsi"/>
          <w:color w:val="000000" w:themeColor="text1"/>
        </w:rPr>
      </w:pPr>
      <w:r w:rsidRPr="00F66C46">
        <w:rPr>
          <w:rFonts w:cstheme="minorHAnsi"/>
          <w:b/>
          <w:bCs/>
          <w:color w:val="000000" w:themeColor="text1"/>
        </w:rPr>
        <w:t>Instructor Rights:</w:t>
      </w:r>
      <w:r w:rsidRPr="00F66C46">
        <w:rPr>
          <w:rFonts w:cstheme="minorHAnsi"/>
          <w:color w:val="000000" w:themeColor="text1"/>
        </w:rPr>
        <w:t xml:space="preserve"> The instructor reserves the right to change the schedule, assignments, and/or evaluation criteria throughout the semester. You will occasionally receive other assignments or readings as the instructor deems fit. Any changes will be announced to the class with sufficient notice to prepare for the changes. It is your responsibility to keep informed about discussion topics and assignments. If in doubt, check with your instructor.</w:t>
      </w:r>
    </w:p>
    <w:p w14:paraId="6FBF702C" w14:textId="77777777" w:rsidR="005B3C15" w:rsidRDefault="005B3C15"/>
    <w:sectPr w:rsidR="005B3C15" w:rsidSect="00536275">
      <w:headerReference w:type="default" r:id="rId17"/>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6EC92" w14:textId="77777777" w:rsidR="00564A96" w:rsidRDefault="00564A96">
      <w:pPr>
        <w:spacing w:after="0" w:line="240" w:lineRule="auto"/>
      </w:pPr>
      <w:r>
        <w:separator/>
      </w:r>
    </w:p>
  </w:endnote>
  <w:endnote w:type="continuationSeparator" w:id="0">
    <w:p w14:paraId="06E99F48" w14:textId="77777777" w:rsidR="00564A96" w:rsidRDefault="0056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39F447B1" w14:textId="77777777" w:rsidR="007632CC" w:rsidRDefault="00000000" w:rsidP="007F2323">
        <w:pPr>
          <w:pStyle w:val="Footer"/>
          <w:jc w:val="right"/>
        </w:pPr>
        <w:r>
          <w:t xml:space="preserve">University of North Texas | 01/06/2022 | </w:t>
        </w:r>
        <w:r w:rsidRPr="5167209C">
          <w:rPr>
            <w:noProof/>
          </w:rPr>
          <w:fldChar w:fldCharType="begin"/>
        </w:r>
        <w:r>
          <w:instrText xml:space="preserve"> PAGE   \* MERGEFORMAT </w:instrText>
        </w:r>
        <w:r w:rsidRPr="5167209C">
          <w:fldChar w:fldCharType="separate"/>
        </w:r>
        <w:r w:rsidRPr="5167209C">
          <w:rPr>
            <w:noProof/>
          </w:rPr>
          <w:t>6</w:t>
        </w:r>
        <w:r w:rsidRPr="5167209C">
          <w:rPr>
            <w:noProof/>
          </w:rPr>
          <w:fldChar w:fldCharType="end"/>
        </w:r>
      </w:p>
    </w:sdtContent>
  </w:sdt>
  <w:p w14:paraId="6B6F339B" w14:textId="77777777" w:rsidR="007632CC" w:rsidRDefault="00763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2B5C" w14:textId="77777777" w:rsidR="00564A96" w:rsidRDefault="00564A96">
      <w:pPr>
        <w:spacing w:after="0" w:line="240" w:lineRule="auto"/>
      </w:pPr>
      <w:r>
        <w:separator/>
      </w:r>
    </w:p>
  </w:footnote>
  <w:footnote w:type="continuationSeparator" w:id="0">
    <w:p w14:paraId="54AFB4BC" w14:textId="77777777" w:rsidR="00564A96" w:rsidRDefault="00564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1091" w14:textId="77777777" w:rsidR="007632CC" w:rsidRDefault="007632CC"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50EB4"/>
    <w:multiLevelType w:val="multilevel"/>
    <w:tmpl w:val="7CF8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120D8"/>
    <w:multiLevelType w:val="hybridMultilevel"/>
    <w:tmpl w:val="F2204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2E7228"/>
    <w:multiLevelType w:val="hybridMultilevel"/>
    <w:tmpl w:val="D3642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735EF"/>
    <w:multiLevelType w:val="multilevel"/>
    <w:tmpl w:val="BFD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7D61F3"/>
    <w:multiLevelType w:val="multilevel"/>
    <w:tmpl w:val="E6EA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214A3"/>
    <w:multiLevelType w:val="hybridMultilevel"/>
    <w:tmpl w:val="C7E660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98C639E"/>
    <w:multiLevelType w:val="hybridMultilevel"/>
    <w:tmpl w:val="9EB299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D119E7"/>
    <w:multiLevelType w:val="multilevel"/>
    <w:tmpl w:val="BFD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31BAC"/>
    <w:multiLevelType w:val="hybridMultilevel"/>
    <w:tmpl w:val="73BC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679594">
    <w:abstractNumId w:val="1"/>
  </w:num>
  <w:num w:numId="2" w16cid:durableId="1110861276">
    <w:abstractNumId w:val="5"/>
  </w:num>
  <w:num w:numId="3" w16cid:durableId="1899702006">
    <w:abstractNumId w:val="9"/>
  </w:num>
  <w:num w:numId="4" w16cid:durableId="1715471432">
    <w:abstractNumId w:val="2"/>
  </w:num>
  <w:num w:numId="5" w16cid:durableId="1765952286">
    <w:abstractNumId w:val="0"/>
  </w:num>
  <w:num w:numId="6" w16cid:durableId="748505745">
    <w:abstractNumId w:val="3"/>
  </w:num>
  <w:num w:numId="7" w16cid:durableId="641539949">
    <w:abstractNumId w:val="7"/>
  </w:num>
  <w:num w:numId="8" w16cid:durableId="1488857920">
    <w:abstractNumId w:val="6"/>
  </w:num>
  <w:num w:numId="9" w16cid:durableId="1229654539">
    <w:abstractNumId w:val="4"/>
  </w:num>
  <w:num w:numId="10" w16cid:durableId="546920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6C"/>
    <w:rsid w:val="000005D7"/>
    <w:rsid w:val="00051D14"/>
    <w:rsid w:val="001173EE"/>
    <w:rsid w:val="001B7E11"/>
    <w:rsid w:val="001E7F6C"/>
    <w:rsid w:val="002017CD"/>
    <w:rsid w:val="00250DC3"/>
    <w:rsid w:val="002E1775"/>
    <w:rsid w:val="00325470"/>
    <w:rsid w:val="0034140B"/>
    <w:rsid w:val="003B4916"/>
    <w:rsid w:val="00427DD3"/>
    <w:rsid w:val="00451384"/>
    <w:rsid w:val="00497CF3"/>
    <w:rsid w:val="00534E9E"/>
    <w:rsid w:val="00536275"/>
    <w:rsid w:val="00564A96"/>
    <w:rsid w:val="005B3C15"/>
    <w:rsid w:val="005C2E7D"/>
    <w:rsid w:val="005E58C4"/>
    <w:rsid w:val="00605A1C"/>
    <w:rsid w:val="006600D1"/>
    <w:rsid w:val="006C30DA"/>
    <w:rsid w:val="006E5EEF"/>
    <w:rsid w:val="00711492"/>
    <w:rsid w:val="00715437"/>
    <w:rsid w:val="00754E9C"/>
    <w:rsid w:val="007632CC"/>
    <w:rsid w:val="007F0A12"/>
    <w:rsid w:val="0083753A"/>
    <w:rsid w:val="00857DEB"/>
    <w:rsid w:val="008644C7"/>
    <w:rsid w:val="00931268"/>
    <w:rsid w:val="00A76EC4"/>
    <w:rsid w:val="00AF21D2"/>
    <w:rsid w:val="00B64190"/>
    <w:rsid w:val="00D3485F"/>
    <w:rsid w:val="00DA7F2A"/>
    <w:rsid w:val="00DE5F0B"/>
    <w:rsid w:val="00E21E22"/>
    <w:rsid w:val="00E74791"/>
    <w:rsid w:val="00F66C46"/>
    <w:rsid w:val="00FC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C798F6"/>
  <w15:chartTrackingRefBased/>
  <w15:docId w15:val="{23C70493-3BB0-B540-8521-284682EA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1D2"/>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AF21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7F6C"/>
    <w:pPr>
      <w:keepNext/>
      <w:keepLines/>
      <w:spacing w:before="120" w:after="120"/>
      <w:outlineLvl w:val="1"/>
    </w:pPr>
    <w:rPr>
      <w:rFonts w:eastAsiaTheme="majorEastAsia" w:cstheme="majorBidi"/>
      <w:color w:val="7B7B7B" w:themeColor="accent3" w:themeShade="BF"/>
      <w:sz w:val="30"/>
      <w:szCs w:val="26"/>
    </w:rPr>
  </w:style>
  <w:style w:type="paragraph" w:styleId="Heading3">
    <w:name w:val="heading 3"/>
    <w:basedOn w:val="Normal"/>
    <w:next w:val="Normal"/>
    <w:link w:val="Heading3Char"/>
    <w:uiPriority w:val="9"/>
    <w:unhideWhenUsed/>
    <w:qFormat/>
    <w:rsid w:val="001E7F6C"/>
    <w:pPr>
      <w:keepNext/>
      <w:keepLines/>
      <w:spacing w:after="0"/>
      <w:outlineLvl w:val="2"/>
    </w:pPr>
    <w:rPr>
      <w:rFonts w:eastAsiaTheme="majorEastAsia" w:cstheme="majorBidi"/>
      <w:color w:val="7B7B7B" w:themeColor="accent3" w:themeShade="BF"/>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F6C"/>
    <w:rPr>
      <w:rFonts w:eastAsiaTheme="majorEastAsia" w:cstheme="majorBidi"/>
      <w:color w:val="7B7B7B" w:themeColor="accent3" w:themeShade="BF"/>
      <w:kern w:val="0"/>
      <w:sz w:val="30"/>
      <w:szCs w:val="26"/>
      <w14:ligatures w14:val="none"/>
    </w:rPr>
  </w:style>
  <w:style w:type="character" w:customStyle="1" w:styleId="Heading3Char">
    <w:name w:val="Heading 3 Char"/>
    <w:basedOn w:val="DefaultParagraphFont"/>
    <w:link w:val="Heading3"/>
    <w:uiPriority w:val="9"/>
    <w:rsid w:val="001E7F6C"/>
    <w:rPr>
      <w:rFonts w:eastAsiaTheme="majorEastAsia" w:cstheme="majorBidi"/>
      <w:color w:val="7B7B7B" w:themeColor="accent3" w:themeShade="BF"/>
      <w:kern w:val="0"/>
      <w:sz w:val="26"/>
      <w14:ligatures w14:val="none"/>
    </w:rPr>
  </w:style>
  <w:style w:type="character" w:styleId="Hyperlink">
    <w:name w:val="Hyperlink"/>
    <w:basedOn w:val="DefaultParagraphFont"/>
    <w:uiPriority w:val="99"/>
    <w:unhideWhenUsed/>
    <w:rsid w:val="001E7F6C"/>
    <w:rPr>
      <w:color w:val="385623" w:themeColor="accent6" w:themeShade="80"/>
      <w:u w:val="single"/>
    </w:rPr>
  </w:style>
  <w:style w:type="paragraph" w:styleId="ListParagraph">
    <w:name w:val="List Paragraph"/>
    <w:basedOn w:val="Normal"/>
    <w:uiPriority w:val="34"/>
    <w:qFormat/>
    <w:rsid w:val="001E7F6C"/>
    <w:pPr>
      <w:ind w:left="720"/>
      <w:contextualSpacing/>
    </w:pPr>
  </w:style>
  <w:style w:type="paragraph" w:styleId="Header">
    <w:name w:val="header"/>
    <w:basedOn w:val="Normal"/>
    <w:link w:val="HeaderChar"/>
    <w:uiPriority w:val="99"/>
    <w:unhideWhenUsed/>
    <w:rsid w:val="001E7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F6C"/>
    <w:rPr>
      <w:kern w:val="0"/>
      <w:sz w:val="22"/>
      <w:szCs w:val="22"/>
      <w14:ligatures w14:val="none"/>
    </w:rPr>
  </w:style>
  <w:style w:type="paragraph" w:styleId="Footer">
    <w:name w:val="footer"/>
    <w:basedOn w:val="Normal"/>
    <w:link w:val="FooterChar"/>
    <w:uiPriority w:val="99"/>
    <w:unhideWhenUsed/>
    <w:rsid w:val="001E7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F6C"/>
    <w:rPr>
      <w:kern w:val="0"/>
      <w:sz w:val="22"/>
      <w:szCs w:val="22"/>
      <w14:ligatures w14:val="none"/>
    </w:rPr>
  </w:style>
  <w:style w:type="table" w:styleId="TableGrid">
    <w:name w:val="Table Grid"/>
    <w:basedOn w:val="TableNormal"/>
    <w:uiPriority w:val="59"/>
    <w:rsid w:val="001E7F6C"/>
    <w:pPr>
      <w:ind w:left="720" w:hanging="360"/>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eitemhidden">
    <w:name w:val="mceitemhidden"/>
    <w:basedOn w:val="DefaultParagraphFont"/>
    <w:rsid w:val="001E7F6C"/>
  </w:style>
  <w:style w:type="paragraph" w:styleId="NormalWeb">
    <w:name w:val="Normal (Web)"/>
    <w:basedOn w:val="Normal"/>
    <w:uiPriority w:val="99"/>
    <w:unhideWhenUsed/>
    <w:rsid w:val="001E7F6C"/>
    <w:pPr>
      <w:spacing w:before="100" w:beforeAutospacing="1" w:after="100" w:afterAutospacing="1" w:line="240" w:lineRule="auto"/>
    </w:pPr>
    <w:rPr>
      <w:rFonts w:ascii="Times New Roman" w:eastAsiaTheme="minorEastAsia" w:hAnsi="Times New Roman" w:cs="Times New Roman"/>
      <w:sz w:val="24"/>
      <w:szCs w:val="24"/>
      <w:u w:color="000000"/>
    </w:rPr>
  </w:style>
  <w:style w:type="character" w:customStyle="1" w:styleId="apple-converted-space">
    <w:name w:val="apple-converted-space"/>
    <w:basedOn w:val="DefaultParagraphFont"/>
    <w:rsid w:val="001E7F6C"/>
  </w:style>
  <w:style w:type="character" w:customStyle="1" w:styleId="Heading1Char">
    <w:name w:val="Heading 1 Char"/>
    <w:basedOn w:val="DefaultParagraphFont"/>
    <w:link w:val="Heading1"/>
    <w:uiPriority w:val="9"/>
    <w:rsid w:val="00AF21D2"/>
    <w:rPr>
      <w:rFonts w:asciiTheme="majorHAnsi" w:eastAsiaTheme="majorEastAsia" w:hAnsiTheme="majorHAnsi" w:cstheme="majorBidi"/>
      <w:color w:val="2F5496" w:themeColor="accent1" w:themeShade="BF"/>
      <w:kern w:val="0"/>
      <w:sz w:val="32"/>
      <w:szCs w:val="32"/>
      <w14:ligatures w14:val="none"/>
    </w:rPr>
  </w:style>
  <w:style w:type="character" w:styleId="FollowedHyperlink">
    <w:name w:val="FollowedHyperlink"/>
    <w:basedOn w:val="DefaultParagraphFont"/>
    <w:uiPriority w:val="99"/>
    <w:semiHidden/>
    <w:unhideWhenUsed/>
    <w:rsid w:val="00451384"/>
    <w:rPr>
      <w:color w:val="954F72" w:themeColor="followedHyperlink"/>
      <w:u w:val="single"/>
    </w:rPr>
  </w:style>
  <w:style w:type="character" w:styleId="Emphasis">
    <w:name w:val="Emphasis"/>
    <w:basedOn w:val="DefaultParagraphFont"/>
    <w:uiPriority w:val="20"/>
    <w:qFormat/>
    <w:rsid w:val="00E747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62518">
      <w:bodyDiv w:val="1"/>
      <w:marLeft w:val="0"/>
      <w:marRight w:val="0"/>
      <w:marTop w:val="0"/>
      <w:marBottom w:val="0"/>
      <w:divBdr>
        <w:top w:val="none" w:sz="0" w:space="0" w:color="auto"/>
        <w:left w:val="none" w:sz="0" w:space="0" w:color="auto"/>
        <w:bottom w:val="none" w:sz="0" w:space="0" w:color="auto"/>
        <w:right w:val="none" w:sz="0" w:space="0" w:color="auto"/>
      </w:divBdr>
    </w:div>
    <w:div w:id="943997035">
      <w:bodyDiv w:val="1"/>
      <w:marLeft w:val="0"/>
      <w:marRight w:val="0"/>
      <w:marTop w:val="0"/>
      <w:marBottom w:val="0"/>
      <w:divBdr>
        <w:top w:val="none" w:sz="0" w:space="0" w:color="auto"/>
        <w:left w:val="none" w:sz="0" w:space="0" w:color="auto"/>
        <w:bottom w:val="none" w:sz="0" w:space="0" w:color="auto"/>
        <w:right w:val="none" w:sz="0" w:space="0" w:color="auto"/>
      </w:divBdr>
    </w:div>
    <w:div w:id="1133599944">
      <w:bodyDiv w:val="1"/>
      <w:marLeft w:val="0"/>
      <w:marRight w:val="0"/>
      <w:marTop w:val="0"/>
      <w:marBottom w:val="0"/>
      <w:divBdr>
        <w:top w:val="none" w:sz="0" w:space="0" w:color="auto"/>
        <w:left w:val="none" w:sz="0" w:space="0" w:color="auto"/>
        <w:bottom w:val="none" w:sz="0" w:space="0" w:color="auto"/>
        <w:right w:val="none" w:sz="0" w:space="0" w:color="auto"/>
      </w:divBdr>
    </w:div>
    <w:div w:id="14441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unt.edu/learn" TargetMode="External"/><Relationship Id="rId13" Type="http://schemas.openxmlformats.org/officeDocument/2006/relationships/hyperlink" Target="https://policy.unt.edu/policy/06-00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lia.Chowdhury@unt.edu" TargetMode="External"/><Relationship Id="rId12" Type="http://schemas.openxmlformats.org/officeDocument/2006/relationships/hyperlink" Target="https://studentaffairs.unt.edu/office-disability-acces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ssc.unt.edu/registrar/incomplet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counseling-and-testing-services/student-counseling/index.html" TargetMode="External"/><Relationship Id="rId5" Type="http://schemas.openxmlformats.org/officeDocument/2006/relationships/footnotes" Target="footnotes.xml"/><Relationship Id="rId15" Type="http://schemas.openxmlformats.org/officeDocument/2006/relationships/hyperlink" Target="https://clear.unt.edu/student-support-services-policies" TargetMode="External"/><Relationship Id="rId10" Type="http://schemas.openxmlformats.org/officeDocument/2006/relationships/hyperlink" Target="https://deanofstudents.unt.edu/condu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policy.unt.edu/sites/default/files/06.049_Standard%20Syllabus%20Policy%20Statements_suppl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Chowdhury, Dalia</dc:creator>
  <cp:keywords/>
  <dc:description/>
  <cp:lastModifiedBy>Chowdhury, Dalia</cp:lastModifiedBy>
  <cp:revision>2</cp:revision>
  <dcterms:created xsi:type="dcterms:W3CDTF">2025-08-10T00:00:00Z</dcterms:created>
  <dcterms:modified xsi:type="dcterms:W3CDTF">2025-08-10T00:00:00Z</dcterms:modified>
</cp:coreProperties>
</file>