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6F24E" w14:textId="77777777" w:rsidR="00D11E2A" w:rsidRDefault="00D11E2A">
      <w:pPr>
        <w:widowControl w:val="0"/>
        <w:pBdr>
          <w:top w:val="nil"/>
          <w:left w:val="nil"/>
          <w:bottom w:val="nil"/>
          <w:right w:val="nil"/>
          <w:between w:val="nil"/>
        </w:pBdr>
        <w:spacing w:line="276" w:lineRule="auto"/>
        <w:rPr>
          <w:color w:val="000000"/>
        </w:rPr>
      </w:pPr>
    </w:p>
    <w:tbl>
      <w:tblPr>
        <w:tblStyle w:val="a"/>
        <w:tblW w:w="9576" w:type="dxa"/>
        <w:tblInd w:w="-115" w:type="dxa"/>
        <w:tblBorders>
          <w:top w:val="nil"/>
          <w:left w:val="nil"/>
          <w:bottom w:val="nil"/>
          <w:right w:val="nil"/>
        </w:tblBorders>
        <w:tblLayout w:type="fixed"/>
        <w:tblLook w:val="0000" w:firstRow="0" w:lastRow="0" w:firstColumn="0" w:lastColumn="0" w:noHBand="0" w:noVBand="0"/>
      </w:tblPr>
      <w:tblGrid>
        <w:gridCol w:w="4320"/>
        <w:gridCol w:w="5256"/>
      </w:tblGrid>
      <w:tr w:rsidR="00D11E2A" w14:paraId="7C908EAF" w14:textId="77777777">
        <w:tc>
          <w:tcPr>
            <w:tcW w:w="9576" w:type="dxa"/>
            <w:gridSpan w:val="2"/>
            <w:shd w:val="clear" w:color="auto" w:fill="06893E"/>
          </w:tcPr>
          <w:p w14:paraId="429A6C4F" w14:textId="77777777" w:rsidR="00D11E2A" w:rsidRDefault="00000000">
            <w:pPr>
              <w:jc w:val="center"/>
              <w:rPr>
                <w:color w:val="000000"/>
              </w:rPr>
            </w:pPr>
            <w:bookmarkStart w:id="0" w:name="_gjdgxs" w:colFirst="0" w:colLast="0"/>
            <w:bookmarkEnd w:id="0"/>
            <w:r>
              <w:rPr>
                <w:color w:val="000000"/>
              </w:rPr>
              <w:t>EDEE 1010: Teaching as Advocacy for Equity</w:t>
            </w:r>
          </w:p>
          <w:p w14:paraId="3939E199" w14:textId="77777777" w:rsidR="00D11E2A" w:rsidRDefault="00000000">
            <w:pPr>
              <w:spacing w:line="259" w:lineRule="auto"/>
              <w:jc w:val="center"/>
              <w:rPr>
                <w:color w:val="000000"/>
              </w:rPr>
            </w:pPr>
            <w:r>
              <w:rPr>
                <w:color w:val="000000"/>
              </w:rPr>
              <w:t>University of North Texas</w:t>
            </w:r>
          </w:p>
        </w:tc>
      </w:tr>
      <w:tr w:rsidR="00D11E2A" w14:paraId="55718A50" w14:textId="77777777">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50BEC330" w14:textId="57D912D5" w:rsidR="00D11E2A" w:rsidRDefault="00000000">
            <w:pPr>
              <w:jc w:val="both"/>
            </w:pPr>
            <w:r>
              <w:rPr>
                <w:b/>
                <w:color w:val="000000"/>
              </w:rPr>
              <w:t>Instructor</w:t>
            </w:r>
            <w:r>
              <w:rPr>
                <w:b/>
              </w:rPr>
              <w:t>:</w:t>
            </w:r>
            <w:r w:rsidR="00A97634">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4152ECC4" w14:textId="3DB44B2C" w:rsidR="00D11E2A" w:rsidRDefault="00000000">
            <w:pPr>
              <w:jc w:val="both"/>
              <w:rPr>
                <w:color w:val="000000"/>
              </w:rPr>
            </w:pPr>
            <w:r>
              <w:rPr>
                <w:b/>
                <w:color w:val="000000"/>
              </w:rPr>
              <w:t>Pronouns</w:t>
            </w:r>
            <w:r w:rsidR="00A97634">
              <w:t xml:space="preserve">: </w:t>
            </w:r>
          </w:p>
          <w:p w14:paraId="2551FD5C" w14:textId="77777777" w:rsidR="00D11E2A" w:rsidRDefault="00D11E2A">
            <w:pPr>
              <w:jc w:val="both"/>
              <w:rPr>
                <w:color w:val="000000"/>
              </w:rPr>
            </w:pPr>
          </w:p>
        </w:tc>
      </w:tr>
      <w:tr w:rsidR="00D11E2A" w14:paraId="46E9B85C"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7FD3FB5F" w14:textId="21A59CBF" w:rsidR="00D11E2A" w:rsidRPr="00A97634" w:rsidRDefault="00000000">
            <w:pPr>
              <w:jc w:val="both"/>
              <w:rPr>
                <w:bCs/>
                <w:color w:val="000000"/>
              </w:rPr>
            </w:pPr>
            <w:r>
              <w:rPr>
                <w:b/>
                <w:color w:val="000000"/>
              </w:rPr>
              <w:t xml:space="preserve">Office location: </w:t>
            </w:r>
          </w:p>
          <w:p w14:paraId="025F6353" w14:textId="77777777" w:rsidR="00D11E2A" w:rsidRDefault="00D11E2A">
            <w:pPr>
              <w:jc w:val="both"/>
              <w:rPr>
                <w:b/>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5703C6AD" w14:textId="48B4B000" w:rsidR="00D11E2A" w:rsidRPr="00A97634" w:rsidRDefault="00000000" w:rsidP="0077309A">
            <w:pPr>
              <w:jc w:val="both"/>
              <w:rPr>
                <w:bCs/>
                <w:color w:val="000000"/>
                <w:u w:val="single"/>
              </w:rPr>
            </w:pPr>
            <w:r>
              <w:rPr>
                <w:b/>
              </w:rPr>
              <w:t>Student office</w:t>
            </w:r>
            <w:r>
              <w:rPr>
                <w:b/>
                <w:color w:val="000000"/>
              </w:rPr>
              <w:t xml:space="preserve"> hours: </w:t>
            </w:r>
          </w:p>
        </w:tc>
      </w:tr>
      <w:tr w:rsidR="00D11E2A" w14:paraId="3F9CDB77"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0F526F47" w14:textId="56D0C1BF" w:rsidR="00D11E2A" w:rsidRPr="00A97634" w:rsidRDefault="00000000">
            <w:pPr>
              <w:jc w:val="both"/>
              <w:rPr>
                <w:bCs/>
                <w:color w:val="000000"/>
              </w:rPr>
            </w:pPr>
            <w:r>
              <w:rPr>
                <w:b/>
                <w:color w:val="000000"/>
              </w:rPr>
              <w:t xml:space="preserve">Contact info: </w:t>
            </w:r>
          </w:p>
          <w:p w14:paraId="68839FB4" w14:textId="77777777" w:rsidR="00D11E2A" w:rsidRDefault="00D11E2A">
            <w:pPr>
              <w:jc w:val="both"/>
              <w:rPr>
                <w:b/>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1C929CFA" w14:textId="697B157D" w:rsidR="00D11E2A" w:rsidRPr="00A97634" w:rsidRDefault="00000000">
            <w:pPr>
              <w:jc w:val="both"/>
              <w:rPr>
                <w:bCs/>
                <w:color w:val="000000"/>
                <w:u w:val="single"/>
              </w:rPr>
            </w:pPr>
            <w:r>
              <w:rPr>
                <w:b/>
                <w:color w:val="000000"/>
              </w:rPr>
              <w:t>Final Exam date/time/place</w:t>
            </w:r>
            <w:r w:rsidR="0077309A">
              <w:rPr>
                <w:b/>
                <w:color w:val="000000"/>
              </w:rPr>
              <w:t>:</w:t>
            </w:r>
            <w:r w:rsidR="00A97634">
              <w:rPr>
                <w:b/>
                <w:color w:val="000000"/>
              </w:rPr>
              <w:t xml:space="preserve"> </w:t>
            </w:r>
          </w:p>
        </w:tc>
      </w:tr>
    </w:tbl>
    <w:p w14:paraId="7F9C4A5B" w14:textId="77777777" w:rsidR="00D11E2A" w:rsidRDefault="00000000">
      <w:pPr>
        <w:pStyle w:val="Heading1"/>
        <w:jc w:val="left"/>
        <w:rPr>
          <w:rFonts w:ascii="Times New Roman" w:eastAsia="Times New Roman" w:hAnsi="Times New Roman" w:cs="Times New Roman"/>
        </w:rPr>
      </w:pPr>
      <w:r>
        <w:rPr>
          <w:rFonts w:ascii="Times New Roman" w:eastAsia="Times New Roman" w:hAnsi="Times New Roman" w:cs="Times New Roman"/>
        </w:rPr>
        <w:t xml:space="preserve"> </w:t>
      </w:r>
    </w:p>
    <w:p w14:paraId="29DD7501" w14:textId="77777777" w:rsidR="00D11E2A" w:rsidRDefault="00000000">
      <w:pPr>
        <w:rPr>
          <w:b/>
          <w:color w:val="00B050"/>
        </w:rPr>
      </w:pPr>
      <w:r>
        <w:rPr>
          <w:b/>
          <w:color w:val="00B050"/>
        </w:rPr>
        <w:t>DEPARTMENT OF TEACHER EDUCATION AND ADMINISTRATION: PREPARING TOMORROW’S EDUCATORS AND SCHOLARS</w:t>
      </w:r>
    </w:p>
    <w:p w14:paraId="7FFBD986" w14:textId="77777777" w:rsidR="00D11E2A" w:rsidRDefault="00D11E2A" w:rsidP="00312552">
      <w:pPr>
        <w:widowControl w:val="0"/>
      </w:pPr>
    </w:p>
    <w:p w14:paraId="7BD4ED1A" w14:textId="77777777" w:rsidR="00D11E2A" w:rsidRDefault="00D11E2A">
      <w:pPr>
        <w:pStyle w:val="Heading1"/>
        <w:jc w:val="left"/>
        <w:rPr>
          <w:rFonts w:ascii="Times New Roman" w:eastAsia="Times New Roman" w:hAnsi="Times New Roman" w:cs="Times New Roman"/>
          <w:b/>
        </w:rPr>
      </w:pPr>
    </w:p>
    <w:p w14:paraId="3298EF5D" w14:textId="77777777" w:rsidR="00D11E2A" w:rsidRDefault="00000000">
      <w:pPr>
        <w:pStyle w:val="Heading1"/>
        <w:jc w:val="left"/>
        <w:rPr>
          <w:rFonts w:ascii="Times New Roman" w:eastAsia="Times New Roman" w:hAnsi="Times New Roman" w:cs="Times New Roman"/>
          <w:b/>
        </w:rPr>
      </w:pPr>
      <w:r>
        <w:rPr>
          <w:rFonts w:ascii="Times New Roman" w:eastAsia="Times New Roman" w:hAnsi="Times New Roman" w:cs="Times New Roman"/>
          <w:b/>
        </w:rPr>
        <w:t>COURSE PREREQUISITES</w:t>
      </w:r>
    </w:p>
    <w:p w14:paraId="3023926F" w14:textId="77777777" w:rsidR="00D11E2A" w:rsidRDefault="00000000">
      <w:pPr>
        <w:widowControl w:val="0"/>
        <w:jc w:val="both"/>
        <w:rPr>
          <w:color w:val="000000"/>
        </w:rPr>
      </w:pPr>
      <w:r>
        <w:t>N/A</w:t>
      </w:r>
      <w:r w:rsidR="003D52C7">
        <w:rPr>
          <w:noProof/>
        </w:rPr>
        <w:pict w14:anchorId="1CB91481">
          <v:rect id="_x0000_i1029" alt="" style="width:468pt;height:.05pt;mso-width-percent:0;mso-height-percent:0;mso-width-percent:0;mso-height-percent:0" o:hralign="center" o:hrstd="t" o:hr="t" fillcolor="#a0a0a0" stroked="f"/>
        </w:pict>
      </w:r>
    </w:p>
    <w:p w14:paraId="7091AF25" w14:textId="77777777" w:rsidR="00D11E2A" w:rsidRDefault="00D11E2A">
      <w:pPr>
        <w:tabs>
          <w:tab w:val="left" w:pos="20880"/>
          <w:tab w:val="left" w:pos="21600"/>
        </w:tabs>
        <w:spacing w:line="276" w:lineRule="auto"/>
      </w:pPr>
    </w:p>
    <w:p w14:paraId="1FF92324" w14:textId="77777777" w:rsidR="00D11E2A" w:rsidRDefault="00000000">
      <w:pPr>
        <w:pStyle w:val="Heading1"/>
        <w:jc w:val="left"/>
        <w:rPr>
          <w:rFonts w:ascii="Times New Roman" w:eastAsia="Times New Roman" w:hAnsi="Times New Roman" w:cs="Times New Roman"/>
          <w:b/>
        </w:rPr>
      </w:pPr>
      <w:r>
        <w:rPr>
          <w:rFonts w:ascii="Times New Roman" w:eastAsia="Times New Roman" w:hAnsi="Times New Roman" w:cs="Times New Roman"/>
          <w:b/>
        </w:rPr>
        <w:t>COURSE GOALS</w:t>
      </w:r>
    </w:p>
    <w:p w14:paraId="33C5E9EE" w14:textId="77777777" w:rsidR="00D11E2A" w:rsidRDefault="00D11E2A">
      <w:pPr>
        <w:tabs>
          <w:tab w:val="left" w:pos="20880"/>
          <w:tab w:val="left" w:pos="21600"/>
        </w:tabs>
      </w:pPr>
    </w:p>
    <w:p w14:paraId="4823F2E1" w14:textId="4CDE7B27" w:rsidR="00D11E2A" w:rsidRDefault="00000000">
      <w:pPr>
        <w:numPr>
          <w:ilvl w:val="0"/>
          <w:numId w:val="8"/>
        </w:numPr>
        <w:spacing w:after="180" w:line="268" w:lineRule="auto"/>
        <w:jc w:val="both"/>
      </w:pPr>
      <w:r>
        <w:t>Evaluate and interpret the ways in which schooling influences and is influenced by equity.</w:t>
      </w:r>
    </w:p>
    <w:p w14:paraId="520A3629" w14:textId="77777777" w:rsidR="00C13AF0" w:rsidRPr="00F93935" w:rsidRDefault="00C13AF0" w:rsidP="00C13AF0">
      <w:pPr>
        <w:numPr>
          <w:ilvl w:val="0"/>
          <w:numId w:val="8"/>
        </w:numPr>
        <w:spacing w:after="180" w:line="268" w:lineRule="auto"/>
        <w:jc w:val="both"/>
        <w:rPr>
          <w:rFonts w:eastAsia="Calibri"/>
        </w:rPr>
      </w:pPr>
      <w:r w:rsidRPr="00F93935">
        <w:rPr>
          <w:rFonts w:eastAsia="Calibri"/>
        </w:rPr>
        <w:t>Analyze and interpret the historical, philosophical, economic, legal and sociocultural foundations of education.</w:t>
      </w:r>
    </w:p>
    <w:p w14:paraId="6CCC9A55" w14:textId="77777777" w:rsidR="00C13AF0" w:rsidRPr="00F93935" w:rsidRDefault="00C13AF0" w:rsidP="00C13AF0">
      <w:pPr>
        <w:numPr>
          <w:ilvl w:val="0"/>
          <w:numId w:val="8"/>
        </w:numPr>
        <w:spacing w:after="180" w:line="268" w:lineRule="auto"/>
        <w:jc w:val="both"/>
        <w:rPr>
          <w:rFonts w:eastAsia="Calibri"/>
        </w:rPr>
      </w:pPr>
      <w:r w:rsidRPr="00F93935">
        <w:rPr>
          <w:rFonts w:eastAsia="Calibri"/>
        </w:rPr>
        <w:t>Develop teaching strategies that</w:t>
      </w:r>
      <w:r>
        <w:rPr>
          <w:rFonts w:eastAsia="Calibri"/>
        </w:rPr>
        <w:t xml:space="preserve"> allow all young people to learn and grow into citizens who will be actively involved in this democracy. </w:t>
      </w:r>
    </w:p>
    <w:p w14:paraId="3D096289" w14:textId="77777777" w:rsidR="00D11E2A" w:rsidRDefault="00D11E2A">
      <w:pPr>
        <w:widowControl w:val="0"/>
      </w:pPr>
    </w:p>
    <w:p w14:paraId="2C15E37C" w14:textId="77777777" w:rsidR="00D11E2A" w:rsidRDefault="00000000">
      <w:pPr>
        <w:rPr>
          <w:b/>
          <w:color w:val="000000"/>
        </w:rPr>
      </w:pPr>
      <w:r>
        <w:rPr>
          <w:b/>
          <w:color w:val="000000"/>
        </w:rPr>
        <w:t>REQUIRED FIELD HOURS</w:t>
      </w:r>
    </w:p>
    <w:p w14:paraId="5EC4CAFC" w14:textId="77777777" w:rsidR="00D11E2A" w:rsidRDefault="00000000">
      <w:pPr>
        <w:widowControl w:val="0"/>
      </w:pPr>
      <w:r>
        <w:t>NA</w:t>
      </w:r>
    </w:p>
    <w:p w14:paraId="3EAC1591" w14:textId="77777777" w:rsidR="00D11E2A" w:rsidRDefault="00D11E2A">
      <w:pPr>
        <w:widowControl w:val="0"/>
      </w:pPr>
    </w:p>
    <w:p w14:paraId="6AC4245B" w14:textId="77777777" w:rsidR="00D11E2A" w:rsidRDefault="00000000">
      <w:pPr>
        <w:rPr>
          <w:b/>
          <w:color w:val="000000"/>
        </w:rPr>
      </w:pPr>
      <w:r>
        <w:rPr>
          <w:b/>
          <w:color w:val="000000"/>
        </w:rPr>
        <w:t xml:space="preserve">REQUIRED TEXTBOOKS AND/OR MATERIALS </w:t>
      </w:r>
    </w:p>
    <w:p w14:paraId="0E802816" w14:textId="77777777" w:rsidR="00C13AF0" w:rsidRDefault="00C13AF0" w:rsidP="00C13AF0">
      <w:pPr>
        <w:widowControl w:val="0"/>
      </w:pPr>
      <w:r>
        <w:t>NA</w:t>
      </w:r>
    </w:p>
    <w:p w14:paraId="6EA67AA4" w14:textId="14815837" w:rsidR="00D11E2A" w:rsidRPr="007D7A2F" w:rsidRDefault="00D11E2A" w:rsidP="007D7A2F">
      <w:pPr>
        <w:jc w:val="both"/>
        <w:rPr>
          <w:rFonts w:eastAsia="Calibri"/>
          <w:i/>
          <w:color w:val="0078D4"/>
          <w:sz w:val="22"/>
          <w:szCs w:val="22"/>
          <w:u w:val="single"/>
        </w:rPr>
      </w:pPr>
    </w:p>
    <w:p w14:paraId="03BBD167" w14:textId="77777777" w:rsidR="00D11E2A" w:rsidRDefault="003D52C7">
      <w:pPr>
        <w:widowControl w:val="0"/>
        <w:rPr>
          <w:color w:val="000000"/>
        </w:rPr>
      </w:pPr>
      <w:r>
        <w:rPr>
          <w:noProof/>
        </w:rPr>
        <w:pict w14:anchorId="478F2B5F">
          <v:rect id="_x0000_i1028" alt="" style="width:468pt;height:.05pt;mso-width-percent:0;mso-height-percent:0;mso-width-percent:0;mso-height-percent:0" o:hralign="center" o:hrstd="t" o:hr="t" fillcolor="#a0a0a0" stroked="f"/>
        </w:pict>
      </w:r>
    </w:p>
    <w:p w14:paraId="575D1E94" w14:textId="77777777" w:rsidR="00D11E2A" w:rsidRDefault="00000000">
      <w:pPr>
        <w:rPr>
          <w:color w:val="000000"/>
        </w:rPr>
      </w:pPr>
      <w:r>
        <w:rPr>
          <w:b/>
          <w:color w:val="000000"/>
        </w:rPr>
        <w:t>NOTE</w:t>
      </w:r>
      <w:r>
        <w:rPr>
          <w:color w:val="000000"/>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2A6AFC84" w14:textId="77777777" w:rsidR="00D11E2A" w:rsidRDefault="003D52C7">
      <w:pPr>
        <w:widowControl w:val="0"/>
        <w:rPr>
          <w:color w:val="000000"/>
        </w:rPr>
      </w:pPr>
      <w:r>
        <w:rPr>
          <w:noProof/>
        </w:rPr>
        <w:pict w14:anchorId="78F7409E">
          <v:rect id="_x0000_i1027" alt="" style="width:468pt;height:.05pt;mso-width-percent:0;mso-height-percent:0;mso-width-percent:0;mso-height-percent:0" o:hralign="center" o:hrstd="t" o:hr="t" fillcolor="#a0a0a0" stroked="f"/>
        </w:pict>
      </w:r>
    </w:p>
    <w:p w14:paraId="749B3742" w14:textId="77777777" w:rsidR="00340F77" w:rsidRDefault="00340F77">
      <w:pPr>
        <w:rPr>
          <w:b/>
        </w:rPr>
      </w:pPr>
    </w:p>
    <w:p w14:paraId="479CA9F4" w14:textId="77777777" w:rsidR="000C0717" w:rsidRDefault="000C0717" w:rsidP="000C0717">
      <w:pPr>
        <w:spacing w:line="276" w:lineRule="auto"/>
        <w:jc w:val="center"/>
        <w:rPr>
          <w:rFonts w:eastAsia="Calibri"/>
          <w:b/>
          <w:sz w:val="28"/>
          <w:szCs w:val="28"/>
        </w:rPr>
      </w:pPr>
    </w:p>
    <w:p w14:paraId="4D7FFD3D" w14:textId="77777777" w:rsidR="000C0717" w:rsidRDefault="000C0717" w:rsidP="000C0717">
      <w:pPr>
        <w:spacing w:line="276" w:lineRule="auto"/>
        <w:jc w:val="center"/>
        <w:rPr>
          <w:rFonts w:eastAsia="Calibri"/>
          <w:b/>
          <w:sz w:val="28"/>
          <w:szCs w:val="28"/>
        </w:rPr>
      </w:pPr>
    </w:p>
    <w:p w14:paraId="6F5E1B2D" w14:textId="77777777" w:rsidR="000C0717" w:rsidRDefault="000C0717" w:rsidP="000C0717">
      <w:pPr>
        <w:spacing w:line="276" w:lineRule="auto"/>
        <w:jc w:val="center"/>
        <w:rPr>
          <w:rFonts w:eastAsia="Calibri"/>
          <w:b/>
          <w:sz w:val="28"/>
          <w:szCs w:val="28"/>
        </w:rPr>
      </w:pPr>
    </w:p>
    <w:p w14:paraId="5FABE90F" w14:textId="0C13D1A3" w:rsidR="000C0717" w:rsidRPr="00F93935" w:rsidRDefault="000C0717" w:rsidP="000C0717">
      <w:pPr>
        <w:spacing w:line="276" w:lineRule="auto"/>
        <w:jc w:val="center"/>
        <w:rPr>
          <w:rFonts w:eastAsia="Calibri"/>
          <w:i/>
          <w:sz w:val="28"/>
          <w:szCs w:val="28"/>
        </w:rPr>
      </w:pPr>
      <w:r w:rsidRPr="00F93935">
        <w:rPr>
          <w:rFonts w:eastAsia="Calibri"/>
          <w:b/>
          <w:sz w:val="28"/>
          <w:szCs w:val="28"/>
        </w:rPr>
        <w:lastRenderedPageBreak/>
        <w:t xml:space="preserve">CLASS SCHEDULE </w:t>
      </w:r>
      <w:proofErr w:type="gramStart"/>
      <w:r w:rsidRPr="00F93935">
        <w:rPr>
          <w:rFonts w:eastAsia="Calibri"/>
          <w:sz w:val="28"/>
          <w:szCs w:val="28"/>
        </w:rPr>
        <w:t>at a glance</w:t>
      </w:r>
      <w:proofErr w:type="gramEnd"/>
    </w:p>
    <w:p w14:paraId="6118CC86" w14:textId="77777777" w:rsidR="000C0717" w:rsidRPr="00F93935" w:rsidRDefault="000C0717" w:rsidP="000C0717">
      <w:pPr>
        <w:spacing w:line="276" w:lineRule="auto"/>
        <w:jc w:val="center"/>
        <w:rPr>
          <w:i/>
          <w:sz w:val="20"/>
          <w:szCs w:val="20"/>
        </w:rPr>
      </w:pPr>
    </w:p>
    <w:tbl>
      <w:tblPr>
        <w:tblStyle w:val="a1"/>
        <w:tblW w:w="9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4080"/>
        <w:gridCol w:w="3255"/>
      </w:tblGrid>
      <w:tr w:rsidR="000C0717" w:rsidRPr="00F93935" w14:paraId="23B74739" w14:textId="77777777" w:rsidTr="00544640">
        <w:trPr>
          <w:jc w:val="center"/>
        </w:trPr>
        <w:tc>
          <w:tcPr>
            <w:tcW w:w="2535" w:type="dxa"/>
            <w:shd w:val="clear" w:color="auto" w:fill="0B86A7"/>
            <w:tcMar>
              <w:top w:w="100" w:type="dxa"/>
              <w:left w:w="100" w:type="dxa"/>
              <w:bottom w:w="100" w:type="dxa"/>
              <w:right w:w="100" w:type="dxa"/>
            </w:tcMar>
          </w:tcPr>
          <w:p w14:paraId="0F6B15FC" w14:textId="77777777" w:rsidR="000C0717" w:rsidRPr="00F93935" w:rsidRDefault="000C0717" w:rsidP="00544640">
            <w:pPr>
              <w:widowControl w:val="0"/>
              <w:jc w:val="center"/>
              <w:rPr>
                <w:rFonts w:eastAsia="Calibri"/>
                <w:b/>
              </w:rPr>
            </w:pPr>
            <w:r w:rsidRPr="00F93935">
              <w:rPr>
                <w:rFonts w:eastAsia="Calibri"/>
                <w:b/>
              </w:rPr>
              <w:t>CLASS DATE</w:t>
            </w:r>
          </w:p>
        </w:tc>
        <w:tc>
          <w:tcPr>
            <w:tcW w:w="4080" w:type="dxa"/>
            <w:shd w:val="clear" w:color="auto" w:fill="0B86A7"/>
            <w:tcMar>
              <w:top w:w="100" w:type="dxa"/>
              <w:left w:w="100" w:type="dxa"/>
              <w:bottom w:w="100" w:type="dxa"/>
              <w:right w:w="100" w:type="dxa"/>
            </w:tcMar>
          </w:tcPr>
          <w:p w14:paraId="1A372E34" w14:textId="77777777" w:rsidR="000C0717" w:rsidRPr="00F93935" w:rsidRDefault="000C0717" w:rsidP="00544640">
            <w:pPr>
              <w:widowControl w:val="0"/>
              <w:jc w:val="center"/>
              <w:rPr>
                <w:rFonts w:eastAsia="Calibri"/>
                <w:b/>
              </w:rPr>
            </w:pPr>
            <w:r w:rsidRPr="00F93935">
              <w:rPr>
                <w:rFonts w:eastAsia="Calibri"/>
                <w:b/>
              </w:rPr>
              <w:t>CLASS TOPIC</w:t>
            </w:r>
          </w:p>
        </w:tc>
        <w:tc>
          <w:tcPr>
            <w:tcW w:w="3255" w:type="dxa"/>
            <w:shd w:val="clear" w:color="auto" w:fill="0B86A7"/>
            <w:tcMar>
              <w:top w:w="100" w:type="dxa"/>
              <w:left w:w="100" w:type="dxa"/>
              <w:bottom w:w="100" w:type="dxa"/>
              <w:right w:w="100" w:type="dxa"/>
            </w:tcMar>
          </w:tcPr>
          <w:p w14:paraId="51F44992" w14:textId="77777777" w:rsidR="000C0717" w:rsidRPr="00F93935" w:rsidRDefault="000C0717" w:rsidP="00544640">
            <w:pPr>
              <w:widowControl w:val="0"/>
              <w:jc w:val="center"/>
              <w:rPr>
                <w:rFonts w:eastAsia="Calibri"/>
                <w:b/>
              </w:rPr>
            </w:pPr>
            <w:r w:rsidRPr="00F93935">
              <w:rPr>
                <w:rFonts w:eastAsia="Calibri"/>
                <w:b/>
              </w:rPr>
              <w:t>ASSIGNMENTS DUE THIS WEEK</w:t>
            </w:r>
          </w:p>
        </w:tc>
      </w:tr>
      <w:tr w:rsidR="000C0717" w:rsidRPr="00F93935" w14:paraId="11D56E8E" w14:textId="77777777" w:rsidTr="00544640">
        <w:trPr>
          <w:jc w:val="center"/>
        </w:trPr>
        <w:tc>
          <w:tcPr>
            <w:tcW w:w="2535" w:type="dxa"/>
            <w:shd w:val="clear" w:color="auto" w:fill="auto"/>
            <w:tcMar>
              <w:top w:w="100" w:type="dxa"/>
              <w:left w:w="100" w:type="dxa"/>
              <w:bottom w:w="100" w:type="dxa"/>
              <w:right w:w="100" w:type="dxa"/>
            </w:tcMar>
          </w:tcPr>
          <w:p w14:paraId="49341FBC" w14:textId="77777777" w:rsidR="000C0717" w:rsidRPr="00F93935" w:rsidRDefault="000C0717" w:rsidP="00544640">
            <w:pPr>
              <w:widowControl w:val="0"/>
              <w:rPr>
                <w:rFonts w:eastAsia="Calibri"/>
              </w:rPr>
            </w:pPr>
            <w:r w:rsidRPr="00F93935">
              <w:rPr>
                <w:rFonts w:eastAsia="Calibri"/>
                <w:b/>
              </w:rPr>
              <w:t xml:space="preserve">WEEK 1: </w:t>
            </w:r>
          </w:p>
        </w:tc>
        <w:tc>
          <w:tcPr>
            <w:tcW w:w="4080" w:type="dxa"/>
            <w:tcMar>
              <w:top w:w="100" w:type="dxa"/>
              <w:left w:w="100" w:type="dxa"/>
              <w:bottom w:w="100" w:type="dxa"/>
              <w:right w:w="100" w:type="dxa"/>
            </w:tcMar>
          </w:tcPr>
          <w:p w14:paraId="6FB25AD1" w14:textId="77777777" w:rsidR="000C0717" w:rsidRPr="00F93935" w:rsidRDefault="000C0717" w:rsidP="00544640">
            <w:pPr>
              <w:widowControl w:val="0"/>
              <w:jc w:val="center"/>
              <w:rPr>
                <w:rFonts w:eastAsia="Calibri"/>
                <w:b/>
              </w:rPr>
            </w:pPr>
            <w:r w:rsidRPr="00F93935">
              <w:rPr>
                <w:rFonts w:eastAsia="Calibri"/>
                <w:b/>
              </w:rPr>
              <w:t>Introductions and community building</w:t>
            </w:r>
          </w:p>
        </w:tc>
        <w:tc>
          <w:tcPr>
            <w:tcW w:w="3255" w:type="dxa"/>
            <w:shd w:val="clear" w:color="auto" w:fill="auto"/>
            <w:tcMar>
              <w:top w:w="100" w:type="dxa"/>
              <w:left w:w="100" w:type="dxa"/>
              <w:bottom w:w="100" w:type="dxa"/>
              <w:right w:w="100" w:type="dxa"/>
            </w:tcMar>
          </w:tcPr>
          <w:p w14:paraId="2852F6DE" w14:textId="77777777" w:rsidR="000C0717" w:rsidRPr="00F93935" w:rsidRDefault="000C0717" w:rsidP="00544640">
            <w:pPr>
              <w:widowControl w:val="0"/>
              <w:rPr>
                <w:rFonts w:eastAsia="Calibri"/>
              </w:rPr>
            </w:pPr>
            <w:r w:rsidRPr="00F93935">
              <w:rPr>
                <w:rFonts w:eastAsia="Calibri"/>
              </w:rPr>
              <w:t xml:space="preserve">                 </w:t>
            </w:r>
          </w:p>
        </w:tc>
      </w:tr>
      <w:tr w:rsidR="000C0717" w:rsidRPr="00F93935" w14:paraId="67156421" w14:textId="77777777" w:rsidTr="00544640">
        <w:trPr>
          <w:jc w:val="center"/>
        </w:trPr>
        <w:tc>
          <w:tcPr>
            <w:tcW w:w="2535" w:type="dxa"/>
            <w:tcMar>
              <w:top w:w="100" w:type="dxa"/>
              <w:left w:w="100" w:type="dxa"/>
              <w:bottom w:w="100" w:type="dxa"/>
              <w:right w:w="100" w:type="dxa"/>
            </w:tcMar>
          </w:tcPr>
          <w:p w14:paraId="43FEF123" w14:textId="77777777" w:rsidR="000C0717" w:rsidRPr="00F93935" w:rsidRDefault="000C0717" w:rsidP="00544640">
            <w:pPr>
              <w:widowControl w:val="0"/>
              <w:rPr>
                <w:rFonts w:eastAsia="Calibri"/>
              </w:rPr>
            </w:pPr>
            <w:r w:rsidRPr="00F93935">
              <w:rPr>
                <w:rFonts w:eastAsia="Calibri"/>
                <w:b/>
              </w:rPr>
              <w:t xml:space="preserve">WEEK 2: </w:t>
            </w:r>
          </w:p>
        </w:tc>
        <w:tc>
          <w:tcPr>
            <w:tcW w:w="4080" w:type="dxa"/>
            <w:tcMar>
              <w:top w:w="100" w:type="dxa"/>
              <w:left w:w="100" w:type="dxa"/>
              <w:bottom w:w="100" w:type="dxa"/>
              <w:right w:w="100" w:type="dxa"/>
            </w:tcMar>
          </w:tcPr>
          <w:p w14:paraId="2675A45B" w14:textId="77777777" w:rsidR="000C0717" w:rsidRPr="00F93935" w:rsidRDefault="000C0717" w:rsidP="00544640">
            <w:pPr>
              <w:widowControl w:val="0"/>
              <w:jc w:val="center"/>
              <w:rPr>
                <w:rFonts w:eastAsia="Calibri"/>
                <w:b/>
              </w:rPr>
            </w:pPr>
            <w:r w:rsidRPr="00F93935">
              <w:rPr>
                <w:rFonts w:eastAsia="Calibri"/>
                <w:b/>
              </w:rPr>
              <w:t>Identity</w:t>
            </w:r>
            <w:r>
              <w:rPr>
                <w:rFonts w:eastAsia="Calibri"/>
                <w:b/>
              </w:rPr>
              <w:t xml:space="preserve">: Your Identity </w:t>
            </w:r>
          </w:p>
        </w:tc>
        <w:tc>
          <w:tcPr>
            <w:tcW w:w="3255" w:type="dxa"/>
            <w:shd w:val="clear" w:color="auto" w:fill="auto"/>
            <w:tcMar>
              <w:top w:w="100" w:type="dxa"/>
              <w:left w:w="100" w:type="dxa"/>
              <w:bottom w:w="100" w:type="dxa"/>
              <w:right w:w="100" w:type="dxa"/>
            </w:tcMar>
          </w:tcPr>
          <w:p w14:paraId="0A2F0C55" w14:textId="77777777" w:rsidR="000C0717" w:rsidRPr="00F93935" w:rsidRDefault="000C0717" w:rsidP="00544640">
            <w:pPr>
              <w:widowControl w:val="0"/>
              <w:jc w:val="center"/>
              <w:rPr>
                <w:rFonts w:eastAsia="Calibri"/>
              </w:rPr>
            </w:pPr>
            <w:r w:rsidRPr="00F93935">
              <w:rPr>
                <w:rFonts w:eastAsia="Calibri"/>
              </w:rPr>
              <w:t>(Reflective journals)</w:t>
            </w:r>
          </w:p>
          <w:p w14:paraId="49F8C11D" w14:textId="77777777" w:rsidR="000C0717" w:rsidRPr="00F93935" w:rsidRDefault="000C0717" w:rsidP="00544640">
            <w:pPr>
              <w:widowControl w:val="0"/>
              <w:jc w:val="center"/>
              <w:rPr>
                <w:rFonts w:eastAsia="Calibri"/>
                <w:color w:val="FF0000"/>
              </w:rPr>
            </w:pPr>
          </w:p>
        </w:tc>
      </w:tr>
      <w:tr w:rsidR="000C0717" w:rsidRPr="00F93935" w14:paraId="1C4A35E9" w14:textId="77777777" w:rsidTr="00544640">
        <w:trPr>
          <w:trHeight w:val="460"/>
          <w:jc w:val="center"/>
        </w:trPr>
        <w:tc>
          <w:tcPr>
            <w:tcW w:w="2535" w:type="dxa"/>
            <w:tcMar>
              <w:top w:w="100" w:type="dxa"/>
              <w:left w:w="100" w:type="dxa"/>
              <w:bottom w:w="100" w:type="dxa"/>
              <w:right w:w="100" w:type="dxa"/>
            </w:tcMar>
          </w:tcPr>
          <w:p w14:paraId="3AAF23B9" w14:textId="77777777" w:rsidR="000C0717" w:rsidRPr="00F93935" w:rsidRDefault="000C0717" w:rsidP="00544640">
            <w:pPr>
              <w:widowControl w:val="0"/>
              <w:rPr>
                <w:rFonts w:eastAsia="Calibri"/>
                <w:b/>
              </w:rPr>
            </w:pPr>
            <w:r w:rsidRPr="00F93935">
              <w:rPr>
                <w:rFonts w:eastAsia="Calibri"/>
                <w:b/>
              </w:rPr>
              <w:t xml:space="preserve">WEEK 3: </w:t>
            </w:r>
          </w:p>
        </w:tc>
        <w:tc>
          <w:tcPr>
            <w:tcW w:w="4080" w:type="dxa"/>
            <w:tcMar>
              <w:top w:w="100" w:type="dxa"/>
              <w:left w:w="100" w:type="dxa"/>
              <w:bottom w:w="100" w:type="dxa"/>
              <w:right w:w="100" w:type="dxa"/>
            </w:tcMar>
          </w:tcPr>
          <w:p w14:paraId="6BFA52F6" w14:textId="77777777" w:rsidR="000C0717" w:rsidRPr="00F93935" w:rsidRDefault="000C0717" w:rsidP="00544640">
            <w:pPr>
              <w:widowControl w:val="0"/>
              <w:jc w:val="center"/>
              <w:rPr>
                <w:rFonts w:eastAsia="Calibri"/>
                <w:b/>
              </w:rPr>
            </w:pPr>
            <w:r w:rsidRPr="00F93935">
              <w:rPr>
                <w:rFonts w:eastAsia="Calibri"/>
                <w:b/>
              </w:rPr>
              <w:t>Identity</w:t>
            </w:r>
            <w:r>
              <w:rPr>
                <w:rFonts w:eastAsia="Calibri"/>
                <w:b/>
              </w:rPr>
              <w:t xml:space="preserve">: Others Identity </w:t>
            </w:r>
          </w:p>
        </w:tc>
        <w:tc>
          <w:tcPr>
            <w:tcW w:w="3255" w:type="dxa"/>
            <w:tcMar>
              <w:top w:w="100" w:type="dxa"/>
              <w:left w:w="100" w:type="dxa"/>
              <w:bottom w:w="100" w:type="dxa"/>
              <w:right w:w="100" w:type="dxa"/>
            </w:tcMar>
          </w:tcPr>
          <w:p w14:paraId="7D4D90A3" w14:textId="77777777" w:rsidR="000C0717" w:rsidRPr="00F93935" w:rsidRDefault="000C0717" w:rsidP="00544640">
            <w:pPr>
              <w:widowControl w:val="0"/>
              <w:jc w:val="center"/>
              <w:rPr>
                <w:rFonts w:eastAsia="Calibri"/>
              </w:rPr>
            </w:pPr>
            <w:r w:rsidRPr="00F93935">
              <w:rPr>
                <w:rFonts w:eastAsia="Calibri"/>
              </w:rPr>
              <w:t>(Reflective journals)</w:t>
            </w:r>
          </w:p>
          <w:p w14:paraId="23B2C55D" w14:textId="77777777" w:rsidR="000C0717" w:rsidRPr="00F93935" w:rsidRDefault="000C0717" w:rsidP="00544640">
            <w:pPr>
              <w:widowControl w:val="0"/>
              <w:jc w:val="center"/>
              <w:rPr>
                <w:rFonts w:eastAsia="Calibri"/>
                <w:color w:val="FF0000"/>
              </w:rPr>
            </w:pPr>
          </w:p>
        </w:tc>
      </w:tr>
      <w:tr w:rsidR="000C0717" w:rsidRPr="00F93935" w14:paraId="4DC34AF9" w14:textId="77777777" w:rsidTr="00544640">
        <w:trPr>
          <w:jc w:val="center"/>
        </w:trPr>
        <w:tc>
          <w:tcPr>
            <w:tcW w:w="2535" w:type="dxa"/>
            <w:shd w:val="clear" w:color="auto" w:fill="auto"/>
            <w:tcMar>
              <w:top w:w="100" w:type="dxa"/>
              <w:left w:w="100" w:type="dxa"/>
              <w:bottom w:w="100" w:type="dxa"/>
              <w:right w:w="100" w:type="dxa"/>
            </w:tcMar>
          </w:tcPr>
          <w:p w14:paraId="6602FD2A" w14:textId="77777777" w:rsidR="000C0717" w:rsidRPr="00F93935" w:rsidRDefault="000C0717" w:rsidP="00544640">
            <w:pPr>
              <w:widowControl w:val="0"/>
              <w:rPr>
                <w:rFonts w:eastAsia="Calibri"/>
              </w:rPr>
            </w:pPr>
            <w:r w:rsidRPr="00F93935">
              <w:rPr>
                <w:rFonts w:eastAsia="Calibri"/>
                <w:b/>
              </w:rPr>
              <w:t xml:space="preserve">WEEK 4: </w:t>
            </w:r>
          </w:p>
        </w:tc>
        <w:tc>
          <w:tcPr>
            <w:tcW w:w="4080" w:type="dxa"/>
            <w:tcMar>
              <w:top w:w="100" w:type="dxa"/>
              <w:left w:w="100" w:type="dxa"/>
              <w:bottom w:w="100" w:type="dxa"/>
              <w:right w:w="100" w:type="dxa"/>
            </w:tcMar>
          </w:tcPr>
          <w:p w14:paraId="1BB72614" w14:textId="77777777" w:rsidR="000C0717" w:rsidRPr="00F93935" w:rsidRDefault="000C0717" w:rsidP="00544640">
            <w:pPr>
              <w:widowControl w:val="0"/>
              <w:jc w:val="center"/>
              <w:rPr>
                <w:rFonts w:eastAsia="Calibri"/>
                <w:b/>
              </w:rPr>
            </w:pPr>
            <w:r w:rsidRPr="00F93935">
              <w:rPr>
                <w:rFonts w:eastAsia="Calibri"/>
                <w:b/>
              </w:rPr>
              <w:t>Identity</w:t>
            </w:r>
            <w:r>
              <w:rPr>
                <w:rFonts w:eastAsia="Calibri"/>
                <w:b/>
              </w:rPr>
              <w:t xml:space="preserve">: Teacher Identity </w:t>
            </w:r>
          </w:p>
        </w:tc>
        <w:tc>
          <w:tcPr>
            <w:tcW w:w="3255" w:type="dxa"/>
            <w:tcMar>
              <w:top w:w="100" w:type="dxa"/>
              <w:left w:w="100" w:type="dxa"/>
              <w:bottom w:w="100" w:type="dxa"/>
              <w:right w:w="100" w:type="dxa"/>
            </w:tcMar>
          </w:tcPr>
          <w:p w14:paraId="5C3C7D5E" w14:textId="77777777" w:rsidR="000C0717" w:rsidRPr="00F93935" w:rsidRDefault="000C0717" w:rsidP="00544640">
            <w:pPr>
              <w:widowControl w:val="0"/>
              <w:jc w:val="center"/>
              <w:rPr>
                <w:rFonts w:eastAsia="Calibri"/>
              </w:rPr>
            </w:pPr>
            <w:r w:rsidRPr="00F93935">
              <w:rPr>
                <w:rFonts w:eastAsia="Calibri"/>
              </w:rPr>
              <w:t>(Reflective Journals)</w:t>
            </w:r>
          </w:p>
          <w:p w14:paraId="17A27085" w14:textId="77777777" w:rsidR="000C0717" w:rsidRPr="00F93935" w:rsidRDefault="000C0717" w:rsidP="00544640">
            <w:pPr>
              <w:widowControl w:val="0"/>
              <w:jc w:val="center"/>
              <w:rPr>
                <w:rFonts w:eastAsia="Calibri"/>
                <w:color w:val="FF0000"/>
              </w:rPr>
            </w:pPr>
          </w:p>
        </w:tc>
      </w:tr>
      <w:tr w:rsidR="000C0717" w:rsidRPr="00F93935" w14:paraId="31DFF974" w14:textId="77777777" w:rsidTr="00544640">
        <w:trPr>
          <w:jc w:val="center"/>
        </w:trPr>
        <w:tc>
          <w:tcPr>
            <w:tcW w:w="2535" w:type="dxa"/>
            <w:tcMar>
              <w:top w:w="100" w:type="dxa"/>
              <w:left w:w="100" w:type="dxa"/>
              <w:bottom w:w="100" w:type="dxa"/>
              <w:right w:w="100" w:type="dxa"/>
            </w:tcMar>
          </w:tcPr>
          <w:p w14:paraId="5820162F" w14:textId="77777777" w:rsidR="000C0717" w:rsidRPr="00F93935" w:rsidRDefault="000C0717" w:rsidP="00544640">
            <w:pPr>
              <w:widowControl w:val="0"/>
              <w:rPr>
                <w:rFonts w:eastAsia="Calibri"/>
              </w:rPr>
            </w:pPr>
            <w:r w:rsidRPr="00F93935">
              <w:rPr>
                <w:rFonts w:eastAsia="Calibri"/>
                <w:b/>
              </w:rPr>
              <w:t xml:space="preserve">WEEK 5: </w:t>
            </w:r>
          </w:p>
        </w:tc>
        <w:tc>
          <w:tcPr>
            <w:tcW w:w="4080" w:type="dxa"/>
            <w:tcMar>
              <w:top w:w="100" w:type="dxa"/>
              <w:left w:w="100" w:type="dxa"/>
              <w:bottom w:w="100" w:type="dxa"/>
              <w:right w:w="100" w:type="dxa"/>
            </w:tcMar>
          </w:tcPr>
          <w:p w14:paraId="62000035" w14:textId="77777777" w:rsidR="000C0717" w:rsidRPr="00F93935" w:rsidRDefault="000C0717" w:rsidP="00544640">
            <w:pPr>
              <w:widowControl w:val="0"/>
              <w:jc w:val="center"/>
              <w:rPr>
                <w:rFonts w:eastAsia="Calibri"/>
                <w:b/>
              </w:rPr>
            </w:pPr>
            <w:r w:rsidRPr="00F93935">
              <w:rPr>
                <w:rFonts w:eastAsia="Calibri"/>
                <w:b/>
              </w:rPr>
              <w:t>Identity</w:t>
            </w:r>
            <w:r>
              <w:rPr>
                <w:rFonts w:eastAsia="Calibri"/>
                <w:b/>
              </w:rPr>
              <w:t>: Teacher Identity</w:t>
            </w:r>
          </w:p>
        </w:tc>
        <w:tc>
          <w:tcPr>
            <w:tcW w:w="3255" w:type="dxa"/>
            <w:tcMar>
              <w:top w:w="100" w:type="dxa"/>
              <w:left w:w="100" w:type="dxa"/>
              <w:bottom w:w="100" w:type="dxa"/>
              <w:right w:w="100" w:type="dxa"/>
            </w:tcMar>
          </w:tcPr>
          <w:p w14:paraId="3514EA1D" w14:textId="77777777" w:rsidR="000C0717" w:rsidRPr="00F93935" w:rsidRDefault="000C0717" w:rsidP="00544640">
            <w:pPr>
              <w:widowControl w:val="0"/>
              <w:jc w:val="center"/>
              <w:rPr>
                <w:rFonts w:eastAsia="Calibri"/>
              </w:rPr>
            </w:pPr>
            <w:r w:rsidRPr="00F93935">
              <w:rPr>
                <w:rFonts w:eastAsia="Calibri"/>
              </w:rPr>
              <w:t>(Reflective journals)</w:t>
            </w:r>
          </w:p>
          <w:p w14:paraId="7E6633D9" w14:textId="77777777" w:rsidR="000C0717" w:rsidRPr="00F93935" w:rsidRDefault="000C0717" w:rsidP="00544640">
            <w:pPr>
              <w:widowControl w:val="0"/>
              <w:jc w:val="center"/>
              <w:rPr>
                <w:rFonts w:eastAsia="Calibri"/>
                <w:color w:val="FF0000"/>
              </w:rPr>
            </w:pPr>
          </w:p>
        </w:tc>
      </w:tr>
      <w:tr w:rsidR="000C0717" w:rsidRPr="00F93935" w14:paraId="6D4BBBE8" w14:textId="77777777" w:rsidTr="00544640">
        <w:trPr>
          <w:jc w:val="center"/>
        </w:trPr>
        <w:tc>
          <w:tcPr>
            <w:tcW w:w="2535" w:type="dxa"/>
            <w:tcMar>
              <w:top w:w="100" w:type="dxa"/>
              <w:left w:w="100" w:type="dxa"/>
              <w:bottom w:w="100" w:type="dxa"/>
              <w:right w:w="100" w:type="dxa"/>
            </w:tcMar>
          </w:tcPr>
          <w:p w14:paraId="7871A716" w14:textId="77777777" w:rsidR="000C0717" w:rsidRPr="00F93935" w:rsidRDefault="000C0717" w:rsidP="00544640">
            <w:pPr>
              <w:widowControl w:val="0"/>
              <w:rPr>
                <w:rFonts w:eastAsia="Calibri"/>
              </w:rPr>
            </w:pPr>
            <w:r w:rsidRPr="00F93935">
              <w:rPr>
                <w:rFonts w:eastAsia="Calibri"/>
                <w:b/>
              </w:rPr>
              <w:t xml:space="preserve">WEEK 6: </w:t>
            </w:r>
          </w:p>
        </w:tc>
        <w:tc>
          <w:tcPr>
            <w:tcW w:w="4080" w:type="dxa"/>
            <w:tcMar>
              <w:top w:w="100" w:type="dxa"/>
              <w:left w:w="100" w:type="dxa"/>
              <w:bottom w:w="100" w:type="dxa"/>
              <w:right w:w="100" w:type="dxa"/>
            </w:tcMar>
          </w:tcPr>
          <w:p w14:paraId="3B23EFED" w14:textId="77777777" w:rsidR="000C0717" w:rsidRPr="00F93935" w:rsidRDefault="000C0717" w:rsidP="00544640">
            <w:pPr>
              <w:widowControl w:val="0"/>
              <w:jc w:val="center"/>
              <w:rPr>
                <w:rFonts w:eastAsia="Calibri"/>
                <w:i/>
                <w:highlight w:val="yellow"/>
              </w:rPr>
            </w:pPr>
            <w:r w:rsidRPr="00F93935">
              <w:rPr>
                <w:rFonts w:eastAsia="Calibri"/>
                <w:b/>
              </w:rPr>
              <w:t>We are still here</w:t>
            </w:r>
          </w:p>
        </w:tc>
        <w:tc>
          <w:tcPr>
            <w:tcW w:w="3255" w:type="dxa"/>
            <w:tcMar>
              <w:top w:w="100" w:type="dxa"/>
              <w:left w:w="100" w:type="dxa"/>
              <w:bottom w:w="100" w:type="dxa"/>
              <w:right w:w="100" w:type="dxa"/>
            </w:tcMar>
          </w:tcPr>
          <w:p w14:paraId="6CB83761" w14:textId="77777777" w:rsidR="000C0717" w:rsidRPr="00F93935" w:rsidRDefault="000C0717" w:rsidP="00544640">
            <w:pPr>
              <w:widowControl w:val="0"/>
              <w:jc w:val="center"/>
              <w:rPr>
                <w:rFonts w:eastAsia="Calibri"/>
              </w:rPr>
            </w:pPr>
            <w:r w:rsidRPr="00F93935">
              <w:rPr>
                <w:rFonts w:eastAsia="Calibri"/>
              </w:rPr>
              <w:t>(Reflective journal)</w:t>
            </w:r>
          </w:p>
          <w:p w14:paraId="72316DBC" w14:textId="77777777" w:rsidR="000C0717" w:rsidRPr="00F93935" w:rsidRDefault="000C0717" w:rsidP="00544640">
            <w:pPr>
              <w:widowControl w:val="0"/>
              <w:jc w:val="center"/>
              <w:rPr>
                <w:rFonts w:eastAsia="Calibri"/>
                <w:i/>
              </w:rPr>
            </w:pPr>
          </w:p>
        </w:tc>
      </w:tr>
      <w:tr w:rsidR="000C0717" w:rsidRPr="00F93935" w14:paraId="4557800D" w14:textId="77777777" w:rsidTr="00544640">
        <w:trPr>
          <w:jc w:val="center"/>
        </w:trPr>
        <w:tc>
          <w:tcPr>
            <w:tcW w:w="2535" w:type="dxa"/>
            <w:tcMar>
              <w:top w:w="100" w:type="dxa"/>
              <w:left w:w="100" w:type="dxa"/>
              <w:bottom w:w="100" w:type="dxa"/>
              <w:right w:w="100" w:type="dxa"/>
            </w:tcMar>
          </w:tcPr>
          <w:p w14:paraId="0D74A1CE" w14:textId="77777777" w:rsidR="000C0717" w:rsidRPr="00F93935" w:rsidRDefault="000C0717" w:rsidP="00544640">
            <w:pPr>
              <w:widowControl w:val="0"/>
              <w:rPr>
                <w:rFonts w:eastAsia="Calibri"/>
              </w:rPr>
            </w:pPr>
            <w:r w:rsidRPr="00F93935">
              <w:rPr>
                <w:rFonts w:eastAsia="Calibri"/>
                <w:b/>
              </w:rPr>
              <w:t xml:space="preserve">WEEK 7: </w:t>
            </w:r>
          </w:p>
        </w:tc>
        <w:tc>
          <w:tcPr>
            <w:tcW w:w="4080" w:type="dxa"/>
            <w:tcMar>
              <w:top w:w="100" w:type="dxa"/>
              <w:left w:w="100" w:type="dxa"/>
              <w:bottom w:w="100" w:type="dxa"/>
              <w:right w:w="100" w:type="dxa"/>
            </w:tcMar>
          </w:tcPr>
          <w:p w14:paraId="4E700C50" w14:textId="77777777" w:rsidR="000C0717" w:rsidRPr="00F93935" w:rsidRDefault="000C0717" w:rsidP="00544640">
            <w:pPr>
              <w:widowControl w:val="0"/>
              <w:jc w:val="center"/>
              <w:rPr>
                <w:rFonts w:eastAsia="Calibri"/>
                <w:b/>
              </w:rPr>
            </w:pPr>
            <w:r w:rsidRPr="00F93935">
              <w:rPr>
                <w:rFonts w:eastAsia="Calibri"/>
                <w:b/>
              </w:rPr>
              <w:t>Words matter</w:t>
            </w:r>
          </w:p>
        </w:tc>
        <w:tc>
          <w:tcPr>
            <w:tcW w:w="3255" w:type="dxa"/>
            <w:tcMar>
              <w:top w:w="100" w:type="dxa"/>
              <w:left w:w="100" w:type="dxa"/>
              <w:bottom w:w="100" w:type="dxa"/>
              <w:right w:w="100" w:type="dxa"/>
            </w:tcMar>
          </w:tcPr>
          <w:p w14:paraId="3B9546E8" w14:textId="77777777" w:rsidR="000C0717" w:rsidRPr="00F93935" w:rsidRDefault="000C0717" w:rsidP="00544640">
            <w:pPr>
              <w:widowControl w:val="0"/>
              <w:jc w:val="center"/>
              <w:rPr>
                <w:rFonts w:eastAsia="Calibri"/>
              </w:rPr>
            </w:pPr>
            <w:r w:rsidRPr="00F93935">
              <w:rPr>
                <w:rFonts w:eastAsia="Calibri"/>
              </w:rPr>
              <w:t>(Reflective journal)</w:t>
            </w:r>
          </w:p>
          <w:p w14:paraId="68CE170F" w14:textId="77777777" w:rsidR="000C0717" w:rsidRPr="00F93935" w:rsidRDefault="000C0717" w:rsidP="00544640">
            <w:pPr>
              <w:widowControl w:val="0"/>
              <w:jc w:val="center"/>
              <w:rPr>
                <w:rFonts w:eastAsia="Calibri"/>
                <w:i/>
              </w:rPr>
            </w:pPr>
          </w:p>
        </w:tc>
      </w:tr>
      <w:tr w:rsidR="000C0717" w:rsidRPr="00F93935" w14:paraId="5E055BB8" w14:textId="77777777" w:rsidTr="00544640">
        <w:trPr>
          <w:jc w:val="center"/>
        </w:trPr>
        <w:tc>
          <w:tcPr>
            <w:tcW w:w="2535" w:type="dxa"/>
            <w:tcMar>
              <w:top w:w="100" w:type="dxa"/>
              <w:left w:w="100" w:type="dxa"/>
              <w:bottom w:w="100" w:type="dxa"/>
              <w:right w:w="100" w:type="dxa"/>
            </w:tcMar>
          </w:tcPr>
          <w:p w14:paraId="48D85840" w14:textId="77777777" w:rsidR="000C0717" w:rsidRPr="00F93935" w:rsidRDefault="000C0717" w:rsidP="00544640">
            <w:pPr>
              <w:widowControl w:val="0"/>
              <w:rPr>
                <w:rFonts w:eastAsia="Calibri"/>
              </w:rPr>
            </w:pPr>
            <w:r w:rsidRPr="00F93935">
              <w:rPr>
                <w:rFonts w:eastAsia="Calibri"/>
                <w:b/>
              </w:rPr>
              <w:t xml:space="preserve">WEEK 8: </w:t>
            </w:r>
          </w:p>
        </w:tc>
        <w:tc>
          <w:tcPr>
            <w:tcW w:w="4080" w:type="dxa"/>
            <w:tcMar>
              <w:top w:w="100" w:type="dxa"/>
              <w:left w:w="100" w:type="dxa"/>
              <w:bottom w:w="100" w:type="dxa"/>
              <w:right w:w="100" w:type="dxa"/>
            </w:tcMar>
          </w:tcPr>
          <w:p w14:paraId="2EBE6DD0" w14:textId="77777777" w:rsidR="000C0717" w:rsidRPr="00F93935" w:rsidRDefault="000C0717" w:rsidP="00544640">
            <w:pPr>
              <w:widowControl w:val="0"/>
              <w:jc w:val="center"/>
              <w:rPr>
                <w:rFonts w:eastAsia="Calibri"/>
                <w:b/>
              </w:rPr>
            </w:pPr>
            <w:r w:rsidRPr="00F93935">
              <w:rPr>
                <w:rFonts w:eastAsia="Calibri"/>
                <w:b/>
              </w:rPr>
              <w:t>To live at the borderlands</w:t>
            </w:r>
          </w:p>
          <w:p w14:paraId="5A8780E1" w14:textId="77777777" w:rsidR="000C0717" w:rsidRPr="00F93935" w:rsidRDefault="000C0717" w:rsidP="00544640">
            <w:pPr>
              <w:widowControl w:val="0"/>
              <w:jc w:val="center"/>
              <w:rPr>
                <w:rFonts w:eastAsia="Calibri"/>
                <w:b/>
                <w:highlight w:val="yellow"/>
              </w:rPr>
            </w:pPr>
          </w:p>
        </w:tc>
        <w:tc>
          <w:tcPr>
            <w:tcW w:w="3255" w:type="dxa"/>
            <w:tcMar>
              <w:top w:w="100" w:type="dxa"/>
              <w:left w:w="100" w:type="dxa"/>
              <w:bottom w:w="100" w:type="dxa"/>
              <w:right w:w="100" w:type="dxa"/>
            </w:tcMar>
          </w:tcPr>
          <w:p w14:paraId="1B681A0C" w14:textId="77777777" w:rsidR="000C0717" w:rsidRPr="00F93935" w:rsidRDefault="000C0717" w:rsidP="00544640">
            <w:pPr>
              <w:widowControl w:val="0"/>
              <w:jc w:val="center"/>
              <w:rPr>
                <w:rFonts w:eastAsia="Calibri"/>
              </w:rPr>
            </w:pPr>
            <w:r>
              <w:rPr>
                <w:rFonts w:eastAsia="Calibri"/>
              </w:rPr>
              <w:t>(</w:t>
            </w:r>
            <w:r w:rsidRPr="00F93935">
              <w:rPr>
                <w:rFonts w:eastAsia="Calibri"/>
              </w:rPr>
              <w:t>Reflective journal)</w:t>
            </w:r>
          </w:p>
          <w:p w14:paraId="03BBFDD4" w14:textId="77777777" w:rsidR="000C0717" w:rsidRPr="00F93935" w:rsidRDefault="000C0717" w:rsidP="00544640">
            <w:pPr>
              <w:widowControl w:val="0"/>
              <w:jc w:val="center"/>
              <w:rPr>
                <w:rFonts w:eastAsia="Calibri"/>
                <w:i/>
              </w:rPr>
            </w:pPr>
          </w:p>
        </w:tc>
      </w:tr>
      <w:tr w:rsidR="000C0717" w:rsidRPr="00F93935" w14:paraId="56D19EDB" w14:textId="77777777" w:rsidTr="00544640">
        <w:trPr>
          <w:jc w:val="center"/>
        </w:trPr>
        <w:tc>
          <w:tcPr>
            <w:tcW w:w="2535" w:type="dxa"/>
            <w:tcMar>
              <w:top w:w="100" w:type="dxa"/>
              <w:left w:w="100" w:type="dxa"/>
              <w:bottom w:w="100" w:type="dxa"/>
              <w:right w:w="100" w:type="dxa"/>
            </w:tcMar>
          </w:tcPr>
          <w:p w14:paraId="0E9C9A68" w14:textId="77777777" w:rsidR="000C0717" w:rsidRPr="00F93935" w:rsidRDefault="000C0717" w:rsidP="00544640">
            <w:pPr>
              <w:widowControl w:val="0"/>
              <w:rPr>
                <w:rFonts w:eastAsia="Calibri"/>
              </w:rPr>
            </w:pPr>
            <w:r w:rsidRPr="00F93935">
              <w:rPr>
                <w:rFonts w:eastAsia="Calibri"/>
                <w:b/>
              </w:rPr>
              <w:t xml:space="preserve">WEEK 9: </w:t>
            </w:r>
          </w:p>
        </w:tc>
        <w:tc>
          <w:tcPr>
            <w:tcW w:w="4080" w:type="dxa"/>
            <w:tcMar>
              <w:top w:w="100" w:type="dxa"/>
              <w:left w:w="100" w:type="dxa"/>
              <w:bottom w:w="100" w:type="dxa"/>
              <w:right w:w="100" w:type="dxa"/>
            </w:tcMar>
          </w:tcPr>
          <w:p w14:paraId="28DC4539" w14:textId="77777777" w:rsidR="000C0717" w:rsidRPr="00F93935" w:rsidRDefault="000C0717" w:rsidP="00544640">
            <w:pPr>
              <w:widowControl w:val="0"/>
              <w:jc w:val="center"/>
              <w:rPr>
                <w:rFonts w:eastAsia="Calibri"/>
                <w:b/>
              </w:rPr>
            </w:pPr>
            <w:r>
              <w:rPr>
                <w:rFonts w:eastAsia="Calibri"/>
                <w:b/>
              </w:rPr>
              <w:t>Equity</w:t>
            </w:r>
          </w:p>
        </w:tc>
        <w:tc>
          <w:tcPr>
            <w:tcW w:w="3255" w:type="dxa"/>
            <w:tcMar>
              <w:top w:w="100" w:type="dxa"/>
              <w:left w:w="100" w:type="dxa"/>
              <w:bottom w:w="100" w:type="dxa"/>
              <w:right w:w="100" w:type="dxa"/>
            </w:tcMar>
          </w:tcPr>
          <w:p w14:paraId="25587373" w14:textId="77777777" w:rsidR="000C0717" w:rsidRPr="00F93935" w:rsidRDefault="000C0717" w:rsidP="00544640">
            <w:pPr>
              <w:widowControl w:val="0"/>
              <w:jc w:val="center"/>
              <w:rPr>
                <w:rFonts w:eastAsia="Calibri"/>
              </w:rPr>
            </w:pPr>
            <w:r w:rsidRPr="00F93935">
              <w:rPr>
                <w:rFonts w:eastAsia="Calibri"/>
              </w:rPr>
              <w:t>(Reflective journal due)</w:t>
            </w:r>
          </w:p>
          <w:p w14:paraId="4D51D127" w14:textId="77777777" w:rsidR="000C0717" w:rsidRPr="00F93935" w:rsidRDefault="000C0717" w:rsidP="00544640">
            <w:pPr>
              <w:widowControl w:val="0"/>
              <w:jc w:val="center"/>
              <w:rPr>
                <w:rFonts w:eastAsia="Calibri"/>
                <w:i/>
              </w:rPr>
            </w:pPr>
          </w:p>
        </w:tc>
      </w:tr>
      <w:tr w:rsidR="000C0717" w:rsidRPr="00F93935" w14:paraId="5C6F3E97" w14:textId="77777777" w:rsidTr="00544640">
        <w:trPr>
          <w:jc w:val="center"/>
        </w:trPr>
        <w:tc>
          <w:tcPr>
            <w:tcW w:w="2535" w:type="dxa"/>
            <w:tcMar>
              <w:top w:w="100" w:type="dxa"/>
              <w:left w:w="100" w:type="dxa"/>
              <w:bottom w:w="100" w:type="dxa"/>
              <w:right w:w="100" w:type="dxa"/>
            </w:tcMar>
          </w:tcPr>
          <w:p w14:paraId="42C821A8" w14:textId="77777777" w:rsidR="000C0717" w:rsidRPr="00F93935" w:rsidRDefault="000C0717" w:rsidP="00544640">
            <w:pPr>
              <w:widowControl w:val="0"/>
              <w:rPr>
                <w:rFonts w:eastAsia="Calibri"/>
              </w:rPr>
            </w:pPr>
            <w:r w:rsidRPr="00F93935">
              <w:rPr>
                <w:rFonts w:eastAsia="Calibri"/>
                <w:b/>
              </w:rPr>
              <w:t xml:space="preserve">WEEK 10: </w:t>
            </w:r>
          </w:p>
        </w:tc>
        <w:tc>
          <w:tcPr>
            <w:tcW w:w="4080" w:type="dxa"/>
            <w:tcMar>
              <w:top w:w="100" w:type="dxa"/>
              <w:left w:w="100" w:type="dxa"/>
              <w:bottom w:w="100" w:type="dxa"/>
              <w:right w:w="100" w:type="dxa"/>
            </w:tcMar>
          </w:tcPr>
          <w:p w14:paraId="12C00BAA" w14:textId="77777777" w:rsidR="000C0717" w:rsidRPr="00F93935" w:rsidRDefault="000C0717" w:rsidP="00544640">
            <w:pPr>
              <w:widowControl w:val="0"/>
              <w:jc w:val="center"/>
              <w:rPr>
                <w:rFonts w:eastAsia="Calibri"/>
                <w:b/>
              </w:rPr>
            </w:pPr>
            <w:r w:rsidRPr="00F93935">
              <w:rPr>
                <w:rFonts w:eastAsia="Calibri"/>
                <w:b/>
              </w:rPr>
              <w:t>Inquiry</w:t>
            </w:r>
          </w:p>
        </w:tc>
        <w:tc>
          <w:tcPr>
            <w:tcW w:w="3255" w:type="dxa"/>
            <w:tcMar>
              <w:top w:w="100" w:type="dxa"/>
              <w:left w:w="100" w:type="dxa"/>
              <w:bottom w:w="100" w:type="dxa"/>
              <w:right w:w="100" w:type="dxa"/>
            </w:tcMar>
          </w:tcPr>
          <w:p w14:paraId="6C8C463B" w14:textId="77777777" w:rsidR="000C0717" w:rsidRPr="00A1746A" w:rsidRDefault="000C0717" w:rsidP="00544640">
            <w:pPr>
              <w:widowControl w:val="0"/>
              <w:jc w:val="center"/>
              <w:rPr>
                <w:rFonts w:eastAsia="Calibri"/>
              </w:rPr>
            </w:pPr>
            <w:r w:rsidRPr="00F93935">
              <w:rPr>
                <w:rFonts w:eastAsia="Calibri"/>
              </w:rPr>
              <w:t>We’ll take the lead</w:t>
            </w:r>
          </w:p>
        </w:tc>
      </w:tr>
      <w:tr w:rsidR="000C0717" w:rsidRPr="00F93935" w14:paraId="3E4DF94A" w14:textId="77777777" w:rsidTr="00544640">
        <w:trPr>
          <w:trHeight w:val="420"/>
          <w:jc w:val="center"/>
        </w:trPr>
        <w:tc>
          <w:tcPr>
            <w:tcW w:w="2535" w:type="dxa"/>
            <w:tcMar>
              <w:top w:w="100" w:type="dxa"/>
              <w:left w:w="100" w:type="dxa"/>
              <w:bottom w:w="100" w:type="dxa"/>
              <w:right w:w="100" w:type="dxa"/>
            </w:tcMar>
          </w:tcPr>
          <w:p w14:paraId="32C11C1F" w14:textId="77777777" w:rsidR="000C0717" w:rsidRPr="00F93935" w:rsidRDefault="000C0717" w:rsidP="00544640">
            <w:pPr>
              <w:widowControl w:val="0"/>
              <w:rPr>
                <w:rFonts w:eastAsia="Calibri"/>
                <w:b/>
              </w:rPr>
            </w:pPr>
            <w:r w:rsidRPr="00F93935">
              <w:rPr>
                <w:rFonts w:eastAsia="Calibri"/>
                <w:b/>
              </w:rPr>
              <w:t>WEEK 11:</w:t>
            </w:r>
          </w:p>
        </w:tc>
        <w:tc>
          <w:tcPr>
            <w:tcW w:w="4080" w:type="dxa"/>
            <w:tcMar>
              <w:top w:w="100" w:type="dxa"/>
              <w:left w:w="100" w:type="dxa"/>
              <w:bottom w:w="100" w:type="dxa"/>
              <w:right w:w="100" w:type="dxa"/>
            </w:tcMar>
          </w:tcPr>
          <w:p w14:paraId="35608F01" w14:textId="77777777" w:rsidR="000C0717" w:rsidRPr="00F93935" w:rsidRDefault="000C0717" w:rsidP="00544640">
            <w:pPr>
              <w:widowControl w:val="0"/>
              <w:jc w:val="center"/>
              <w:rPr>
                <w:rFonts w:eastAsia="Calibri"/>
                <w:b/>
              </w:rPr>
            </w:pPr>
            <w:r w:rsidRPr="00F93935">
              <w:rPr>
                <w:rFonts w:eastAsia="Calibri"/>
                <w:b/>
              </w:rPr>
              <w:t>Inquiry</w:t>
            </w:r>
          </w:p>
        </w:tc>
        <w:tc>
          <w:tcPr>
            <w:tcW w:w="3255" w:type="dxa"/>
            <w:tcMar>
              <w:top w:w="100" w:type="dxa"/>
              <w:left w:w="100" w:type="dxa"/>
              <w:bottom w:w="100" w:type="dxa"/>
              <w:right w:w="100" w:type="dxa"/>
            </w:tcMar>
          </w:tcPr>
          <w:p w14:paraId="545AE69D" w14:textId="77777777" w:rsidR="000C0717" w:rsidRPr="00A1746A" w:rsidRDefault="000C0717" w:rsidP="00544640">
            <w:pPr>
              <w:widowControl w:val="0"/>
              <w:jc w:val="center"/>
              <w:rPr>
                <w:rFonts w:eastAsia="Calibri"/>
              </w:rPr>
            </w:pPr>
            <w:r w:rsidRPr="00F93935">
              <w:rPr>
                <w:rFonts w:eastAsia="Calibri"/>
              </w:rPr>
              <w:t>We’ll take the lead</w:t>
            </w:r>
          </w:p>
        </w:tc>
      </w:tr>
      <w:tr w:rsidR="000C0717" w:rsidRPr="00F93935" w14:paraId="3E6563DD" w14:textId="77777777" w:rsidTr="00544640">
        <w:trPr>
          <w:trHeight w:val="420"/>
          <w:jc w:val="center"/>
        </w:trPr>
        <w:tc>
          <w:tcPr>
            <w:tcW w:w="2535" w:type="dxa"/>
            <w:tcMar>
              <w:top w:w="100" w:type="dxa"/>
              <w:left w:w="100" w:type="dxa"/>
              <w:bottom w:w="100" w:type="dxa"/>
              <w:right w:w="100" w:type="dxa"/>
            </w:tcMar>
          </w:tcPr>
          <w:p w14:paraId="50616712" w14:textId="77777777" w:rsidR="000C0717" w:rsidRPr="00F93935" w:rsidRDefault="000C0717" w:rsidP="00544640">
            <w:pPr>
              <w:widowControl w:val="0"/>
              <w:rPr>
                <w:rFonts w:eastAsia="Calibri"/>
              </w:rPr>
            </w:pPr>
            <w:r w:rsidRPr="00F93935">
              <w:rPr>
                <w:rFonts w:eastAsia="Calibri"/>
                <w:b/>
              </w:rPr>
              <w:t xml:space="preserve">WEEK 12: </w:t>
            </w:r>
          </w:p>
        </w:tc>
        <w:tc>
          <w:tcPr>
            <w:tcW w:w="4080" w:type="dxa"/>
            <w:tcMar>
              <w:top w:w="100" w:type="dxa"/>
              <w:left w:w="100" w:type="dxa"/>
              <w:bottom w:w="100" w:type="dxa"/>
              <w:right w:w="100" w:type="dxa"/>
            </w:tcMar>
          </w:tcPr>
          <w:p w14:paraId="43BBF98D" w14:textId="77777777" w:rsidR="000C0717" w:rsidRPr="00F93935" w:rsidRDefault="000C0717" w:rsidP="00544640">
            <w:pPr>
              <w:widowControl w:val="0"/>
              <w:jc w:val="center"/>
              <w:rPr>
                <w:rFonts w:eastAsia="Calibri"/>
                <w:b/>
              </w:rPr>
            </w:pPr>
            <w:r w:rsidRPr="00F93935">
              <w:rPr>
                <w:rFonts w:eastAsia="Calibri"/>
                <w:b/>
              </w:rPr>
              <w:t>Inquiry</w:t>
            </w:r>
          </w:p>
        </w:tc>
        <w:tc>
          <w:tcPr>
            <w:tcW w:w="3255" w:type="dxa"/>
            <w:tcMar>
              <w:top w:w="100" w:type="dxa"/>
              <w:left w:w="100" w:type="dxa"/>
              <w:bottom w:w="100" w:type="dxa"/>
              <w:right w:w="100" w:type="dxa"/>
            </w:tcMar>
          </w:tcPr>
          <w:p w14:paraId="1D617229" w14:textId="77777777" w:rsidR="000C0717" w:rsidRPr="00F93935" w:rsidRDefault="000C0717" w:rsidP="00544640">
            <w:pPr>
              <w:widowControl w:val="0"/>
              <w:jc w:val="center"/>
              <w:rPr>
                <w:rFonts w:eastAsia="Calibri"/>
              </w:rPr>
            </w:pPr>
            <w:r w:rsidRPr="00F93935">
              <w:rPr>
                <w:rFonts w:eastAsia="Calibri"/>
              </w:rPr>
              <w:t>We’ll take the lead</w:t>
            </w:r>
          </w:p>
        </w:tc>
      </w:tr>
      <w:tr w:rsidR="000C0717" w:rsidRPr="00F93935" w14:paraId="44EBC533" w14:textId="77777777" w:rsidTr="00544640">
        <w:trPr>
          <w:jc w:val="center"/>
        </w:trPr>
        <w:tc>
          <w:tcPr>
            <w:tcW w:w="2535" w:type="dxa"/>
            <w:tcMar>
              <w:top w:w="100" w:type="dxa"/>
              <w:left w:w="100" w:type="dxa"/>
              <w:bottom w:w="100" w:type="dxa"/>
              <w:right w:w="100" w:type="dxa"/>
            </w:tcMar>
          </w:tcPr>
          <w:p w14:paraId="52B4EE60" w14:textId="77777777" w:rsidR="000C0717" w:rsidRPr="00F93935" w:rsidRDefault="000C0717" w:rsidP="00544640">
            <w:pPr>
              <w:widowControl w:val="0"/>
              <w:rPr>
                <w:rFonts w:eastAsia="Calibri"/>
                <w:b/>
              </w:rPr>
            </w:pPr>
            <w:r w:rsidRPr="00F93935">
              <w:rPr>
                <w:rFonts w:eastAsia="Calibri"/>
                <w:b/>
              </w:rPr>
              <w:t>WEEK 13:</w:t>
            </w:r>
          </w:p>
        </w:tc>
        <w:tc>
          <w:tcPr>
            <w:tcW w:w="4080" w:type="dxa"/>
            <w:tcMar>
              <w:top w:w="100" w:type="dxa"/>
              <w:left w:w="100" w:type="dxa"/>
              <w:bottom w:w="100" w:type="dxa"/>
              <w:right w:w="100" w:type="dxa"/>
            </w:tcMar>
          </w:tcPr>
          <w:p w14:paraId="0229B198" w14:textId="77777777" w:rsidR="000C0717" w:rsidRPr="00F93935" w:rsidRDefault="000C0717" w:rsidP="00544640">
            <w:pPr>
              <w:widowControl w:val="0"/>
              <w:jc w:val="center"/>
              <w:rPr>
                <w:rFonts w:eastAsia="Calibri"/>
                <w:b/>
              </w:rPr>
            </w:pPr>
            <w:r w:rsidRPr="00F93935">
              <w:rPr>
                <w:rFonts w:eastAsia="Calibri"/>
                <w:b/>
              </w:rPr>
              <w:t>Inquiry</w:t>
            </w:r>
          </w:p>
        </w:tc>
        <w:tc>
          <w:tcPr>
            <w:tcW w:w="3255" w:type="dxa"/>
            <w:tcMar>
              <w:top w:w="100" w:type="dxa"/>
              <w:left w:w="100" w:type="dxa"/>
              <w:bottom w:w="100" w:type="dxa"/>
              <w:right w:w="100" w:type="dxa"/>
            </w:tcMar>
          </w:tcPr>
          <w:p w14:paraId="148ECA18" w14:textId="77777777" w:rsidR="000C0717" w:rsidRPr="00F93935" w:rsidRDefault="000C0717" w:rsidP="00544640">
            <w:pPr>
              <w:widowControl w:val="0"/>
              <w:jc w:val="center"/>
              <w:rPr>
                <w:rFonts w:eastAsia="Calibri"/>
              </w:rPr>
            </w:pPr>
            <w:r w:rsidRPr="00F93935">
              <w:rPr>
                <w:rFonts w:eastAsia="Calibri"/>
              </w:rPr>
              <w:t>We’ll take the lead</w:t>
            </w:r>
          </w:p>
        </w:tc>
      </w:tr>
      <w:tr w:rsidR="000C0717" w:rsidRPr="00F93935" w14:paraId="1CF973EE" w14:textId="77777777" w:rsidTr="00544640">
        <w:trPr>
          <w:jc w:val="center"/>
        </w:trPr>
        <w:tc>
          <w:tcPr>
            <w:tcW w:w="2535" w:type="dxa"/>
            <w:tcMar>
              <w:top w:w="100" w:type="dxa"/>
              <w:left w:w="100" w:type="dxa"/>
              <w:bottom w:w="100" w:type="dxa"/>
              <w:right w:w="100" w:type="dxa"/>
            </w:tcMar>
          </w:tcPr>
          <w:p w14:paraId="23F91523" w14:textId="77777777" w:rsidR="000C0717" w:rsidRPr="00F93935" w:rsidRDefault="000C0717" w:rsidP="00544640">
            <w:pPr>
              <w:widowControl w:val="0"/>
              <w:rPr>
                <w:rFonts w:eastAsia="Calibri"/>
                <w:b/>
              </w:rPr>
            </w:pPr>
            <w:r w:rsidRPr="00F93935">
              <w:rPr>
                <w:rFonts w:eastAsia="Calibri"/>
                <w:b/>
              </w:rPr>
              <w:t xml:space="preserve">WEEK 14: </w:t>
            </w:r>
          </w:p>
        </w:tc>
        <w:tc>
          <w:tcPr>
            <w:tcW w:w="4080" w:type="dxa"/>
            <w:tcMar>
              <w:top w:w="100" w:type="dxa"/>
              <w:left w:w="100" w:type="dxa"/>
              <w:bottom w:w="100" w:type="dxa"/>
              <w:right w:w="100" w:type="dxa"/>
            </w:tcMar>
          </w:tcPr>
          <w:p w14:paraId="25ACB0DD" w14:textId="77777777" w:rsidR="000C0717" w:rsidRPr="00F93935" w:rsidRDefault="000C0717" w:rsidP="00544640">
            <w:pPr>
              <w:widowControl w:val="0"/>
              <w:jc w:val="center"/>
              <w:rPr>
                <w:rFonts w:eastAsia="Calibri"/>
                <w:b/>
              </w:rPr>
            </w:pPr>
            <w:r w:rsidRPr="00F93935">
              <w:rPr>
                <w:rFonts w:eastAsia="Calibri"/>
                <w:b/>
              </w:rPr>
              <w:t>Inquiry</w:t>
            </w:r>
          </w:p>
        </w:tc>
        <w:tc>
          <w:tcPr>
            <w:tcW w:w="3255" w:type="dxa"/>
            <w:tcMar>
              <w:top w:w="100" w:type="dxa"/>
              <w:left w:w="100" w:type="dxa"/>
              <w:bottom w:w="100" w:type="dxa"/>
              <w:right w:w="100" w:type="dxa"/>
            </w:tcMar>
          </w:tcPr>
          <w:p w14:paraId="6D09DD42" w14:textId="77777777" w:rsidR="000C0717" w:rsidRPr="00F93935" w:rsidRDefault="000C0717" w:rsidP="00544640">
            <w:pPr>
              <w:widowControl w:val="0"/>
              <w:jc w:val="center"/>
              <w:rPr>
                <w:rFonts w:eastAsia="Calibri"/>
              </w:rPr>
            </w:pPr>
            <w:r w:rsidRPr="00F93935">
              <w:rPr>
                <w:rFonts w:eastAsia="Calibri"/>
              </w:rPr>
              <w:t>We’ll take the lead</w:t>
            </w:r>
          </w:p>
          <w:p w14:paraId="2E7A180D" w14:textId="77777777" w:rsidR="000C0717" w:rsidRPr="00F93935" w:rsidRDefault="000C0717" w:rsidP="00544640">
            <w:pPr>
              <w:widowControl w:val="0"/>
              <w:rPr>
                <w:rFonts w:eastAsia="Calibri"/>
              </w:rPr>
            </w:pPr>
          </w:p>
        </w:tc>
      </w:tr>
      <w:tr w:rsidR="000C0717" w:rsidRPr="00F93935" w14:paraId="46E4B458" w14:textId="77777777" w:rsidTr="00544640">
        <w:trPr>
          <w:trHeight w:val="906"/>
          <w:jc w:val="center"/>
        </w:trPr>
        <w:tc>
          <w:tcPr>
            <w:tcW w:w="2535" w:type="dxa"/>
            <w:tcMar>
              <w:top w:w="100" w:type="dxa"/>
              <w:left w:w="100" w:type="dxa"/>
              <w:bottom w:w="100" w:type="dxa"/>
              <w:right w:w="100" w:type="dxa"/>
            </w:tcMar>
          </w:tcPr>
          <w:p w14:paraId="28E136B2" w14:textId="77777777" w:rsidR="000C0717" w:rsidRPr="00F93935" w:rsidRDefault="000C0717" w:rsidP="00544640">
            <w:pPr>
              <w:widowControl w:val="0"/>
              <w:rPr>
                <w:rFonts w:eastAsia="Calibri"/>
                <w:b/>
              </w:rPr>
            </w:pPr>
            <w:r w:rsidRPr="00F93935">
              <w:rPr>
                <w:rFonts w:eastAsia="Calibri"/>
                <w:b/>
              </w:rPr>
              <w:t>WEEK 15-16:</w:t>
            </w:r>
          </w:p>
        </w:tc>
        <w:tc>
          <w:tcPr>
            <w:tcW w:w="4080" w:type="dxa"/>
            <w:tcMar>
              <w:top w:w="100" w:type="dxa"/>
              <w:left w:w="100" w:type="dxa"/>
              <w:bottom w:w="100" w:type="dxa"/>
              <w:right w:w="100" w:type="dxa"/>
            </w:tcMar>
          </w:tcPr>
          <w:p w14:paraId="62FC1E35" w14:textId="77777777" w:rsidR="000C0717" w:rsidRPr="00F93935" w:rsidRDefault="000C0717" w:rsidP="00544640">
            <w:pPr>
              <w:widowControl w:val="0"/>
              <w:spacing w:line="276" w:lineRule="auto"/>
              <w:jc w:val="center"/>
              <w:rPr>
                <w:rFonts w:eastAsia="Calibri"/>
                <w:b/>
              </w:rPr>
            </w:pPr>
            <w:r w:rsidRPr="00F93935">
              <w:rPr>
                <w:rFonts w:eastAsia="Calibri"/>
                <w:b/>
              </w:rPr>
              <w:t>Community/Final Presentations</w:t>
            </w:r>
          </w:p>
        </w:tc>
        <w:tc>
          <w:tcPr>
            <w:tcW w:w="3255" w:type="dxa"/>
            <w:shd w:val="clear" w:color="auto" w:fill="auto"/>
            <w:tcMar>
              <w:top w:w="100" w:type="dxa"/>
              <w:left w:w="100" w:type="dxa"/>
              <w:bottom w:w="100" w:type="dxa"/>
              <w:right w:w="100" w:type="dxa"/>
            </w:tcMar>
          </w:tcPr>
          <w:p w14:paraId="7D1FC565" w14:textId="77777777" w:rsidR="000C0717" w:rsidRPr="00F93935" w:rsidRDefault="000C0717" w:rsidP="00544640">
            <w:pPr>
              <w:widowControl w:val="0"/>
              <w:jc w:val="center"/>
              <w:rPr>
                <w:rFonts w:eastAsia="Calibri"/>
                <w:b/>
                <w:bCs/>
              </w:rPr>
            </w:pPr>
            <w:r w:rsidRPr="00F93935">
              <w:rPr>
                <w:rFonts w:eastAsia="Calibri"/>
                <w:b/>
                <w:bCs/>
              </w:rPr>
              <w:t>Unlearning presentation due</w:t>
            </w:r>
          </w:p>
        </w:tc>
      </w:tr>
    </w:tbl>
    <w:p w14:paraId="4EE76929" w14:textId="77777777" w:rsidR="000C0717" w:rsidRPr="00F93935" w:rsidRDefault="000C0717" w:rsidP="000C0717">
      <w:pPr>
        <w:spacing w:line="276" w:lineRule="auto"/>
        <w:rPr>
          <w:rFonts w:eastAsia="Calibri"/>
          <w:color w:val="00B0F0"/>
        </w:rPr>
      </w:pPr>
    </w:p>
    <w:p w14:paraId="1EBA37E4" w14:textId="77777777" w:rsidR="000C0717" w:rsidRPr="00F93935" w:rsidRDefault="003D52C7" w:rsidP="000C0717">
      <w:pPr>
        <w:spacing w:line="276" w:lineRule="auto"/>
        <w:rPr>
          <w:rFonts w:eastAsia="Calibri"/>
          <w:color w:val="00B0F0"/>
        </w:rPr>
      </w:pPr>
      <w:r>
        <w:rPr>
          <w:noProof/>
        </w:rPr>
        <w:lastRenderedPageBreak/>
        <w:pict w14:anchorId="55E9A2D9">
          <v:rect id="_x0000_i1026" alt="" style="width:468pt;height:.05pt;mso-width-percent:0;mso-height-percent:0;mso-width-percent:0;mso-height-percent:0" o:hralign="center" o:hrstd="t" o:hr="t" fillcolor="#a0a0a0" stroked="f"/>
        </w:pict>
      </w:r>
    </w:p>
    <w:p w14:paraId="68FEF22E" w14:textId="77777777" w:rsidR="000C0717" w:rsidRPr="00F93935" w:rsidRDefault="000C0717" w:rsidP="000C0717">
      <w:pPr>
        <w:widowControl w:val="0"/>
        <w:rPr>
          <w:rFonts w:eastAsia="Calibri"/>
          <w:b/>
          <w:color w:val="000000"/>
        </w:rPr>
      </w:pPr>
    </w:p>
    <w:p w14:paraId="179DAC13" w14:textId="77777777" w:rsidR="000C0717" w:rsidRPr="00F93935" w:rsidRDefault="000C0717" w:rsidP="000C0717">
      <w:pPr>
        <w:widowControl w:val="0"/>
        <w:rPr>
          <w:rFonts w:eastAsia="Calibri"/>
          <w:b/>
          <w:color w:val="000000"/>
          <w:lang w:val="en"/>
        </w:rPr>
      </w:pPr>
      <w:r w:rsidRPr="00F93935">
        <w:rPr>
          <w:rFonts w:eastAsia="Calibri"/>
          <w:b/>
          <w:color w:val="000000"/>
          <w:lang w:val="en"/>
        </w:rPr>
        <w:t>Course Assignments</w:t>
      </w:r>
    </w:p>
    <w:p w14:paraId="16DF14D2" w14:textId="77777777" w:rsidR="000C0717" w:rsidRPr="00F93935" w:rsidRDefault="000C0717" w:rsidP="000C0717">
      <w:pPr>
        <w:widowControl w:val="0"/>
        <w:rPr>
          <w:rFonts w:eastAsia="Calibri"/>
          <w:b/>
          <w:color w:val="000000"/>
          <w:lang w:val="en"/>
        </w:rPr>
      </w:pPr>
      <w:r w:rsidRPr="00F93935">
        <w:rPr>
          <w:rFonts w:eastAsia="Calibri"/>
          <w:b/>
          <w:color w:val="000000"/>
          <w:lang w:val="en"/>
        </w:rPr>
        <w:t>A brief description of the course assignments is listed below.</w:t>
      </w:r>
    </w:p>
    <w:p w14:paraId="072E6D72" w14:textId="77777777" w:rsidR="000C0717" w:rsidRPr="00F93935" w:rsidRDefault="000C0717" w:rsidP="000C0717">
      <w:pPr>
        <w:widowControl w:val="0"/>
        <w:rPr>
          <w:rFonts w:eastAsia="Calibri"/>
          <w:b/>
          <w:color w:val="000000"/>
          <w:lang w:val="en"/>
        </w:rPr>
      </w:pPr>
    </w:p>
    <w:tbl>
      <w:tblPr>
        <w:tblW w:w="999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2070"/>
        <w:gridCol w:w="2340"/>
        <w:gridCol w:w="2520"/>
      </w:tblGrid>
      <w:tr w:rsidR="000C0717" w:rsidRPr="00F93935" w14:paraId="1443435C" w14:textId="77777777" w:rsidTr="00544640">
        <w:trPr>
          <w:trHeight w:val="287"/>
        </w:trPr>
        <w:tc>
          <w:tcPr>
            <w:tcW w:w="3060" w:type="dxa"/>
            <w:shd w:val="clear" w:color="auto" w:fill="B6DDE8" w:themeFill="accent5" w:themeFillTint="66"/>
            <w:tcMar>
              <w:top w:w="100" w:type="dxa"/>
              <w:left w:w="100" w:type="dxa"/>
              <w:bottom w:w="100" w:type="dxa"/>
              <w:right w:w="100" w:type="dxa"/>
            </w:tcMar>
          </w:tcPr>
          <w:p w14:paraId="1B2967E3" w14:textId="77777777" w:rsidR="000C0717" w:rsidRPr="00F93935" w:rsidRDefault="000C0717" w:rsidP="00544640">
            <w:pPr>
              <w:widowControl w:val="0"/>
              <w:rPr>
                <w:rFonts w:eastAsia="Calibri"/>
                <w:b/>
                <w:color w:val="000000"/>
                <w:lang w:val="en"/>
              </w:rPr>
            </w:pPr>
            <w:r w:rsidRPr="00F93935">
              <w:rPr>
                <w:rFonts w:eastAsia="Calibri"/>
                <w:b/>
                <w:color w:val="000000"/>
                <w:lang w:val="en"/>
              </w:rPr>
              <w:t>Assignment &amp; Description</w:t>
            </w:r>
          </w:p>
        </w:tc>
        <w:tc>
          <w:tcPr>
            <w:tcW w:w="2070" w:type="dxa"/>
            <w:shd w:val="clear" w:color="auto" w:fill="B6DDE8" w:themeFill="accent5" w:themeFillTint="66"/>
            <w:tcMar>
              <w:top w:w="100" w:type="dxa"/>
              <w:left w:w="100" w:type="dxa"/>
              <w:bottom w:w="100" w:type="dxa"/>
              <w:right w:w="100" w:type="dxa"/>
            </w:tcMar>
          </w:tcPr>
          <w:p w14:paraId="1E832F28" w14:textId="77777777" w:rsidR="000C0717" w:rsidRPr="00F93935" w:rsidRDefault="000C0717" w:rsidP="00544640">
            <w:pPr>
              <w:widowControl w:val="0"/>
              <w:rPr>
                <w:rFonts w:eastAsia="Calibri"/>
                <w:b/>
                <w:color w:val="000000"/>
                <w:lang w:val="en"/>
              </w:rPr>
            </w:pPr>
            <w:r w:rsidRPr="00F93935">
              <w:rPr>
                <w:rFonts w:eastAsia="Calibri"/>
                <w:b/>
                <w:color w:val="000000"/>
                <w:lang w:val="en"/>
              </w:rPr>
              <w:t>Due date</w:t>
            </w:r>
          </w:p>
        </w:tc>
        <w:tc>
          <w:tcPr>
            <w:tcW w:w="2340" w:type="dxa"/>
            <w:shd w:val="clear" w:color="auto" w:fill="B6DDE8" w:themeFill="accent5" w:themeFillTint="66"/>
            <w:tcMar>
              <w:top w:w="100" w:type="dxa"/>
              <w:left w:w="100" w:type="dxa"/>
              <w:bottom w:w="100" w:type="dxa"/>
              <w:right w:w="100" w:type="dxa"/>
            </w:tcMar>
          </w:tcPr>
          <w:p w14:paraId="29B4D425" w14:textId="77777777" w:rsidR="000C0717" w:rsidRPr="00F93935" w:rsidRDefault="000C0717" w:rsidP="00544640">
            <w:pPr>
              <w:widowControl w:val="0"/>
              <w:rPr>
                <w:rFonts w:eastAsia="Calibri"/>
                <w:b/>
                <w:color w:val="000000"/>
                <w:lang w:val="en"/>
              </w:rPr>
            </w:pPr>
            <w:r w:rsidRPr="00F93935">
              <w:rPr>
                <w:rFonts w:eastAsia="Calibri"/>
                <w:b/>
                <w:color w:val="000000"/>
                <w:lang w:val="en"/>
              </w:rPr>
              <w:t>Score/Points</w:t>
            </w:r>
          </w:p>
        </w:tc>
        <w:tc>
          <w:tcPr>
            <w:tcW w:w="2520" w:type="dxa"/>
            <w:shd w:val="clear" w:color="auto" w:fill="B6DDE8" w:themeFill="accent5" w:themeFillTint="66"/>
            <w:tcMar>
              <w:top w:w="100" w:type="dxa"/>
              <w:left w:w="100" w:type="dxa"/>
              <w:bottom w:w="100" w:type="dxa"/>
              <w:right w:w="100" w:type="dxa"/>
            </w:tcMar>
          </w:tcPr>
          <w:p w14:paraId="193B5547" w14:textId="77777777" w:rsidR="000C0717" w:rsidRPr="00F93935" w:rsidRDefault="000C0717" w:rsidP="00544640">
            <w:pPr>
              <w:widowControl w:val="0"/>
              <w:rPr>
                <w:rFonts w:eastAsia="Calibri"/>
                <w:b/>
                <w:color w:val="000000"/>
                <w:lang w:val="en"/>
              </w:rPr>
            </w:pPr>
            <w:r w:rsidRPr="00F93935">
              <w:rPr>
                <w:rFonts w:eastAsia="Calibri"/>
                <w:b/>
                <w:color w:val="000000"/>
                <w:lang w:val="en"/>
              </w:rPr>
              <w:t>Turn in by...</w:t>
            </w:r>
          </w:p>
        </w:tc>
      </w:tr>
      <w:tr w:rsidR="000C0717" w:rsidRPr="00F93935" w14:paraId="50E832ED" w14:textId="77777777" w:rsidTr="00544640">
        <w:trPr>
          <w:trHeight w:val="271"/>
        </w:trPr>
        <w:tc>
          <w:tcPr>
            <w:tcW w:w="3060" w:type="dxa"/>
            <w:shd w:val="clear" w:color="auto" w:fill="auto"/>
            <w:tcMar>
              <w:top w:w="100" w:type="dxa"/>
              <w:left w:w="100" w:type="dxa"/>
              <w:bottom w:w="100" w:type="dxa"/>
              <w:right w:w="100" w:type="dxa"/>
            </w:tcMar>
          </w:tcPr>
          <w:p w14:paraId="737BED98" w14:textId="77777777" w:rsidR="000C0717" w:rsidRPr="00F93935" w:rsidRDefault="000C0717" w:rsidP="00544640">
            <w:pPr>
              <w:widowControl w:val="0"/>
              <w:rPr>
                <w:rFonts w:eastAsia="Calibri"/>
                <w:b/>
                <w:color w:val="000000"/>
                <w:lang w:val="en"/>
              </w:rPr>
            </w:pPr>
            <w:r w:rsidRPr="00F93935">
              <w:rPr>
                <w:rFonts w:eastAsia="Calibri"/>
                <w:b/>
                <w:color w:val="000000"/>
                <w:lang w:val="en"/>
              </w:rPr>
              <w:t>Critical Reading Reflection Journals</w:t>
            </w:r>
          </w:p>
          <w:p w14:paraId="7456E3DD" w14:textId="77777777" w:rsidR="000C0717" w:rsidRPr="00F93935" w:rsidRDefault="000C0717" w:rsidP="00544640">
            <w:pPr>
              <w:widowControl w:val="0"/>
              <w:rPr>
                <w:rFonts w:eastAsia="Calibri"/>
                <w:bCs/>
                <w:color w:val="000000"/>
                <w:lang w:val="en"/>
              </w:rPr>
            </w:pPr>
            <w:r w:rsidRPr="00F93935">
              <w:rPr>
                <w:rFonts w:eastAsia="Calibri"/>
                <w:bCs/>
                <w:color w:val="000000"/>
                <w:lang w:val="en"/>
              </w:rPr>
              <w:t>Students need to complete a critical reading reflection journal based on assigned weekly texts.</w:t>
            </w:r>
          </w:p>
        </w:tc>
        <w:tc>
          <w:tcPr>
            <w:tcW w:w="2070" w:type="dxa"/>
            <w:shd w:val="clear" w:color="auto" w:fill="auto"/>
            <w:tcMar>
              <w:top w:w="100" w:type="dxa"/>
              <w:left w:w="100" w:type="dxa"/>
              <w:bottom w:w="100" w:type="dxa"/>
              <w:right w:w="100" w:type="dxa"/>
            </w:tcMar>
          </w:tcPr>
          <w:p w14:paraId="44709B08" w14:textId="77777777" w:rsidR="000C0717" w:rsidRPr="00F93935" w:rsidRDefault="000C0717" w:rsidP="00544640">
            <w:pPr>
              <w:widowControl w:val="0"/>
              <w:rPr>
                <w:rFonts w:eastAsia="Calibri"/>
                <w:b/>
                <w:color w:val="000000"/>
                <w:lang w:val="en"/>
              </w:rPr>
            </w:pPr>
            <w:r w:rsidRPr="00F93935">
              <w:rPr>
                <w:rFonts w:eastAsia="Calibri"/>
                <w:b/>
                <w:color w:val="000000"/>
                <w:lang w:val="en"/>
              </w:rPr>
              <w:t>Week 4</w:t>
            </w:r>
          </w:p>
          <w:p w14:paraId="2EF86497" w14:textId="77777777" w:rsidR="000C0717" w:rsidRPr="00F93935" w:rsidRDefault="000C0717" w:rsidP="00544640">
            <w:pPr>
              <w:widowControl w:val="0"/>
              <w:rPr>
                <w:rFonts w:eastAsia="Calibri"/>
                <w:b/>
                <w:color w:val="000000"/>
                <w:lang w:val="en"/>
              </w:rPr>
            </w:pPr>
            <w:r w:rsidRPr="00F93935">
              <w:rPr>
                <w:rFonts w:eastAsia="Calibri"/>
                <w:b/>
                <w:color w:val="000000"/>
                <w:lang w:val="en"/>
              </w:rPr>
              <w:t>Week 6</w:t>
            </w:r>
          </w:p>
          <w:p w14:paraId="0A37B0CD" w14:textId="77777777" w:rsidR="000C0717" w:rsidRPr="00F93935" w:rsidRDefault="000C0717" w:rsidP="00544640">
            <w:pPr>
              <w:widowControl w:val="0"/>
              <w:rPr>
                <w:rFonts w:eastAsia="Calibri"/>
                <w:b/>
                <w:color w:val="000000"/>
                <w:lang w:val="en"/>
              </w:rPr>
            </w:pPr>
            <w:r w:rsidRPr="00F93935">
              <w:rPr>
                <w:rFonts w:eastAsia="Calibri"/>
                <w:b/>
                <w:color w:val="000000"/>
                <w:lang w:val="en"/>
              </w:rPr>
              <w:t>Week 8</w:t>
            </w:r>
          </w:p>
          <w:p w14:paraId="158667F1" w14:textId="77777777" w:rsidR="000C0717" w:rsidRPr="00F93935" w:rsidRDefault="000C0717" w:rsidP="00544640">
            <w:pPr>
              <w:widowControl w:val="0"/>
              <w:rPr>
                <w:rFonts w:eastAsia="Calibri"/>
                <w:b/>
                <w:color w:val="000000"/>
                <w:lang w:val="en"/>
              </w:rPr>
            </w:pPr>
          </w:p>
        </w:tc>
        <w:tc>
          <w:tcPr>
            <w:tcW w:w="2340" w:type="dxa"/>
            <w:shd w:val="clear" w:color="auto" w:fill="auto"/>
            <w:tcMar>
              <w:top w:w="100" w:type="dxa"/>
              <w:left w:w="100" w:type="dxa"/>
              <w:bottom w:w="100" w:type="dxa"/>
              <w:right w:w="100" w:type="dxa"/>
            </w:tcMar>
          </w:tcPr>
          <w:p w14:paraId="604E3641" w14:textId="77777777" w:rsidR="000C0717" w:rsidRPr="00F93935" w:rsidRDefault="000C0717" w:rsidP="00544640">
            <w:pPr>
              <w:widowControl w:val="0"/>
              <w:rPr>
                <w:rFonts w:eastAsia="Calibri"/>
                <w:b/>
                <w:color w:val="000000"/>
                <w:lang w:val="en"/>
              </w:rPr>
            </w:pPr>
          </w:p>
          <w:p w14:paraId="3384542D" w14:textId="77777777" w:rsidR="000C0717" w:rsidRPr="00F93935" w:rsidRDefault="000C0717" w:rsidP="00544640">
            <w:pPr>
              <w:widowControl w:val="0"/>
              <w:rPr>
                <w:rFonts w:eastAsia="Calibri"/>
                <w:b/>
                <w:i/>
                <w:color w:val="000000"/>
                <w:lang w:val="en"/>
              </w:rPr>
            </w:pPr>
            <w:r w:rsidRPr="00F93935">
              <w:rPr>
                <w:rFonts w:eastAsia="Calibri"/>
                <w:b/>
                <w:color w:val="000000"/>
                <w:lang w:val="en"/>
              </w:rPr>
              <w:t xml:space="preserve">15 </w:t>
            </w:r>
          </w:p>
        </w:tc>
        <w:tc>
          <w:tcPr>
            <w:tcW w:w="2520" w:type="dxa"/>
            <w:shd w:val="clear" w:color="auto" w:fill="auto"/>
            <w:tcMar>
              <w:top w:w="100" w:type="dxa"/>
              <w:left w:w="100" w:type="dxa"/>
              <w:bottom w:w="100" w:type="dxa"/>
              <w:right w:w="100" w:type="dxa"/>
            </w:tcMar>
          </w:tcPr>
          <w:p w14:paraId="769DFFC9" w14:textId="77777777" w:rsidR="000C0717" w:rsidRPr="00F93935" w:rsidRDefault="000C0717" w:rsidP="00544640">
            <w:pPr>
              <w:widowControl w:val="0"/>
              <w:rPr>
                <w:rFonts w:eastAsia="Calibri"/>
                <w:b/>
                <w:i/>
                <w:color w:val="000000"/>
                <w:lang w:val="en"/>
              </w:rPr>
            </w:pPr>
          </w:p>
          <w:p w14:paraId="266AC020" w14:textId="77777777" w:rsidR="000C0717" w:rsidRPr="00F93935" w:rsidRDefault="000C0717" w:rsidP="00544640">
            <w:pPr>
              <w:widowControl w:val="0"/>
              <w:rPr>
                <w:rFonts w:eastAsia="Calibri"/>
                <w:b/>
                <w:i/>
                <w:color w:val="000000"/>
                <w:lang w:val="en"/>
              </w:rPr>
            </w:pPr>
            <w:r w:rsidRPr="00F93935">
              <w:rPr>
                <w:rFonts w:eastAsia="Calibri"/>
                <w:b/>
                <w:i/>
                <w:color w:val="000000"/>
                <w:lang w:val="en"/>
              </w:rPr>
              <w:t>Submit to Canvas</w:t>
            </w:r>
          </w:p>
          <w:p w14:paraId="68595A13" w14:textId="77777777" w:rsidR="000C0717" w:rsidRPr="00F93935" w:rsidRDefault="000C0717" w:rsidP="00544640">
            <w:pPr>
              <w:widowControl w:val="0"/>
              <w:rPr>
                <w:rFonts w:eastAsia="Calibri"/>
                <w:b/>
                <w:i/>
                <w:color w:val="000000"/>
                <w:lang w:val="en"/>
              </w:rPr>
            </w:pPr>
          </w:p>
          <w:p w14:paraId="46E16B8F" w14:textId="77777777" w:rsidR="000C0717" w:rsidRPr="00F93935" w:rsidRDefault="000C0717" w:rsidP="00544640">
            <w:pPr>
              <w:widowControl w:val="0"/>
              <w:rPr>
                <w:rFonts w:eastAsia="Calibri"/>
                <w:b/>
                <w:color w:val="000000"/>
                <w:lang w:val="en"/>
              </w:rPr>
            </w:pPr>
          </w:p>
        </w:tc>
      </w:tr>
      <w:tr w:rsidR="000C0717" w:rsidRPr="00F93935" w14:paraId="37419D63" w14:textId="77777777" w:rsidTr="00544640">
        <w:trPr>
          <w:trHeight w:val="1538"/>
        </w:trPr>
        <w:tc>
          <w:tcPr>
            <w:tcW w:w="3060" w:type="dxa"/>
            <w:shd w:val="clear" w:color="auto" w:fill="auto"/>
            <w:tcMar>
              <w:top w:w="100" w:type="dxa"/>
              <w:left w:w="100" w:type="dxa"/>
              <w:bottom w:w="100" w:type="dxa"/>
              <w:right w:w="100" w:type="dxa"/>
            </w:tcMar>
          </w:tcPr>
          <w:p w14:paraId="76F6901A" w14:textId="77777777" w:rsidR="000C0717" w:rsidRPr="00F93935" w:rsidRDefault="000C0717" w:rsidP="00544640">
            <w:pPr>
              <w:widowControl w:val="0"/>
              <w:rPr>
                <w:rFonts w:eastAsia="Calibri"/>
                <w:b/>
                <w:color w:val="000000"/>
                <w:lang w:val="en"/>
              </w:rPr>
            </w:pPr>
            <w:r w:rsidRPr="00F93935">
              <w:rPr>
                <w:rFonts w:eastAsia="Calibri"/>
                <w:b/>
                <w:color w:val="000000"/>
                <w:lang w:val="en"/>
              </w:rPr>
              <w:t xml:space="preserve">We’ll Take the Lead </w:t>
            </w:r>
          </w:p>
          <w:p w14:paraId="6C0325C3" w14:textId="77777777" w:rsidR="000C0717" w:rsidRPr="00F93935" w:rsidRDefault="000C0717" w:rsidP="00544640">
            <w:pPr>
              <w:widowControl w:val="0"/>
              <w:rPr>
                <w:rFonts w:eastAsia="Calibri"/>
                <w:bCs/>
                <w:color w:val="000000"/>
                <w:lang w:val="en"/>
              </w:rPr>
            </w:pPr>
            <w:r w:rsidRPr="00F93935">
              <w:rPr>
                <w:b/>
                <w:bCs/>
                <w:i/>
                <w:iCs/>
                <w:color w:val="221F1F"/>
              </w:rPr>
              <w:t xml:space="preserve">We’ll take the </w:t>
            </w:r>
            <w:proofErr w:type="gramStart"/>
            <w:r w:rsidRPr="00F93935">
              <w:rPr>
                <w:b/>
                <w:bCs/>
                <w:i/>
                <w:iCs/>
                <w:color w:val="221F1F"/>
              </w:rPr>
              <w:t>lead </w:t>
            </w:r>
            <w:r w:rsidRPr="00F93935">
              <w:rPr>
                <w:color w:val="221F1F"/>
              </w:rPr>
              <w:t xml:space="preserve"> </w:t>
            </w:r>
            <w:r w:rsidRPr="00F93935">
              <w:rPr>
                <w:color w:val="000000"/>
              </w:rPr>
              <w:t>With</w:t>
            </w:r>
            <w:proofErr w:type="gramEnd"/>
            <w:r w:rsidRPr="00F93935">
              <w:rPr>
                <w:color w:val="000000"/>
              </w:rPr>
              <w:t xml:space="preserve"> a small group, you will select one of our class topics and </w:t>
            </w:r>
            <w:r w:rsidRPr="00F93935">
              <w:rPr>
                <w:i/>
                <w:iCs/>
                <w:color w:val="000000"/>
              </w:rPr>
              <w:t>lead a class discussion</w:t>
            </w:r>
            <w:r w:rsidRPr="00F93935">
              <w:rPr>
                <w:color w:val="000000"/>
              </w:rPr>
              <w:t xml:space="preserve"> on the topic, </w:t>
            </w:r>
            <w:r w:rsidRPr="00F93935">
              <w:rPr>
                <w:i/>
                <w:iCs/>
                <w:color w:val="000000"/>
              </w:rPr>
              <w:t>focusing on the class required reading for that topic</w:t>
            </w:r>
            <w:r w:rsidRPr="00F93935">
              <w:rPr>
                <w:color w:val="000000"/>
              </w:rPr>
              <w:t xml:space="preserve">. </w:t>
            </w:r>
          </w:p>
        </w:tc>
        <w:tc>
          <w:tcPr>
            <w:tcW w:w="2070" w:type="dxa"/>
            <w:shd w:val="clear" w:color="auto" w:fill="auto"/>
            <w:tcMar>
              <w:top w:w="100" w:type="dxa"/>
              <w:left w:w="100" w:type="dxa"/>
              <w:bottom w:w="100" w:type="dxa"/>
              <w:right w:w="100" w:type="dxa"/>
            </w:tcMar>
          </w:tcPr>
          <w:p w14:paraId="4FCC8E78" w14:textId="77777777" w:rsidR="000C0717" w:rsidRPr="00F93935" w:rsidRDefault="000C0717" w:rsidP="00544640">
            <w:pPr>
              <w:widowControl w:val="0"/>
              <w:rPr>
                <w:rFonts w:eastAsia="Calibri"/>
                <w:b/>
                <w:color w:val="000000"/>
                <w:lang w:val="en"/>
              </w:rPr>
            </w:pPr>
          </w:p>
          <w:p w14:paraId="75826955" w14:textId="77777777" w:rsidR="000C0717" w:rsidRPr="00F93935" w:rsidRDefault="000C0717" w:rsidP="00544640">
            <w:pPr>
              <w:widowControl w:val="0"/>
              <w:rPr>
                <w:rFonts w:eastAsia="Calibri"/>
                <w:b/>
                <w:color w:val="000000"/>
                <w:lang w:val="en"/>
              </w:rPr>
            </w:pPr>
            <w:r w:rsidRPr="00F93935">
              <w:rPr>
                <w:rFonts w:eastAsia="Calibri"/>
                <w:b/>
                <w:color w:val="000000"/>
                <w:lang w:val="en"/>
              </w:rPr>
              <w:t xml:space="preserve">Throughout the semester </w:t>
            </w:r>
          </w:p>
        </w:tc>
        <w:tc>
          <w:tcPr>
            <w:tcW w:w="2340" w:type="dxa"/>
            <w:shd w:val="clear" w:color="auto" w:fill="auto"/>
            <w:tcMar>
              <w:top w:w="100" w:type="dxa"/>
              <w:left w:w="100" w:type="dxa"/>
              <w:bottom w:w="100" w:type="dxa"/>
              <w:right w:w="100" w:type="dxa"/>
            </w:tcMar>
          </w:tcPr>
          <w:p w14:paraId="270FD69E" w14:textId="77777777" w:rsidR="000C0717" w:rsidRPr="00F93935" w:rsidRDefault="000C0717" w:rsidP="00544640">
            <w:pPr>
              <w:widowControl w:val="0"/>
              <w:rPr>
                <w:rFonts w:eastAsia="Calibri"/>
                <w:b/>
                <w:color w:val="000000"/>
                <w:lang w:val="en"/>
              </w:rPr>
            </w:pPr>
          </w:p>
          <w:p w14:paraId="25A94517" w14:textId="77777777" w:rsidR="000C0717" w:rsidRPr="00F93935" w:rsidRDefault="000C0717" w:rsidP="00544640">
            <w:pPr>
              <w:widowControl w:val="0"/>
              <w:rPr>
                <w:rFonts w:eastAsia="Calibri"/>
                <w:b/>
                <w:color w:val="000000"/>
                <w:lang w:val="en"/>
              </w:rPr>
            </w:pPr>
            <w:r>
              <w:rPr>
                <w:rFonts w:eastAsia="Calibri"/>
                <w:b/>
                <w:color w:val="000000"/>
                <w:lang w:val="en"/>
              </w:rPr>
              <w:t>20</w:t>
            </w:r>
          </w:p>
        </w:tc>
        <w:tc>
          <w:tcPr>
            <w:tcW w:w="2520" w:type="dxa"/>
            <w:shd w:val="clear" w:color="auto" w:fill="auto"/>
            <w:tcMar>
              <w:top w:w="100" w:type="dxa"/>
              <w:left w:w="100" w:type="dxa"/>
              <w:bottom w:w="100" w:type="dxa"/>
              <w:right w:w="100" w:type="dxa"/>
            </w:tcMar>
          </w:tcPr>
          <w:p w14:paraId="69CC4717" w14:textId="77777777" w:rsidR="000C0717" w:rsidRPr="00F93935" w:rsidRDefault="000C0717" w:rsidP="00544640">
            <w:pPr>
              <w:widowControl w:val="0"/>
              <w:rPr>
                <w:rFonts w:eastAsia="Calibri"/>
                <w:b/>
                <w:i/>
                <w:color w:val="000000"/>
                <w:lang w:val="en"/>
              </w:rPr>
            </w:pPr>
          </w:p>
          <w:p w14:paraId="5CD01EFC" w14:textId="77777777" w:rsidR="000C0717" w:rsidRPr="00F93935" w:rsidRDefault="000C0717" w:rsidP="00544640">
            <w:pPr>
              <w:widowControl w:val="0"/>
              <w:rPr>
                <w:rFonts w:eastAsia="Calibri"/>
                <w:b/>
                <w:bCs/>
                <w:color w:val="000000"/>
                <w:lang w:val="en"/>
              </w:rPr>
            </w:pPr>
            <w:r w:rsidRPr="00F93935">
              <w:rPr>
                <w:rFonts w:eastAsia="Calibri"/>
                <w:b/>
                <w:bCs/>
                <w:i/>
                <w:color w:val="000000"/>
                <w:lang w:val="en"/>
              </w:rPr>
              <w:t>Submit to Canvas</w:t>
            </w:r>
          </w:p>
        </w:tc>
      </w:tr>
      <w:tr w:rsidR="000C0717" w:rsidRPr="00F93935" w14:paraId="71F2DDE1" w14:textId="77777777" w:rsidTr="00544640">
        <w:trPr>
          <w:trHeight w:val="1538"/>
        </w:trPr>
        <w:tc>
          <w:tcPr>
            <w:tcW w:w="3060" w:type="dxa"/>
            <w:shd w:val="clear" w:color="auto" w:fill="auto"/>
            <w:tcMar>
              <w:top w:w="100" w:type="dxa"/>
              <w:left w:w="100" w:type="dxa"/>
              <w:bottom w:w="100" w:type="dxa"/>
              <w:right w:w="100" w:type="dxa"/>
            </w:tcMar>
          </w:tcPr>
          <w:p w14:paraId="6B3FB1C2" w14:textId="77777777" w:rsidR="000C0717" w:rsidRPr="00541A8F" w:rsidRDefault="000C0717" w:rsidP="00544640">
            <w:pPr>
              <w:widowControl w:val="0"/>
              <w:rPr>
                <w:rFonts w:eastAsia="Calibri"/>
                <w:b/>
                <w:color w:val="000000"/>
              </w:rPr>
            </w:pPr>
            <w:r w:rsidRPr="00541A8F">
              <w:rPr>
                <w:rFonts w:eastAsia="Calibri"/>
                <w:b/>
                <w:bCs/>
                <w:color w:val="000000"/>
              </w:rPr>
              <w:t>Inquiry Design Blueprint</w:t>
            </w:r>
          </w:p>
          <w:p w14:paraId="059354AB" w14:textId="77777777" w:rsidR="000C0717" w:rsidRPr="00541A8F" w:rsidRDefault="000C0717" w:rsidP="00544640">
            <w:pPr>
              <w:widowControl w:val="0"/>
              <w:rPr>
                <w:rFonts w:eastAsia="Calibri"/>
                <w:bCs/>
                <w:color w:val="000000"/>
              </w:rPr>
            </w:pPr>
            <w:r w:rsidRPr="00541A8F">
              <w:rPr>
                <w:rFonts w:eastAsia="Calibri"/>
                <w:bCs/>
                <w:color w:val="000000"/>
              </w:rPr>
              <w:t>Students will create an inquiry unit plan with activities for their desired content and grade level.</w:t>
            </w:r>
          </w:p>
          <w:p w14:paraId="0023DAE6" w14:textId="77777777" w:rsidR="000C0717" w:rsidRPr="00541A8F" w:rsidRDefault="000C0717" w:rsidP="00544640">
            <w:pPr>
              <w:widowControl w:val="0"/>
              <w:rPr>
                <w:rFonts w:eastAsia="Calibri"/>
                <w:b/>
                <w:color w:val="000000"/>
              </w:rPr>
            </w:pPr>
          </w:p>
          <w:p w14:paraId="7A91548F" w14:textId="77777777" w:rsidR="000C0717" w:rsidRPr="00F93935" w:rsidRDefault="000C0717" w:rsidP="00544640">
            <w:pPr>
              <w:widowControl w:val="0"/>
              <w:rPr>
                <w:rFonts w:eastAsia="Calibri"/>
                <w:bCs/>
                <w:color w:val="000000"/>
                <w:lang w:val="en"/>
              </w:rPr>
            </w:pPr>
          </w:p>
        </w:tc>
        <w:tc>
          <w:tcPr>
            <w:tcW w:w="2070" w:type="dxa"/>
            <w:shd w:val="clear" w:color="auto" w:fill="auto"/>
            <w:tcMar>
              <w:top w:w="100" w:type="dxa"/>
              <w:left w:w="100" w:type="dxa"/>
              <w:bottom w:w="100" w:type="dxa"/>
              <w:right w:w="100" w:type="dxa"/>
            </w:tcMar>
          </w:tcPr>
          <w:p w14:paraId="3465FC32" w14:textId="77777777" w:rsidR="000C0717" w:rsidRPr="00F93935" w:rsidRDefault="000C0717" w:rsidP="00544640">
            <w:pPr>
              <w:widowControl w:val="0"/>
              <w:rPr>
                <w:rFonts w:eastAsia="Calibri"/>
                <w:b/>
                <w:color w:val="000000"/>
                <w:lang w:val="en"/>
              </w:rPr>
            </w:pPr>
          </w:p>
          <w:p w14:paraId="4788D0D2" w14:textId="77777777" w:rsidR="000C0717" w:rsidRPr="00F93935" w:rsidRDefault="000C0717" w:rsidP="00544640">
            <w:pPr>
              <w:widowControl w:val="0"/>
              <w:rPr>
                <w:rFonts w:eastAsia="Calibri"/>
                <w:b/>
                <w:color w:val="000000"/>
                <w:lang w:val="en"/>
              </w:rPr>
            </w:pPr>
            <w:r w:rsidRPr="00F93935">
              <w:rPr>
                <w:rFonts w:eastAsia="Calibri"/>
                <w:b/>
                <w:color w:val="000000"/>
                <w:lang w:val="en"/>
              </w:rPr>
              <w:t>Week 10</w:t>
            </w:r>
          </w:p>
        </w:tc>
        <w:tc>
          <w:tcPr>
            <w:tcW w:w="2340" w:type="dxa"/>
            <w:shd w:val="clear" w:color="auto" w:fill="auto"/>
            <w:tcMar>
              <w:top w:w="100" w:type="dxa"/>
              <w:left w:w="100" w:type="dxa"/>
              <w:bottom w:w="100" w:type="dxa"/>
              <w:right w:w="100" w:type="dxa"/>
            </w:tcMar>
          </w:tcPr>
          <w:p w14:paraId="66BFED24" w14:textId="77777777" w:rsidR="000C0717" w:rsidRPr="00F93935" w:rsidRDefault="000C0717" w:rsidP="00544640">
            <w:pPr>
              <w:widowControl w:val="0"/>
              <w:rPr>
                <w:rFonts w:eastAsia="Calibri"/>
                <w:b/>
                <w:color w:val="000000"/>
                <w:lang w:val="en"/>
              </w:rPr>
            </w:pPr>
            <w:r w:rsidRPr="00F93935">
              <w:rPr>
                <w:rFonts w:eastAsia="Calibri"/>
                <w:b/>
                <w:color w:val="000000"/>
                <w:lang w:val="en"/>
              </w:rPr>
              <w:t>1</w:t>
            </w:r>
            <w:r>
              <w:rPr>
                <w:rFonts w:eastAsia="Calibri"/>
                <w:b/>
                <w:color w:val="000000"/>
                <w:lang w:val="en"/>
              </w:rPr>
              <w:t>5</w:t>
            </w:r>
          </w:p>
        </w:tc>
        <w:tc>
          <w:tcPr>
            <w:tcW w:w="2520" w:type="dxa"/>
            <w:shd w:val="clear" w:color="auto" w:fill="auto"/>
            <w:tcMar>
              <w:top w:w="100" w:type="dxa"/>
              <w:left w:w="100" w:type="dxa"/>
              <w:bottom w:w="100" w:type="dxa"/>
              <w:right w:w="100" w:type="dxa"/>
            </w:tcMar>
          </w:tcPr>
          <w:p w14:paraId="6BF96AA6" w14:textId="77777777" w:rsidR="000C0717" w:rsidRPr="00F93935" w:rsidRDefault="000C0717" w:rsidP="00544640">
            <w:pPr>
              <w:widowControl w:val="0"/>
              <w:rPr>
                <w:rFonts w:eastAsia="Calibri"/>
                <w:b/>
                <w:i/>
                <w:color w:val="000000"/>
                <w:lang w:val="en"/>
              </w:rPr>
            </w:pPr>
          </w:p>
          <w:p w14:paraId="5A7D43B6" w14:textId="77777777" w:rsidR="000C0717" w:rsidRPr="00F93935" w:rsidRDefault="000C0717" w:rsidP="00544640">
            <w:pPr>
              <w:widowControl w:val="0"/>
              <w:rPr>
                <w:rFonts w:eastAsia="Calibri"/>
                <w:b/>
                <w:i/>
                <w:color w:val="000000"/>
                <w:lang w:val="en"/>
              </w:rPr>
            </w:pPr>
            <w:r w:rsidRPr="00F93935">
              <w:rPr>
                <w:rFonts w:eastAsia="Calibri"/>
                <w:b/>
                <w:i/>
                <w:color w:val="000000"/>
                <w:lang w:val="en"/>
              </w:rPr>
              <w:t>Submit to Canvas</w:t>
            </w:r>
          </w:p>
          <w:p w14:paraId="129B7C0E" w14:textId="77777777" w:rsidR="000C0717" w:rsidRPr="00F93935" w:rsidRDefault="000C0717" w:rsidP="00544640">
            <w:pPr>
              <w:widowControl w:val="0"/>
              <w:rPr>
                <w:rFonts w:eastAsia="Calibri"/>
                <w:b/>
                <w:i/>
                <w:color w:val="000000"/>
                <w:lang w:val="en"/>
              </w:rPr>
            </w:pPr>
          </w:p>
        </w:tc>
      </w:tr>
      <w:tr w:rsidR="000C0717" w:rsidRPr="00F93935" w14:paraId="136A1D3E" w14:textId="77777777" w:rsidTr="00544640">
        <w:trPr>
          <w:trHeight w:val="143"/>
        </w:trPr>
        <w:tc>
          <w:tcPr>
            <w:tcW w:w="3060" w:type="dxa"/>
            <w:shd w:val="clear" w:color="auto" w:fill="auto"/>
            <w:tcMar>
              <w:top w:w="100" w:type="dxa"/>
              <w:left w:w="100" w:type="dxa"/>
              <w:bottom w:w="100" w:type="dxa"/>
              <w:right w:w="100" w:type="dxa"/>
            </w:tcMar>
          </w:tcPr>
          <w:p w14:paraId="0D36F4CE" w14:textId="77777777" w:rsidR="000C0717" w:rsidRPr="00F93935" w:rsidRDefault="000C0717" w:rsidP="00544640">
            <w:pPr>
              <w:widowControl w:val="0"/>
              <w:rPr>
                <w:rFonts w:eastAsia="Calibri"/>
                <w:b/>
                <w:color w:val="000000"/>
                <w:lang w:val="en"/>
              </w:rPr>
            </w:pPr>
            <w:r w:rsidRPr="00F93935">
              <w:rPr>
                <w:rFonts w:eastAsia="Calibri"/>
                <w:b/>
                <w:color w:val="000000"/>
                <w:lang w:val="en"/>
              </w:rPr>
              <w:t xml:space="preserve">Unlearning Final Project </w:t>
            </w:r>
          </w:p>
          <w:p w14:paraId="105A4440" w14:textId="77777777" w:rsidR="000C0717" w:rsidRPr="00F93935" w:rsidRDefault="000C0717" w:rsidP="00544640">
            <w:pPr>
              <w:widowControl w:val="0"/>
              <w:rPr>
                <w:rFonts w:eastAsia="Calibri"/>
                <w:bCs/>
                <w:color w:val="000000"/>
                <w:lang w:val="en"/>
              </w:rPr>
            </w:pPr>
            <w:r w:rsidRPr="00F93935">
              <w:rPr>
                <w:rFonts w:eastAsia="Calibri"/>
                <w:bCs/>
                <w:color w:val="000000"/>
                <w:lang w:val="en"/>
              </w:rPr>
              <w:t>Starting from and related to the readings and discussions, reflect on what you have learned this semester.</w:t>
            </w:r>
          </w:p>
        </w:tc>
        <w:tc>
          <w:tcPr>
            <w:tcW w:w="2070" w:type="dxa"/>
            <w:shd w:val="clear" w:color="auto" w:fill="auto"/>
            <w:tcMar>
              <w:top w:w="100" w:type="dxa"/>
              <w:left w:w="100" w:type="dxa"/>
              <w:bottom w:w="100" w:type="dxa"/>
              <w:right w:w="100" w:type="dxa"/>
            </w:tcMar>
          </w:tcPr>
          <w:p w14:paraId="71F914AD" w14:textId="77777777" w:rsidR="000C0717" w:rsidRPr="00F93935" w:rsidRDefault="000C0717" w:rsidP="00544640">
            <w:pPr>
              <w:widowControl w:val="0"/>
              <w:rPr>
                <w:rFonts w:eastAsia="Calibri"/>
                <w:b/>
                <w:color w:val="000000"/>
                <w:lang w:val="en"/>
              </w:rPr>
            </w:pPr>
          </w:p>
          <w:p w14:paraId="7B9B3159" w14:textId="77777777" w:rsidR="000C0717" w:rsidRPr="00F93935" w:rsidRDefault="000C0717" w:rsidP="00544640">
            <w:pPr>
              <w:widowControl w:val="0"/>
              <w:rPr>
                <w:rFonts w:eastAsia="Calibri"/>
                <w:b/>
                <w:color w:val="000000"/>
                <w:lang w:val="en"/>
              </w:rPr>
            </w:pPr>
            <w:r w:rsidRPr="00F93935">
              <w:rPr>
                <w:rFonts w:eastAsia="Calibri"/>
                <w:b/>
                <w:color w:val="000000"/>
                <w:lang w:val="en"/>
              </w:rPr>
              <w:t>Week 15-16</w:t>
            </w:r>
          </w:p>
        </w:tc>
        <w:tc>
          <w:tcPr>
            <w:tcW w:w="2340" w:type="dxa"/>
            <w:shd w:val="clear" w:color="auto" w:fill="auto"/>
            <w:tcMar>
              <w:top w:w="100" w:type="dxa"/>
              <w:left w:w="100" w:type="dxa"/>
              <w:bottom w:w="100" w:type="dxa"/>
              <w:right w:w="100" w:type="dxa"/>
            </w:tcMar>
          </w:tcPr>
          <w:p w14:paraId="0BC110F5" w14:textId="77777777" w:rsidR="000C0717" w:rsidRPr="00F93935" w:rsidRDefault="000C0717" w:rsidP="00544640">
            <w:pPr>
              <w:widowControl w:val="0"/>
              <w:rPr>
                <w:rFonts w:eastAsia="Calibri"/>
                <w:b/>
                <w:color w:val="000000"/>
                <w:lang w:val="en"/>
              </w:rPr>
            </w:pPr>
            <w:r>
              <w:rPr>
                <w:rFonts w:eastAsia="Calibri"/>
                <w:b/>
                <w:color w:val="000000"/>
                <w:lang w:val="en"/>
              </w:rPr>
              <w:t>20</w:t>
            </w:r>
          </w:p>
        </w:tc>
        <w:tc>
          <w:tcPr>
            <w:tcW w:w="2520" w:type="dxa"/>
            <w:shd w:val="clear" w:color="auto" w:fill="auto"/>
            <w:tcMar>
              <w:top w:w="100" w:type="dxa"/>
              <w:left w:w="100" w:type="dxa"/>
              <w:bottom w:w="100" w:type="dxa"/>
              <w:right w:w="100" w:type="dxa"/>
            </w:tcMar>
          </w:tcPr>
          <w:p w14:paraId="08B43098" w14:textId="77777777" w:rsidR="000C0717" w:rsidRPr="00F93935" w:rsidRDefault="000C0717" w:rsidP="00544640">
            <w:pPr>
              <w:widowControl w:val="0"/>
              <w:rPr>
                <w:rFonts w:eastAsia="Calibri"/>
                <w:b/>
                <w:i/>
                <w:color w:val="000000"/>
                <w:lang w:val="en"/>
              </w:rPr>
            </w:pPr>
          </w:p>
          <w:p w14:paraId="03B8E36E" w14:textId="77777777" w:rsidR="000C0717" w:rsidRPr="00F93935" w:rsidRDefault="000C0717" w:rsidP="00544640">
            <w:pPr>
              <w:widowControl w:val="0"/>
              <w:rPr>
                <w:rFonts w:eastAsia="Calibri"/>
                <w:b/>
                <w:i/>
                <w:color w:val="000000"/>
                <w:lang w:val="en"/>
              </w:rPr>
            </w:pPr>
            <w:r w:rsidRPr="00F93935">
              <w:rPr>
                <w:rFonts w:eastAsia="Calibri"/>
                <w:b/>
                <w:i/>
                <w:color w:val="000000"/>
                <w:lang w:val="en"/>
              </w:rPr>
              <w:t>Submit to Canvas</w:t>
            </w:r>
          </w:p>
          <w:p w14:paraId="66F9ACE1" w14:textId="77777777" w:rsidR="000C0717" w:rsidRPr="00F93935" w:rsidRDefault="000C0717" w:rsidP="00544640">
            <w:pPr>
              <w:widowControl w:val="0"/>
              <w:rPr>
                <w:rFonts w:eastAsia="Calibri"/>
                <w:b/>
                <w:color w:val="000000"/>
                <w:lang w:val="en"/>
              </w:rPr>
            </w:pPr>
          </w:p>
        </w:tc>
      </w:tr>
      <w:tr w:rsidR="000C0717" w:rsidRPr="00F93935" w14:paraId="682B0848" w14:textId="77777777" w:rsidTr="00544640">
        <w:trPr>
          <w:trHeight w:val="2908"/>
        </w:trPr>
        <w:tc>
          <w:tcPr>
            <w:tcW w:w="3060" w:type="dxa"/>
            <w:shd w:val="clear" w:color="auto" w:fill="auto"/>
            <w:tcMar>
              <w:top w:w="100" w:type="dxa"/>
              <w:left w:w="100" w:type="dxa"/>
              <w:bottom w:w="100" w:type="dxa"/>
              <w:right w:w="100" w:type="dxa"/>
            </w:tcMar>
          </w:tcPr>
          <w:p w14:paraId="68F07D68" w14:textId="77777777" w:rsidR="000C0717" w:rsidRPr="00F93935" w:rsidRDefault="000C0717" w:rsidP="00544640">
            <w:pPr>
              <w:widowControl w:val="0"/>
              <w:rPr>
                <w:rFonts w:eastAsia="Calibri"/>
                <w:b/>
                <w:color w:val="000000"/>
                <w:lang w:val="en"/>
              </w:rPr>
            </w:pPr>
            <w:r w:rsidRPr="00F93935">
              <w:rPr>
                <w:rFonts w:eastAsia="Calibri"/>
                <w:b/>
                <w:color w:val="000000"/>
                <w:lang w:val="en"/>
              </w:rPr>
              <w:lastRenderedPageBreak/>
              <w:t>Participation and attendance</w:t>
            </w:r>
          </w:p>
          <w:p w14:paraId="6D07ED39" w14:textId="77777777" w:rsidR="000C0717" w:rsidRPr="00F93935" w:rsidRDefault="000C0717" w:rsidP="00544640">
            <w:pPr>
              <w:widowControl w:val="0"/>
              <w:rPr>
                <w:rFonts w:eastAsia="Calibri"/>
                <w:bCs/>
                <w:color w:val="000000"/>
                <w:lang w:val="en"/>
              </w:rPr>
            </w:pPr>
            <w:r w:rsidRPr="00F93935">
              <w:rPr>
                <w:rFonts w:eastAsia="Calibri"/>
                <w:bCs/>
                <w:color w:val="000000"/>
                <w:lang w:val="en"/>
              </w:rPr>
              <w:t>Conduct throughout the semester as well as completing each assignment, module, activity, and readings. Before you complete each module be sure to read the assigned readings for the week.</w:t>
            </w:r>
          </w:p>
        </w:tc>
        <w:tc>
          <w:tcPr>
            <w:tcW w:w="2070" w:type="dxa"/>
            <w:shd w:val="clear" w:color="auto" w:fill="auto"/>
            <w:tcMar>
              <w:top w:w="100" w:type="dxa"/>
              <w:left w:w="100" w:type="dxa"/>
              <w:bottom w:w="100" w:type="dxa"/>
              <w:right w:w="100" w:type="dxa"/>
            </w:tcMar>
          </w:tcPr>
          <w:p w14:paraId="642499DE" w14:textId="77777777" w:rsidR="000C0717" w:rsidRPr="00F93935" w:rsidRDefault="000C0717" w:rsidP="00544640">
            <w:pPr>
              <w:widowControl w:val="0"/>
              <w:rPr>
                <w:rFonts w:eastAsia="Calibri"/>
                <w:b/>
                <w:color w:val="000000"/>
                <w:lang w:val="en"/>
              </w:rPr>
            </w:pPr>
          </w:p>
          <w:p w14:paraId="6B2FC4B8" w14:textId="77777777" w:rsidR="000C0717" w:rsidRPr="00F93935" w:rsidRDefault="000C0717" w:rsidP="00544640">
            <w:pPr>
              <w:widowControl w:val="0"/>
              <w:rPr>
                <w:rFonts w:eastAsia="Calibri"/>
                <w:b/>
                <w:color w:val="000000"/>
                <w:lang w:val="en"/>
              </w:rPr>
            </w:pPr>
            <w:r w:rsidRPr="00F93935">
              <w:rPr>
                <w:rFonts w:eastAsia="Calibri"/>
                <w:b/>
                <w:color w:val="000000"/>
                <w:lang w:val="en"/>
              </w:rPr>
              <w:t>This will be assessed throughout the semester</w:t>
            </w:r>
          </w:p>
        </w:tc>
        <w:tc>
          <w:tcPr>
            <w:tcW w:w="2340" w:type="dxa"/>
            <w:shd w:val="clear" w:color="auto" w:fill="auto"/>
            <w:tcMar>
              <w:top w:w="100" w:type="dxa"/>
              <w:left w:w="100" w:type="dxa"/>
              <w:bottom w:w="100" w:type="dxa"/>
              <w:right w:w="100" w:type="dxa"/>
            </w:tcMar>
          </w:tcPr>
          <w:p w14:paraId="229AB657" w14:textId="77777777" w:rsidR="000C0717" w:rsidRPr="00F93935" w:rsidRDefault="000C0717" w:rsidP="00544640">
            <w:pPr>
              <w:widowControl w:val="0"/>
              <w:rPr>
                <w:rFonts w:eastAsia="Calibri"/>
                <w:b/>
                <w:color w:val="000000"/>
                <w:lang w:val="en"/>
              </w:rPr>
            </w:pPr>
          </w:p>
          <w:p w14:paraId="2451E5DF" w14:textId="77777777" w:rsidR="000C0717" w:rsidRPr="00F93935" w:rsidRDefault="000C0717" w:rsidP="00544640">
            <w:pPr>
              <w:widowControl w:val="0"/>
              <w:rPr>
                <w:rFonts w:eastAsia="Calibri"/>
                <w:b/>
                <w:color w:val="000000"/>
                <w:lang w:val="en"/>
              </w:rPr>
            </w:pPr>
            <w:r w:rsidRPr="00F93935">
              <w:rPr>
                <w:rFonts w:eastAsia="Calibri"/>
                <w:b/>
                <w:color w:val="000000"/>
                <w:lang w:val="en"/>
              </w:rPr>
              <w:t>30</w:t>
            </w:r>
          </w:p>
        </w:tc>
        <w:tc>
          <w:tcPr>
            <w:tcW w:w="2520" w:type="dxa"/>
            <w:shd w:val="clear" w:color="auto" w:fill="auto"/>
            <w:tcMar>
              <w:top w:w="100" w:type="dxa"/>
              <w:left w:w="100" w:type="dxa"/>
              <w:bottom w:w="100" w:type="dxa"/>
              <w:right w:w="100" w:type="dxa"/>
            </w:tcMar>
          </w:tcPr>
          <w:p w14:paraId="74EC73AD" w14:textId="77777777" w:rsidR="000C0717" w:rsidRPr="00F93935" w:rsidRDefault="000C0717" w:rsidP="00544640">
            <w:pPr>
              <w:widowControl w:val="0"/>
              <w:rPr>
                <w:rFonts w:eastAsia="Calibri"/>
                <w:b/>
                <w:i/>
                <w:color w:val="000000"/>
                <w:lang w:val="en"/>
              </w:rPr>
            </w:pPr>
          </w:p>
          <w:p w14:paraId="2E1EA19E" w14:textId="77777777" w:rsidR="000C0717" w:rsidRPr="00F93935" w:rsidRDefault="000C0717" w:rsidP="00544640">
            <w:pPr>
              <w:widowControl w:val="0"/>
              <w:rPr>
                <w:rFonts w:eastAsia="Calibri"/>
                <w:b/>
                <w:i/>
                <w:color w:val="000000"/>
                <w:lang w:val="en"/>
              </w:rPr>
            </w:pPr>
            <w:r w:rsidRPr="00F93935">
              <w:rPr>
                <w:rFonts w:eastAsia="Calibri"/>
                <w:b/>
                <w:i/>
                <w:color w:val="000000"/>
                <w:lang w:val="en"/>
              </w:rPr>
              <w:t>Complete each module, reading, and activity</w:t>
            </w:r>
          </w:p>
        </w:tc>
      </w:tr>
    </w:tbl>
    <w:p w14:paraId="21A1E81A" w14:textId="77777777" w:rsidR="000C0717" w:rsidRDefault="000C0717">
      <w:pPr>
        <w:rPr>
          <w:b/>
        </w:rPr>
      </w:pPr>
    </w:p>
    <w:p w14:paraId="73675EC7" w14:textId="77777777" w:rsidR="000C0717" w:rsidRDefault="000C0717">
      <w:pPr>
        <w:rPr>
          <w:b/>
        </w:rPr>
      </w:pPr>
    </w:p>
    <w:p w14:paraId="07A72E99" w14:textId="77777777" w:rsidR="00340F77" w:rsidRDefault="00340F77">
      <w:pPr>
        <w:rPr>
          <w:b/>
        </w:rPr>
      </w:pPr>
    </w:p>
    <w:p w14:paraId="5EF84FFA" w14:textId="658E7BA1" w:rsidR="00D11E2A" w:rsidRDefault="00000000" w:rsidP="00C13AF0">
      <w:pPr>
        <w:jc w:val="center"/>
        <w:rPr>
          <w:b/>
          <w:sz w:val="32"/>
          <w:szCs w:val="32"/>
        </w:rPr>
      </w:pPr>
      <w:r>
        <w:rPr>
          <w:b/>
          <w:sz w:val="32"/>
          <w:szCs w:val="32"/>
        </w:rPr>
        <w:t>Teacher Education &amp; Administration Departmental Policy Statements</w:t>
      </w:r>
    </w:p>
    <w:p w14:paraId="4DBACBB0" w14:textId="77777777" w:rsidR="00D11E2A" w:rsidRDefault="00D11E2A">
      <w:pPr>
        <w:jc w:val="both"/>
        <w:rPr>
          <w:b/>
          <w:sz w:val="22"/>
          <w:szCs w:val="22"/>
        </w:rPr>
      </w:pPr>
    </w:p>
    <w:p w14:paraId="12250691" w14:textId="77777777" w:rsidR="00D11E2A" w:rsidRDefault="00000000">
      <w:pPr>
        <w:jc w:val="both"/>
        <w:rPr>
          <w:sz w:val="22"/>
          <w:szCs w:val="22"/>
        </w:rPr>
      </w:pPr>
      <w:r>
        <w:rPr>
          <w:b/>
          <w:sz w:val="22"/>
          <w:szCs w:val="22"/>
        </w:rPr>
        <w:t xml:space="preserve">Survivor Advocacy. </w:t>
      </w:r>
      <w:r>
        <w:rPr>
          <w:sz w:val="22"/>
          <w:szCs w:val="22"/>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Pr>
          <w:sz w:val="22"/>
          <w:szCs w:val="22"/>
        </w:rPr>
        <w:t>on the basis of</w:t>
      </w:r>
      <w:proofErr w:type="gramEnd"/>
      <w:r>
        <w:rPr>
          <w:sz w:val="22"/>
          <w:szCs w:val="22"/>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Pr>
          <w:color w:val="003399"/>
          <w:sz w:val="22"/>
          <w:szCs w:val="22"/>
        </w:rPr>
        <w:t xml:space="preserve">SurvivorAdvocate@unt.edu </w:t>
      </w:r>
      <w:r>
        <w:rPr>
          <w:sz w:val="22"/>
          <w:szCs w:val="22"/>
        </w:rPr>
        <w:t xml:space="preserve">or by calling the Dean of Students Office at 940-565-2648. Additionally, alleged sexual misconduct can be non-confidentially reported to the Title IX </w:t>
      </w:r>
      <w:r>
        <w:rPr>
          <w:color w:val="003399"/>
          <w:sz w:val="22"/>
          <w:szCs w:val="22"/>
        </w:rPr>
        <w:t xml:space="preserve">Coordinator at oeo@unt.edu </w:t>
      </w:r>
      <w:r>
        <w:rPr>
          <w:sz w:val="22"/>
          <w:szCs w:val="22"/>
        </w:rPr>
        <w:t>or at (940) 565 2759.</w:t>
      </w:r>
    </w:p>
    <w:p w14:paraId="3179A42C" w14:textId="77777777" w:rsidR="00D11E2A" w:rsidRDefault="00D11E2A">
      <w:pPr>
        <w:jc w:val="both"/>
        <w:rPr>
          <w:sz w:val="22"/>
          <w:szCs w:val="22"/>
        </w:rPr>
      </w:pPr>
    </w:p>
    <w:p w14:paraId="229BE801" w14:textId="77777777" w:rsidR="00D11E2A" w:rsidRDefault="00000000">
      <w:pPr>
        <w:jc w:val="both"/>
        <w:rPr>
          <w:sz w:val="22"/>
          <w:szCs w:val="22"/>
        </w:rPr>
      </w:pPr>
      <w:r>
        <w:rPr>
          <w:b/>
          <w:sz w:val="22"/>
          <w:szCs w:val="22"/>
        </w:rPr>
        <w:t>ADA Accommodations.</w:t>
      </w:r>
      <w:r>
        <w:rPr>
          <w:sz w:val="22"/>
          <w:szCs w:val="22"/>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sz w:val="22"/>
          <w:szCs w:val="22"/>
        </w:rPr>
        <w:t>time,</w:t>
      </w:r>
      <w:proofErr w:type="gramEnd"/>
      <w:r>
        <w:rPr>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Pr>
          <w:color w:val="003399"/>
          <w:sz w:val="22"/>
          <w:szCs w:val="22"/>
        </w:rPr>
        <w:t>disability.unt.edu</w:t>
      </w:r>
      <w:r>
        <w:rPr>
          <w:sz w:val="22"/>
          <w:szCs w:val="22"/>
        </w:rPr>
        <w:t>.</w:t>
      </w:r>
    </w:p>
    <w:p w14:paraId="522034CC" w14:textId="77777777" w:rsidR="00D11E2A" w:rsidRDefault="00D11E2A">
      <w:pPr>
        <w:jc w:val="both"/>
        <w:rPr>
          <w:sz w:val="22"/>
          <w:szCs w:val="22"/>
        </w:rPr>
      </w:pPr>
    </w:p>
    <w:p w14:paraId="3896460F" w14:textId="77777777" w:rsidR="00D11E2A" w:rsidRDefault="00000000">
      <w:pPr>
        <w:jc w:val="both"/>
        <w:rPr>
          <w:color w:val="1155CC"/>
          <w:sz w:val="22"/>
          <w:szCs w:val="22"/>
        </w:rPr>
      </w:pPr>
      <w:r>
        <w:rPr>
          <w:b/>
          <w:sz w:val="22"/>
          <w:szCs w:val="22"/>
        </w:rPr>
        <w:t>Food/Housing Insecurity.</w:t>
      </w:r>
      <w:r>
        <w:rPr>
          <w:sz w:val="22"/>
          <w:szCs w:val="22"/>
        </w:rPr>
        <w:t xml:space="preserve">​ ​Any student who has difficulty affording groceries or accessing sufficient food to eat every day, or who lacks a safe and stable place to </w:t>
      </w:r>
      <w:proofErr w:type="gramStart"/>
      <w:r>
        <w:rPr>
          <w:sz w:val="22"/>
          <w:szCs w:val="22"/>
        </w:rPr>
        <w:t>live, and</w:t>
      </w:r>
      <w:proofErr w:type="gramEnd"/>
      <w:r>
        <w:rPr>
          <w:sz w:val="22"/>
          <w:szCs w:val="22"/>
        </w:rPr>
        <w:t xml:space="preserve">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6">
        <w:r w:rsidR="00D11E2A">
          <w:rPr>
            <w:color w:val="1155CC"/>
            <w:sz w:val="22"/>
            <w:szCs w:val="22"/>
            <w:u w:val="single"/>
          </w:rPr>
          <w:t>https://deanofstudents.unt.edu/resources/food-pantry</w:t>
        </w:r>
      </w:hyperlink>
    </w:p>
    <w:p w14:paraId="780A8004" w14:textId="77777777" w:rsidR="00D11E2A" w:rsidRDefault="00D11E2A">
      <w:pPr>
        <w:jc w:val="both"/>
        <w:rPr>
          <w:color w:val="1155CC"/>
          <w:sz w:val="22"/>
          <w:szCs w:val="22"/>
        </w:rPr>
      </w:pPr>
    </w:p>
    <w:p w14:paraId="45DE2019" w14:textId="77777777" w:rsidR="00D11E2A" w:rsidRDefault="00000000">
      <w:pPr>
        <w:jc w:val="both"/>
        <w:rPr>
          <w:sz w:val="22"/>
          <w:szCs w:val="22"/>
        </w:rPr>
      </w:pPr>
      <w:r>
        <w:rPr>
          <w:b/>
          <w:sz w:val="22"/>
          <w:szCs w:val="22"/>
        </w:rPr>
        <w:t>Title IX Services.</w:t>
      </w:r>
      <w:r>
        <w:rPr>
          <w:sz w:val="22"/>
          <w:szCs w:val="22"/>
        </w:rPr>
        <w:t xml:space="preserve">​ Sexual discrimination, harassment, &amp; assault: UNT is committed to providing an environment free of all forms of discrimination and sexual harassment, including sexual assault, domestic </w:t>
      </w:r>
      <w:r>
        <w:rPr>
          <w:sz w:val="22"/>
          <w:szCs w:val="22"/>
        </w:rPr>
        <w:lastRenderedPageBreak/>
        <w:t>violence, dating violence, stalking, etc. The federal Title IX law makes it clear that violence and harassment based on sex and gender are civil rights violations.</w:t>
      </w:r>
    </w:p>
    <w:p w14:paraId="758248A7" w14:textId="77777777" w:rsidR="00D11E2A" w:rsidRDefault="00D11E2A">
      <w:pPr>
        <w:jc w:val="both"/>
        <w:rPr>
          <w:sz w:val="22"/>
          <w:szCs w:val="22"/>
        </w:rPr>
      </w:pPr>
    </w:p>
    <w:p w14:paraId="222A2C40" w14:textId="77777777" w:rsidR="00D11E2A" w:rsidRDefault="00000000">
      <w:pPr>
        <w:jc w:val="both"/>
        <w:rPr>
          <w:sz w:val="22"/>
          <w:szCs w:val="22"/>
        </w:rPr>
      </w:pPr>
      <w:r>
        <w:rPr>
          <w:sz w:val="22"/>
          <w:szCs w:val="22"/>
        </w:rPr>
        <w:t xml:space="preserve">UNT’s Dean of Students’ website offers a range of resources to help support survivors, based on their </w:t>
      </w:r>
      <w:proofErr w:type="spellStart"/>
      <w:proofErr w:type="gramStart"/>
      <w:r>
        <w:rPr>
          <w:sz w:val="22"/>
          <w:szCs w:val="22"/>
        </w:rPr>
        <w:t>needs:</w:t>
      </w:r>
      <w:r>
        <w:rPr>
          <w:color w:val="1155CC"/>
          <w:sz w:val="22"/>
          <w:szCs w:val="22"/>
        </w:rPr>
        <w:t>http</w:t>
      </w:r>
      <w:proofErr w:type="spellEnd"/>
      <w:r>
        <w:rPr>
          <w:color w:val="1155CC"/>
          <w:sz w:val="22"/>
          <w:szCs w:val="22"/>
        </w:rPr>
        <w:t>://deanofstudents.unt.edu/resources</w:t>
      </w:r>
      <w:proofErr w:type="gramEnd"/>
      <w:r>
        <w:rPr>
          <w:color w:val="1155CC"/>
          <w:sz w:val="22"/>
          <w:szCs w:val="22"/>
        </w:rPr>
        <w:t>​</w:t>
      </w:r>
      <w:r>
        <w:rPr>
          <w:sz w:val="22"/>
          <w:szCs w:val="22"/>
        </w:rPr>
        <w:t xml:space="preserve">. Renee LeClaire McNamara is UNT’s Student </w:t>
      </w:r>
      <w:proofErr w:type="gramStart"/>
      <w:r>
        <w:rPr>
          <w:sz w:val="22"/>
          <w:szCs w:val="22"/>
        </w:rPr>
        <w:t>Advocate</w:t>
      </w:r>
      <w:proofErr w:type="gramEnd"/>
      <w:r>
        <w:rPr>
          <w:sz w:val="22"/>
          <w:szCs w:val="22"/>
        </w:rPr>
        <w:t xml:space="preserve"> and she can be reached via email at SurvivorAdvocate@unt.edu or by calling the Dean of Students’ office at 940-565-2648.</w:t>
      </w:r>
    </w:p>
    <w:p w14:paraId="46F05736" w14:textId="77777777" w:rsidR="00D11E2A" w:rsidRDefault="00D11E2A">
      <w:pPr>
        <w:jc w:val="both"/>
        <w:rPr>
          <w:sz w:val="22"/>
          <w:szCs w:val="22"/>
        </w:rPr>
      </w:pPr>
    </w:p>
    <w:p w14:paraId="0D4E82CB" w14:textId="77777777" w:rsidR="00D11E2A" w:rsidRDefault="00000000">
      <w:pPr>
        <w:jc w:val="both"/>
        <w:rPr>
          <w:color w:val="1155CC"/>
          <w:sz w:val="22"/>
          <w:szCs w:val="22"/>
        </w:rPr>
      </w:pPr>
      <w:r>
        <w:rPr>
          <w:b/>
          <w:sz w:val="22"/>
          <w:szCs w:val="22"/>
        </w:rPr>
        <w:t xml:space="preserve">University Mental Health Services. </w:t>
      </w:r>
      <w:r>
        <w:rPr>
          <w:sz w:val="22"/>
          <w:szCs w:val="22"/>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r>
        <w:rPr>
          <w:color w:val="1155CC"/>
          <w:sz w:val="22"/>
          <w:szCs w:val="22"/>
        </w:rPr>
        <w:t>h</w:t>
      </w:r>
      <w:r>
        <w:rPr>
          <w:sz w:val="22"/>
          <w:szCs w:val="22"/>
        </w:rPr>
        <w:t xml:space="preserve">​ </w:t>
      </w:r>
      <w:r>
        <w:rPr>
          <w:color w:val="1155CC"/>
          <w:sz w:val="22"/>
          <w:szCs w:val="22"/>
        </w:rPr>
        <w:t>ttps://speakout.unt.edu/content/mental-health-resources</w:t>
      </w:r>
    </w:p>
    <w:p w14:paraId="17FC66DD" w14:textId="77777777" w:rsidR="00D11E2A" w:rsidRDefault="00D11E2A">
      <w:pPr>
        <w:jc w:val="both"/>
        <w:rPr>
          <w:b/>
          <w:sz w:val="22"/>
          <w:szCs w:val="22"/>
        </w:rPr>
      </w:pPr>
    </w:p>
    <w:p w14:paraId="4902D9D7" w14:textId="77777777" w:rsidR="00D11E2A" w:rsidRDefault="00000000">
      <w:pPr>
        <w:jc w:val="both"/>
        <w:rPr>
          <w:sz w:val="22"/>
          <w:szCs w:val="22"/>
        </w:rPr>
      </w:pPr>
      <w:r>
        <w:rPr>
          <w:b/>
          <w:sz w:val="22"/>
          <w:szCs w:val="22"/>
        </w:rPr>
        <w:t>UNT Career Connect</w:t>
      </w:r>
      <w:r>
        <w:rPr>
          <w:sz w:val="22"/>
          <w:szCs w:val="22"/>
        </w:rPr>
        <w:t xml:space="preserve">​: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w:t>
      </w:r>
      <w:proofErr w:type="gramStart"/>
      <w:r>
        <w:rPr>
          <w:sz w:val="22"/>
          <w:szCs w:val="22"/>
        </w:rPr>
        <w:t>are able to</w:t>
      </w:r>
      <w:proofErr w:type="gramEnd"/>
      <w:r>
        <w:rPr>
          <w:sz w:val="22"/>
          <w:szCs w:val="22"/>
        </w:rPr>
        <w:t xml:space="preserve">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proofErr w:type="gramStart"/>
      <w:r>
        <w:rPr>
          <w:sz w:val="22"/>
          <w:szCs w:val="22"/>
        </w:rPr>
        <w:t>http://careerconnect.unt.edu/default .</w:t>
      </w:r>
      <w:proofErr w:type="gramEnd"/>
    </w:p>
    <w:p w14:paraId="0D6BF7BB" w14:textId="77777777" w:rsidR="00D11E2A" w:rsidRDefault="00D11E2A">
      <w:pPr>
        <w:jc w:val="both"/>
        <w:rPr>
          <w:sz w:val="22"/>
          <w:szCs w:val="22"/>
        </w:rPr>
      </w:pPr>
    </w:p>
    <w:p w14:paraId="020B869F" w14:textId="77777777" w:rsidR="00D11E2A" w:rsidRDefault="00000000">
      <w:pPr>
        <w:jc w:val="both"/>
        <w:rPr>
          <w:sz w:val="22"/>
          <w:szCs w:val="22"/>
        </w:rPr>
      </w:pPr>
      <w:r>
        <w:rPr>
          <w:b/>
          <w:sz w:val="22"/>
          <w:szCs w:val="22"/>
        </w:rPr>
        <w:t>Disabilities Accommodation</w:t>
      </w:r>
      <w:r>
        <w:rPr>
          <w:sz w:val="22"/>
          <w:szCs w:val="22"/>
        </w:rP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w:t>
      </w:r>
      <w:proofErr w:type="spellStart"/>
      <w:r>
        <w:rPr>
          <w:sz w:val="22"/>
          <w:szCs w:val="22"/>
        </w:rPr>
        <w:t>Pazey</w:t>
      </w:r>
      <w:proofErr w:type="spellEnd"/>
      <w:r>
        <w:rPr>
          <w:sz w:val="22"/>
          <w:szCs w:val="22"/>
        </w:rPr>
        <w:t xml:space="preserve"> is the compliance officer and contact person for the Department of Teacher Education &amp; Administration.</w:t>
      </w:r>
    </w:p>
    <w:p w14:paraId="0F383265" w14:textId="77777777" w:rsidR="00D11E2A" w:rsidRDefault="00D11E2A">
      <w:pPr>
        <w:jc w:val="both"/>
        <w:rPr>
          <w:sz w:val="22"/>
          <w:szCs w:val="22"/>
        </w:rPr>
      </w:pPr>
    </w:p>
    <w:p w14:paraId="79F1FBBF" w14:textId="77777777" w:rsidR="00D11E2A" w:rsidRDefault="00000000">
      <w:pPr>
        <w:jc w:val="both"/>
        <w:rPr>
          <w:sz w:val="22"/>
          <w:szCs w:val="22"/>
        </w:rPr>
      </w:pPr>
      <w:r>
        <w:rPr>
          <w:b/>
          <w:sz w:val="22"/>
          <w:szCs w:val="22"/>
        </w:rPr>
        <w:t>Observation of Religious Holidays</w:t>
      </w:r>
      <w:r>
        <w:rPr>
          <w:sz w:val="22"/>
          <w:szCs w:val="22"/>
        </w:rPr>
        <w:t>​: If you plan to observe a religious holy day that coincides with a class day, please notify your instructor as soon as possible.</w:t>
      </w:r>
    </w:p>
    <w:p w14:paraId="5353C1ED" w14:textId="77777777" w:rsidR="00D11E2A" w:rsidRDefault="00D11E2A">
      <w:pPr>
        <w:jc w:val="both"/>
        <w:rPr>
          <w:sz w:val="22"/>
          <w:szCs w:val="22"/>
        </w:rPr>
      </w:pPr>
    </w:p>
    <w:p w14:paraId="4F437E88" w14:textId="77777777" w:rsidR="00D11E2A" w:rsidRDefault="00000000">
      <w:pPr>
        <w:rPr>
          <w:sz w:val="22"/>
          <w:szCs w:val="22"/>
        </w:rPr>
      </w:pPr>
      <w:r>
        <w:rPr>
          <w:b/>
          <w:sz w:val="22"/>
          <w:szCs w:val="22"/>
        </w:rPr>
        <w:t>Academic Integrity</w:t>
      </w:r>
      <w:r>
        <w:rPr>
          <w:sz w:val="22"/>
          <w:szCs w:val="22"/>
        </w:rPr>
        <w:t>​: Students are encouraged to become familiar with UNT’s policy on Student Standards of Academic Integrity: http://policy.unt.edu/sites/default/files/untpolicy/pdf/7-Student_Affairs-Academic_Integrity.pdf. Academic dishonesty, in the form of plagiarism, cheating, or fabrication, will not be tolerated in this class. Any act of academic dishonesty will be reported, and a penalty determined, which may be probation, suspension, or expulsion from the university.</w:t>
      </w:r>
    </w:p>
    <w:p w14:paraId="6B5A14A6" w14:textId="77777777" w:rsidR="00D11E2A" w:rsidRDefault="00D11E2A">
      <w:pPr>
        <w:jc w:val="both"/>
        <w:rPr>
          <w:sz w:val="22"/>
          <w:szCs w:val="22"/>
        </w:rPr>
      </w:pPr>
    </w:p>
    <w:p w14:paraId="79D71E0F" w14:textId="77777777" w:rsidR="00D11E2A" w:rsidRDefault="00000000">
      <w:pPr>
        <w:jc w:val="both"/>
        <w:rPr>
          <w:sz w:val="22"/>
          <w:szCs w:val="22"/>
        </w:rPr>
      </w:pPr>
      <w:r>
        <w:rPr>
          <w:b/>
          <w:sz w:val="22"/>
          <w:szCs w:val="22"/>
        </w:rPr>
        <w:t>Acceptable Student Behavior</w:t>
      </w:r>
      <w:r>
        <w:rPr>
          <w:sz w:val="22"/>
          <w:szCs w:val="22"/>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w:t>
      </w:r>
      <w:r>
        <w:rPr>
          <w:sz w:val="22"/>
          <w:szCs w:val="22"/>
        </w:rPr>
        <w:lastRenderedPageBreak/>
        <w:t xml:space="preserve">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7">
        <w:r w:rsidR="00D11E2A">
          <w:rPr>
            <w:color w:val="1155CC"/>
            <w:sz w:val="22"/>
            <w:szCs w:val="22"/>
            <w:u w:val="single"/>
          </w:rPr>
          <w:t>https://deanofstudents.unt.edu/conduct</w:t>
        </w:r>
      </w:hyperlink>
      <w:r>
        <w:rPr>
          <w:sz w:val="22"/>
          <w:szCs w:val="22"/>
        </w:rPr>
        <w:t>.</w:t>
      </w:r>
    </w:p>
    <w:p w14:paraId="4CA92C18" w14:textId="77777777" w:rsidR="00D11E2A" w:rsidRDefault="00D11E2A">
      <w:pPr>
        <w:jc w:val="both"/>
        <w:rPr>
          <w:sz w:val="22"/>
          <w:szCs w:val="22"/>
        </w:rPr>
      </w:pPr>
    </w:p>
    <w:p w14:paraId="110D7E4C" w14:textId="77777777" w:rsidR="00D11E2A" w:rsidRDefault="00000000">
      <w:pPr>
        <w:jc w:val="both"/>
        <w:rPr>
          <w:sz w:val="22"/>
          <w:szCs w:val="22"/>
        </w:rPr>
      </w:pPr>
      <w:r>
        <w:rPr>
          <w:b/>
          <w:sz w:val="22"/>
          <w:szCs w:val="22"/>
        </w:rPr>
        <w:t>Attendance</w:t>
      </w:r>
      <w:r>
        <w:rPr>
          <w:sz w:val="22"/>
          <w:szCs w:val="22"/>
        </w:rPr>
        <w:t>​: See the instructor’s attendance policy.</w:t>
      </w:r>
    </w:p>
    <w:p w14:paraId="4DB2DA76" w14:textId="77777777" w:rsidR="00D11E2A" w:rsidRDefault="00D11E2A">
      <w:pPr>
        <w:jc w:val="both"/>
        <w:rPr>
          <w:sz w:val="22"/>
          <w:szCs w:val="22"/>
        </w:rPr>
      </w:pPr>
    </w:p>
    <w:p w14:paraId="6173CB30" w14:textId="77777777" w:rsidR="00D11E2A" w:rsidRDefault="00000000">
      <w:pPr>
        <w:jc w:val="both"/>
        <w:rPr>
          <w:sz w:val="22"/>
          <w:szCs w:val="22"/>
        </w:rPr>
      </w:pPr>
      <w:r>
        <w:rPr>
          <w:b/>
          <w:sz w:val="22"/>
          <w:szCs w:val="22"/>
        </w:rPr>
        <w:t>Eagle Connect</w:t>
      </w:r>
      <w:r>
        <w:rPr>
          <w:sz w:val="22"/>
          <w:szCs w:val="22"/>
        </w:rPr>
        <w:t>​: All official correspondence between UNT and students is conducted via Eagle Connect and it is the student's responsibility to read their Eagle Connect Email regularly.</w:t>
      </w:r>
    </w:p>
    <w:p w14:paraId="3246E6FA" w14:textId="77777777" w:rsidR="00D11E2A" w:rsidRDefault="00D11E2A">
      <w:pPr>
        <w:jc w:val="both"/>
        <w:rPr>
          <w:sz w:val="22"/>
          <w:szCs w:val="22"/>
        </w:rPr>
      </w:pPr>
    </w:p>
    <w:p w14:paraId="6517C5EE" w14:textId="77777777" w:rsidR="00D11E2A" w:rsidRDefault="00000000">
      <w:pPr>
        <w:jc w:val="both"/>
        <w:rPr>
          <w:sz w:val="22"/>
          <w:szCs w:val="22"/>
        </w:rPr>
      </w:pPr>
      <w:r>
        <w:rPr>
          <w:b/>
          <w:sz w:val="22"/>
          <w:szCs w:val="22"/>
        </w:rPr>
        <w:t>Cell Phones and Laptops</w:t>
      </w:r>
      <w:r>
        <w:rPr>
          <w:sz w:val="22"/>
          <w:szCs w:val="22"/>
        </w:rPr>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5C1135BE" w14:textId="77777777" w:rsidR="00D11E2A" w:rsidRDefault="00D11E2A">
      <w:pPr>
        <w:jc w:val="both"/>
        <w:rPr>
          <w:sz w:val="22"/>
          <w:szCs w:val="22"/>
        </w:rPr>
      </w:pPr>
    </w:p>
    <w:p w14:paraId="1B47A4A6" w14:textId="77777777" w:rsidR="00D11E2A" w:rsidRDefault="00000000">
      <w:pPr>
        <w:jc w:val="both"/>
        <w:rPr>
          <w:sz w:val="22"/>
          <w:szCs w:val="22"/>
        </w:rPr>
      </w:pPr>
      <w:r>
        <w:rPr>
          <w:b/>
          <w:sz w:val="22"/>
          <w:szCs w:val="22"/>
        </w:rPr>
        <w:t>SPOT</w:t>
      </w:r>
      <w:r>
        <w:rPr>
          <w:sz w:val="22"/>
          <w:szCs w:val="22"/>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268439FD" w14:textId="77777777" w:rsidR="00D11E2A" w:rsidRDefault="00D11E2A">
      <w:pPr>
        <w:jc w:val="both"/>
        <w:rPr>
          <w:sz w:val="22"/>
          <w:szCs w:val="22"/>
        </w:rPr>
      </w:pPr>
    </w:p>
    <w:p w14:paraId="39B175E7" w14:textId="77777777" w:rsidR="00D11E2A" w:rsidRDefault="00000000">
      <w:pPr>
        <w:jc w:val="both"/>
        <w:rPr>
          <w:sz w:val="22"/>
          <w:szCs w:val="22"/>
        </w:rPr>
      </w:pPr>
      <w:r>
        <w:rPr>
          <w:b/>
          <w:sz w:val="22"/>
          <w:szCs w:val="22"/>
        </w:rPr>
        <w:t>Comprehensive Arts Program Policy</w:t>
      </w:r>
      <w:r>
        <w:rPr>
          <w:sz w:val="22"/>
          <w:szCs w:val="22"/>
        </w:rPr>
        <w:t xml:space="preserve">​. The Elementary Education program area supports a comprehensive arts program to assist preservice and </w:t>
      </w:r>
      <w:proofErr w:type="spellStart"/>
      <w:r>
        <w:rPr>
          <w:sz w:val="22"/>
          <w:szCs w:val="22"/>
        </w:rPr>
        <w:t>inservice</w:t>
      </w:r>
      <w:proofErr w:type="spellEnd"/>
      <w:r>
        <w:rPr>
          <w:sz w:val="22"/>
          <w:szCs w:val="22"/>
        </w:rPr>
        <w:t xml:space="preserve"> teachers to design and implement curricular and instructional activities which infuse all areas of the arts (visual, music, theater, and movement) throughout the elementary and middle school curriculum.</w:t>
      </w:r>
    </w:p>
    <w:p w14:paraId="6804F456" w14:textId="77777777" w:rsidR="00D11E2A" w:rsidRDefault="00D11E2A">
      <w:pPr>
        <w:jc w:val="both"/>
        <w:rPr>
          <w:sz w:val="22"/>
          <w:szCs w:val="22"/>
        </w:rPr>
      </w:pPr>
    </w:p>
    <w:p w14:paraId="211E63C8" w14:textId="77777777" w:rsidR="00D11E2A" w:rsidRDefault="00000000">
      <w:pPr>
        <w:jc w:val="both"/>
        <w:rPr>
          <w:b/>
          <w:sz w:val="22"/>
          <w:szCs w:val="22"/>
        </w:rPr>
      </w:pPr>
      <w:r>
        <w:rPr>
          <w:b/>
          <w:sz w:val="22"/>
          <w:szCs w:val="22"/>
        </w:rPr>
        <w:t>Technology Integration Policy</w:t>
      </w:r>
      <w:r>
        <w:rPr>
          <w:sz w:val="22"/>
          <w:szCs w:val="22"/>
        </w:rPr>
        <w:t xml:space="preserve">​. The Elementary, Secondary, and Curriculum &amp; Instruction program areas support technology integration to assist preservice and </w:t>
      </w:r>
      <w:proofErr w:type="spellStart"/>
      <w:r>
        <w:rPr>
          <w:sz w:val="22"/>
          <w:szCs w:val="22"/>
        </w:rPr>
        <w:t>inservice</w:t>
      </w:r>
      <w:proofErr w:type="spellEnd"/>
      <w:r>
        <w:rPr>
          <w:sz w:val="22"/>
          <w:szCs w:val="22"/>
        </w:rPr>
        <w:t xml:space="preserve"> teachers to design and implement curricular and instruction activities which infuse technology throughout the K-12 curriculum.</w:t>
      </w:r>
    </w:p>
    <w:p w14:paraId="61C29D58" w14:textId="4D415CBC" w:rsidR="00D11E2A" w:rsidRPr="00C13AF0" w:rsidRDefault="00312552">
      <w:pPr>
        <w:rPr>
          <w:sz w:val="22"/>
          <w:szCs w:val="22"/>
        </w:rPr>
      </w:pPr>
      <w:r>
        <w:rPr>
          <w:sz w:val="22"/>
          <w:szCs w:val="22"/>
        </w:rPr>
        <w:t xml:space="preserve"> </w:t>
      </w:r>
    </w:p>
    <w:p w14:paraId="021B1715" w14:textId="77777777" w:rsidR="00D11E2A" w:rsidRDefault="003D52C7">
      <w:pPr>
        <w:widowControl w:val="0"/>
      </w:pPr>
      <w:r>
        <w:rPr>
          <w:noProof/>
        </w:rPr>
        <w:pict w14:anchorId="5E86ED93">
          <v:rect id="_x0000_i1025" alt="" style="width:468pt;height:.05pt;mso-width-percent:0;mso-height-percent:0;mso-width-percent:0;mso-height-percent:0" o:hralign="center" o:hrstd="t" o:hr="t" fillcolor="#a0a0a0" stroked="f"/>
        </w:pict>
      </w:r>
      <w:r w:rsidR="004370C4">
        <w:rPr>
          <w:b/>
        </w:rPr>
        <w:t xml:space="preserve">EDUCATOR STANDARDS </w:t>
      </w:r>
    </w:p>
    <w:p w14:paraId="6451397F" w14:textId="77777777" w:rsidR="00D11E2A" w:rsidRDefault="00000000">
      <w:pPr>
        <w:shd w:val="clear" w:color="auto" w:fill="FFFFFF"/>
        <w:spacing w:line="276" w:lineRule="auto"/>
        <w:rPr>
          <w:color w:val="211E1E"/>
        </w:rPr>
      </w:pPr>
      <w:r>
        <w:rPr>
          <w:color w:val="211E1E"/>
        </w:rPr>
        <w:t xml:space="preserve"> </w:t>
      </w:r>
    </w:p>
    <w:p w14:paraId="1B17B82D" w14:textId="77777777" w:rsidR="00D11E2A" w:rsidRDefault="00000000">
      <w:pPr>
        <w:shd w:val="clear" w:color="auto" w:fill="FFFFFF"/>
        <w:spacing w:line="276" w:lineRule="auto"/>
        <w:rPr>
          <w:color w:val="211E1E"/>
        </w:rPr>
      </w:pPr>
      <w:r>
        <w:rPr>
          <w:color w:val="211E1E"/>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Pr>
          <w:color w:val="211E1E"/>
        </w:rPr>
        <w:t>TExES</w:t>
      </w:r>
      <w:proofErr w:type="spellEnd"/>
      <w:r>
        <w:rPr>
          <w:color w:val="211E1E"/>
        </w:rPr>
        <w:t xml:space="preserve"> Certification exams required for your teaching certificate. Additionally, the Commissioner of TEA has adopted these rules pertaining to Texas teaching standards: </w:t>
      </w:r>
    </w:p>
    <w:p w14:paraId="78014433" w14:textId="77777777" w:rsidR="00D11E2A" w:rsidRDefault="00000000">
      <w:pPr>
        <w:shd w:val="clear" w:color="auto" w:fill="FFFFFF"/>
        <w:spacing w:line="276" w:lineRule="auto"/>
        <w:rPr>
          <w:color w:val="211E1E"/>
        </w:rPr>
      </w:pPr>
      <w:r>
        <w:rPr>
          <w:color w:val="211E1E"/>
        </w:rPr>
        <w:t xml:space="preserve"> </w:t>
      </w:r>
    </w:p>
    <w:p w14:paraId="63A25F06" w14:textId="77777777" w:rsidR="00D11E2A" w:rsidRDefault="00000000">
      <w:pPr>
        <w:shd w:val="clear" w:color="auto" w:fill="FFFFFF"/>
        <w:spacing w:line="276" w:lineRule="auto"/>
        <w:rPr>
          <w:b/>
          <w:color w:val="211E1E"/>
        </w:rPr>
      </w:pPr>
      <w:r>
        <w:rPr>
          <w:b/>
          <w:color w:val="211E1E"/>
        </w:rPr>
        <w:t xml:space="preserve">Texas Teaching Standards:  </w:t>
      </w:r>
    </w:p>
    <w:p w14:paraId="672444D1" w14:textId="77777777" w:rsidR="00D11E2A" w:rsidRDefault="00000000">
      <w:pPr>
        <w:shd w:val="clear" w:color="auto" w:fill="FFFFFF"/>
        <w:spacing w:line="276" w:lineRule="auto"/>
        <w:rPr>
          <w:color w:val="211E1E"/>
        </w:rPr>
      </w:pPr>
      <w:r>
        <w:rPr>
          <w:color w:val="211E1E"/>
        </w:rPr>
        <w:t xml:space="preserve">Standards required for all Texas beginning teachers fall into the following 6 broad categories:  </w:t>
      </w:r>
    </w:p>
    <w:p w14:paraId="7570E562" w14:textId="77777777" w:rsidR="00D11E2A" w:rsidRDefault="00000000">
      <w:pPr>
        <w:shd w:val="clear" w:color="auto" w:fill="FFFFFF"/>
        <w:spacing w:line="276" w:lineRule="auto"/>
        <w:rPr>
          <w:color w:val="211E1E"/>
        </w:rPr>
      </w:pPr>
      <w:r>
        <w:rPr>
          <w:color w:val="211E1E"/>
        </w:rPr>
        <w:t>Standard 1--Instructional Planning and Delivery. Standard 1</w:t>
      </w:r>
      <w:proofErr w:type="gramStart"/>
      <w:r>
        <w:rPr>
          <w:color w:val="211E1E"/>
        </w:rPr>
        <w:t>Ai,ii</w:t>
      </w:r>
      <w:proofErr w:type="gramEnd"/>
      <w:r>
        <w:rPr>
          <w:color w:val="211E1E"/>
        </w:rPr>
        <w:t xml:space="preserve">,iv; 1Bi,ii (Lesson design) </w:t>
      </w:r>
    </w:p>
    <w:p w14:paraId="071CCA2E" w14:textId="77777777" w:rsidR="00D11E2A" w:rsidRDefault="00000000">
      <w:pPr>
        <w:shd w:val="clear" w:color="auto" w:fill="FFFFFF"/>
        <w:spacing w:line="276" w:lineRule="auto"/>
        <w:rPr>
          <w:color w:val="211E1E"/>
        </w:rPr>
      </w:pPr>
      <w:r>
        <w:rPr>
          <w:color w:val="211E1E"/>
        </w:rPr>
        <w:t xml:space="preserve">Standard 2--Knowledge of Students and Student Learning  </w:t>
      </w:r>
    </w:p>
    <w:p w14:paraId="7684F7A3" w14:textId="77777777" w:rsidR="00D11E2A" w:rsidRDefault="00000000">
      <w:pPr>
        <w:shd w:val="clear" w:color="auto" w:fill="FFFFFF"/>
        <w:spacing w:line="276" w:lineRule="auto"/>
        <w:rPr>
          <w:color w:val="211E1E"/>
        </w:rPr>
      </w:pPr>
      <w:r>
        <w:rPr>
          <w:color w:val="211E1E"/>
        </w:rPr>
        <w:t xml:space="preserve">Standard 3--Content Knowledge and Expertise  </w:t>
      </w:r>
    </w:p>
    <w:p w14:paraId="661D1981" w14:textId="77777777" w:rsidR="00D11E2A" w:rsidRDefault="00000000">
      <w:pPr>
        <w:shd w:val="clear" w:color="auto" w:fill="FFFFFF"/>
        <w:spacing w:line="276" w:lineRule="auto"/>
        <w:rPr>
          <w:color w:val="211E1E"/>
        </w:rPr>
      </w:pPr>
      <w:r>
        <w:rPr>
          <w:color w:val="211E1E"/>
        </w:rPr>
        <w:t xml:space="preserve">Standard 4--Learning Environment  </w:t>
      </w:r>
    </w:p>
    <w:p w14:paraId="05685C48" w14:textId="77777777" w:rsidR="00D11E2A" w:rsidRDefault="00000000">
      <w:pPr>
        <w:shd w:val="clear" w:color="auto" w:fill="FFFFFF"/>
        <w:spacing w:line="276" w:lineRule="auto"/>
        <w:rPr>
          <w:color w:val="211E1E"/>
        </w:rPr>
      </w:pPr>
      <w:r>
        <w:rPr>
          <w:color w:val="211E1E"/>
        </w:rPr>
        <w:t xml:space="preserve">Standard 5--Data-Driven Practice  </w:t>
      </w:r>
    </w:p>
    <w:p w14:paraId="0FA8F7A6" w14:textId="77777777" w:rsidR="00D11E2A" w:rsidRDefault="00000000">
      <w:pPr>
        <w:shd w:val="clear" w:color="auto" w:fill="FFFFFF"/>
        <w:spacing w:line="276" w:lineRule="auto"/>
        <w:rPr>
          <w:color w:val="211E1E"/>
        </w:rPr>
      </w:pPr>
      <w:r>
        <w:rPr>
          <w:color w:val="211E1E"/>
        </w:rPr>
        <w:t xml:space="preserve">Standard 6--Professional Practices and Responsibilities </w:t>
      </w:r>
    </w:p>
    <w:p w14:paraId="60314556" w14:textId="77777777" w:rsidR="00D11E2A" w:rsidRDefault="00000000">
      <w:pPr>
        <w:shd w:val="clear" w:color="auto" w:fill="FFFFFF"/>
        <w:spacing w:line="276" w:lineRule="auto"/>
        <w:rPr>
          <w:color w:val="211E1E"/>
        </w:rPr>
      </w:pPr>
      <w:r>
        <w:rPr>
          <w:color w:val="211E1E"/>
        </w:rPr>
        <w:t xml:space="preserve"> </w:t>
      </w:r>
    </w:p>
    <w:p w14:paraId="5D3DF09F" w14:textId="77777777" w:rsidR="00D11E2A" w:rsidRDefault="00000000">
      <w:pPr>
        <w:shd w:val="clear" w:color="auto" w:fill="FFFFFF"/>
        <w:spacing w:line="276" w:lineRule="auto"/>
        <w:rPr>
          <w:color w:val="211E1E"/>
        </w:rPr>
      </w:pPr>
      <w:r>
        <w:rPr>
          <w:b/>
          <w:color w:val="211E1E"/>
        </w:rPr>
        <w:lastRenderedPageBreak/>
        <w:t>EC-12 Professional Pedagogy and Responsibilities (PPR) Standards</w:t>
      </w:r>
      <w:r>
        <w:rPr>
          <w:color w:val="211E1E"/>
        </w:rPr>
        <w:t xml:space="preserve"> </w:t>
      </w:r>
    </w:p>
    <w:p w14:paraId="2C44F1AF" w14:textId="77777777" w:rsidR="00D11E2A" w:rsidRDefault="00000000">
      <w:pPr>
        <w:shd w:val="clear" w:color="auto" w:fill="FFFFFF"/>
        <w:spacing w:line="276" w:lineRule="auto"/>
        <w:rPr>
          <w:color w:val="211E1E"/>
        </w:rPr>
      </w:pPr>
      <w:r>
        <w:rPr>
          <w:color w:val="211E1E"/>
        </w:rPr>
        <w:t xml:space="preserve">The beginning EC-12 teacher knows and understands: </w:t>
      </w:r>
    </w:p>
    <w:p w14:paraId="6BF88BF5" w14:textId="77777777" w:rsidR="00D11E2A" w:rsidRDefault="00000000">
      <w:pPr>
        <w:numPr>
          <w:ilvl w:val="0"/>
          <w:numId w:val="17"/>
        </w:numPr>
        <w:spacing w:line="276" w:lineRule="auto"/>
        <w:ind w:left="1080"/>
      </w:pPr>
      <w:r>
        <w:rPr>
          <w:b/>
          <w:color w:val="211E1E"/>
        </w:rPr>
        <w:t>Competency 001:</w:t>
      </w:r>
      <w:r>
        <w:rPr>
          <w:color w:val="211E1E"/>
        </w:rPr>
        <w:t xml:space="preserve"> human developmental processes and applies this knowledge to plan instruction and ongoing assessment that motivate students and are responsive to their developmental characteristics and needs </w:t>
      </w:r>
    </w:p>
    <w:p w14:paraId="391E177D" w14:textId="77777777" w:rsidR="00D11E2A" w:rsidRDefault="00000000">
      <w:pPr>
        <w:numPr>
          <w:ilvl w:val="0"/>
          <w:numId w:val="17"/>
        </w:numPr>
        <w:spacing w:line="276" w:lineRule="auto"/>
        <w:ind w:left="1080"/>
      </w:pPr>
      <w:r>
        <w:rPr>
          <w:b/>
          <w:color w:val="211E1E"/>
        </w:rPr>
        <w:t>Competency 002:</w:t>
      </w:r>
      <w:r>
        <w:rPr>
          <w:color w:val="211E1E"/>
        </w:rPr>
        <w:t xml:space="preserve"> student diversity and knows how to plan learning experiences and design assessments that are responsive to differences among students and that promote all students' learning </w:t>
      </w:r>
    </w:p>
    <w:p w14:paraId="5277D606" w14:textId="77777777" w:rsidR="00D11E2A" w:rsidRDefault="00000000">
      <w:pPr>
        <w:numPr>
          <w:ilvl w:val="0"/>
          <w:numId w:val="17"/>
        </w:numPr>
        <w:spacing w:line="276" w:lineRule="auto"/>
        <w:ind w:left="1080"/>
      </w:pPr>
      <w:r>
        <w:rPr>
          <w:b/>
          <w:color w:val="211E1E"/>
        </w:rPr>
        <w:t>Competency 005:</w:t>
      </w:r>
      <w:r>
        <w:rPr>
          <w:color w:val="211E1E"/>
        </w:rPr>
        <w:t xml:space="preserve"> how to establish a classroom climate that fosters learning, equity and excellence and USES this knowledge to create a physical and emotional environment that is safe and productive </w:t>
      </w:r>
    </w:p>
    <w:p w14:paraId="5A5A862F" w14:textId="77777777" w:rsidR="00D11E2A" w:rsidRDefault="00000000">
      <w:pPr>
        <w:numPr>
          <w:ilvl w:val="0"/>
          <w:numId w:val="17"/>
        </w:numPr>
        <w:spacing w:line="276" w:lineRule="auto"/>
        <w:ind w:left="1080"/>
      </w:pPr>
      <w:r>
        <w:rPr>
          <w:b/>
          <w:color w:val="211E1E"/>
        </w:rPr>
        <w:t xml:space="preserve">Competence 007: </w:t>
      </w:r>
      <w:r>
        <w:rPr>
          <w:color w:val="211E1E"/>
        </w:rPr>
        <w:t xml:space="preserve">principles and strategies for communicating effectively in varied teaching and learning contexts. </w:t>
      </w:r>
    </w:p>
    <w:p w14:paraId="5DDAA964" w14:textId="77777777" w:rsidR="00D11E2A" w:rsidRDefault="00000000">
      <w:pPr>
        <w:shd w:val="clear" w:color="auto" w:fill="FFFFFF"/>
        <w:spacing w:line="276" w:lineRule="auto"/>
        <w:rPr>
          <w:color w:val="211E1E"/>
        </w:rPr>
      </w:pPr>
      <w:r>
        <w:rPr>
          <w:color w:val="211E1E"/>
        </w:rPr>
        <w:t xml:space="preserve"> </w:t>
      </w:r>
    </w:p>
    <w:p w14:paraId="28A145E2" w14:textId="77777777" w:rsidR="00D11E2A" w:rsidRDefault="00000000">
      <w:pPr>
        <w:shd w:val="clear" w:color="auto" w:fill="FFFFFF"/>
        <w:spacing w:line="276" w:lineRule="auto"/>
        <w:rPr>
          <w:color w:val="211E1E"/>
        </w:rPr>
      </w:pPr>
      <w:r>
        <w:rPr>
          <w:b/>
          <w:color w:val="211E1E"/>
        </w:rPr>
        <w:t>EC-12 Tech Apps Standards</w:t>
      </w:r>
      <w:r>
        <w:rPr>
          <w:color w:val="211E1E"/>
        </w:rPr>
        <w:t xml:space="preserve"> </w:t>
      </w:r>
    </w:p>
    <w:p w14:paraId="4E02BFCC" w14:textId="77777777" w:rsidR="00D11E2A" w:rsidRDefault="00000000">
      <w:pPr>
        <w:shd w:val="clear" w:color="auto" w:fill="FFFFFF"/>
        <w:spacing w:line="276" w:lineRule="auto"/>
        <w:rPr>
          <w:color w:val="211E1E"/>
        </w:rPr>
      </w:pPr>
      <w:r>
        <w:rPr>
          <w:color w:val="211E1E"/>
        </w:rPr>
        <w:t xml:space="preserve">The beginning EC-12 teacher knows and understands how to: </w:t>
      </w:r>
    </w:p>
    <w:p w14:paraId="5A84E700" w14:textId="77777777" w:rsidR="00D11E2A" w:rsidRDefault="00000000">
      <w:pPr>
        <w:numPr>
          <w:ilvl w:val="0"/>
          <w:numId w:val="2"/>
        </w:numPr>
        <w:spacing w:line="276" w:lineRule="auto"/>
        <w:ind w:left="1080"/>
      </w:pPr>
      <w:r>
        <w:rPr>
          <w:b/>
          <w:color w:val="211E1E"/>
        </w:rPr>
        <w:t xml:space="preserve">Standard I. </w:t>
      </w:r>
      <w:r>
        <w:rPr>
          <w:color w:val="211E1E"/>
        </w:rPr>
        <w:t xml:space="preserve">use and promote creative thinking and innovative processes to construct knowledge, generate new ideas, and create products </w:t>
      </w:r>
    </w:p>
    <w:p w14:paraId="379EC870" w14:textId="77777777" w:rsidR="00D11E2A" w:rsidRDefault="00000000">
      <w:pPr>
        <w:numPr>
          <w:ilvl w:val="0"/>
          <w:numId w:val="2"/>
        </w:numPr>
        <w:spacing w:line="276" w:lineRule="auto"/>
        <w:ind w:left="1080"/>
      </w:pPr>
      <w:r>
        <w:rPr>
          <w:b/>
          <w:color w:val="211E1E"/>
        </w:rPr>
        <w:t>Standard II.</w:t>
      </w:r>
      <w:r>
        <w:rPr>
          <w:color w:val="211E1E"/>
        </w:rPr>
        <w:t xml:space="preserve"> collaborate and communicate both locally and globally using digital tools and resources to reinforce and promote learning. </w:t>
      </w:r>
    </w:p>
    <w:p w14:paraId="65931588" w14:textId="34D3CDBE" w:rsidR="00D11E2A" w:rsidRPr="00A97634" w:rsidRDefault="00000000" w:rsidP="00A97634">
      <w:pPr>
        <w:numPr>
          <w:ilvl w:val="0"/>
          <w:numId w:val="2"/>
        </w:numPr>
        <w:spacing w:line="276" w:lineRule="auto"/>
        <w:ind w:left="1080"/>
      </w:pPr>
      <w:r>
        <w:rPr>
          <w:b/>
          <w:color w:val="211E1E"/>
        </w:rPr>
        <w:t>Standard III.</w:t>
      </w:r>
      <w:r>
        <w:rPr>
          <w:color w:val="211E1E"/>
        </w:rPr>
        <w:t xml:space="preserve"> make informed decisions by applying critical-thinking and </w:t>
      </w:r>
      <w:proofErr w:type="gramStart"/>
      <w:r>
        <w:rPr>
          <w:color w:val="211E1E"/>
        </w:rPr>
        <w:t>problem solving</w:t>
      </w:r>
      <w:proofErr w:type="gramEnd"/>
      <w:r>
        <w:rPr>
          <w:color w:val="211E1E"/>
        </w:rPr>
        <w:t xml:space="preserve"> skills. </w:t>
      </w:r>
    </w:p>
    <w:p w14:paraId="56ADE4F0" w14:textId="77777777" w:rsidR="00D11E2A" w:rsidRDefault="00D11E2A"/>
    <w:p w14:paraId="68349F8E" w14:textId="77777777" w:rsidR="00D11E2A" w:rsidRDefault="00000000">
      <w:pPr>
        <w:pStyle w:val="Heading1"/>
        <w:jc w:val="left"/>
        <w:rPr>
          <w:rFonts w:ascii="Times New Roman" w:eastAsia="Times New Roman" w:hAnsi="Times New Roman" w:cs="Times New Roman"/>
          <w:b/>
        </w:rPr>
      </w:pPr>
      <w:r>
        <w:rPr>
          <w:rFonts w:ascii="Times New Roman" w:eastAsia="Times New Roman" w:hAnsi="Times New Roman" w:cs="Times New Roman"/>
          <w:b/>
        </w:rPr>
        <w:t>ENGLISH LANGUAGE PROFICIENCY STANDARDS (ELPS)</w:t>
      </w:r>
    </w:p>
    <w:p w14:paraId="45D9F8A8" w14:textId="77777777" w:rsidR="00D11E2A" w:rsidRDefault="00000000">
      <w:r>
        <w:t xml:space="preserve">This course incorporates the ELPS in lesson planning and instructional delivery </w:t>
      </w:r>
      <w:proofErr w:type="gramStart"/>
      <w:r>
        <w:t>in order to</w:t>
      </w:r>
      <w:proofErr w:type="gramEnd"/>
      <w:r>
        <w:t xml:space="preserve">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8" w:anchor="74.4">
        <w:r w:rsidR="00D11E2A">
          <w:rPr>
            <w:color w:val="0000FF"/>
            <w:u w:val="single"/>
          </w:rPr>
          <w:t>http://ritter.tea.state.tx.us/rules/tac/chapter074/ch074a.html#74.4</w:t>
        </w:r>
      </w:hyperlink>
      <w:r>
        <w:t xml:space="preserve">. </w:t>
      </w:r>
    </w:p>
    <w:p w14:paraId="5625185A" w14:textId="77777777" w:rsidR="00D11E2A" w:rsidRDefault="00D11E2A"/>
    <w:p w14:paraId="68240DEF" w14:textId="77777777" w:rsidR="00D11E2A" w:rsidRDefault="00000000">
      <w:pPr>
        <w:pStyle w:val="Heading1"/>
        <w:jc w:val="left"/>
        <w:rPr>
          <w:rFonts w:ascii="Times New Roman" w:eastAsia="Times New Roman" w:hAnsi="Times New Roman" w:cs="Times New Roman"/>
          <w:b/>
        </w:rPr>
      </w:pPr>
      <w:r>
        <w:rPr>
          <w:rFonts w:ascii="Times New Roman" w:eastAsia="Times New Roman" w:hAnsi="Times New Roman" w:cs="Times New Roman"/>
          <w:b/>
        </w:rPr>
        <w:t>TEXAS COLLEGE AND CAREER READINESS STANDARDS</w:t>
      </w:r>
    </w:p>
    <w:p w14:paraId="4A37707A" w14:textId="77777777" w:rsidR="00D11E2A" w:rsidRDefault="00000000">
      <w:r>
        <w:t xml:space="preserve">The Texas College and Career Readiness Standards can be accessed at the Texas Higher Education Coordinating Board Web site using the following link: </w:t>
      </w:r>
      <w:hyperlink r:id="rId9">
        <w:r w:rsidR="00D11E2A">
          <w:rPr>
            <w:color w:val="0000FF"/>
            <w:u w:val="single"/>
          </w:rPr>
          <w:t>http://www.thecb.state.tx.us/index.cfm?objectid=EADF962E-0E3E-DA80-BAAD2496062F3CD8</w:t>
        </w:r>
      </w:hyperlink>
      <w:r>
        <w:t xml:space="preserve"> </w:t>
      </w:r>
    </w:p>
    <w:p w14:paraId="4BE2CC51" w14:textId="77777777" w:rsidR="00D11E2A" w:rsidRDefault="00D11E2A">
      <w:pPr>
        <w:pStyle w:val="Heading1"/>
        <w:jc w:val="left"/>
        <w:rPr>
          <w:rFonts w:ascii="Times New Roman" w:eastAsia="Times New Roman" w:hAnsi="Times New Roman" w:cs="Times New Roman"/>
          <w:i/>
          <w:color w:val="FFFFFF"/>
        </w:rPr>
      </w:pPr>
    </w:p>
    <w:p w14:paraId="56C50AA7" w14:textId="77777777" w:rsidR="00D11E2A" w:rsidRDefault="00000000">
      <w:pPr>
        <w:pStyle w:val="Heading1"/>
        <w:jc w:val="left"/>
        <w:rPr>
          <w:rFonts w:ascii="Times New Roman" w:eastAsia="Times New Roman" w:hAnsi="Times New Roman" w:cs="Times New Roman"/>
          <w:b/>
        </w:rPr>
      </w:pPr>
      <w:bookmarkStart w:id="1" w:name="_o4la0t5k0b3r" w:colFirst="0" w:colLast="0"/>
      <w:bookmarkEnd w:id="1"/>
      <w:r>
        <w:rPr>
          <w:rFonts w:ascii="Times New Roman" w:eastAsia="Times New Roman" w:hAnsi="Times New Roman" w:cs="Times New Roman"/>
          <w:b/>
        </w:rPr>
        <w:t>TECHNOLOGY APPLICATIONS</w:t>
      </w:r>
    </w:p>
    <w:p w14:paraId="45C59576" w14:textId="2C88D870" w:rsidR="00D11E2A" w:rsidRPr="0077309A" w:rsidRDefault="00D11E2A" w:rsidP="0077309A">
      <w:pPr>
        <w:shd w:val="clear" w:color="auto" w:fill="FFFFFF"/>
        <w:spacing w:before="2" w:after="2"/>
        <w:rPr>
          <w:i/>
        </w:rPr>
      </w:pPr>
      <w:hyperlink r:id="rId10">
        <w:r>
          <w:rPr>
            <w:color w:val="0D6CB9"/>
            <w:u w:val="single"/>
          </w:rPr>
          <w:t>Technology Applications (All Beginning Teachers, PDF)</w:t>
        </w:r>
      </w:hyperlink>
      <w:r w:rsidR="00000000">
        <w:rPr>
          <w:color w:val="444444"/>
        </w:rPr>
        <w:t> </w:t>
      </w:r>
      <w:r w:rsidR="00000000">
        <w:t>The first seven standards of the Technology Applications EC-12 Standards are expected of </w:t>
      </w:r>
      <w:r w:rsidR="00000000">
        <w:rPr>
          <w:b/>
        </w:rPr>
        <w:t>all</w:t>
      </w:r>
      <w:r w:rsidR="00000000">
        <w:t xml:space="preserve"> beginning teachers and are incorporated </w:t>
      </w:r>
      <w:proofErr w:type="gramStart"/>
      <w:r w:rsidR="00000000">
        <w:t>in to</w:t>
      </w:r>
      <w:proofErr w:type="gramEnd"/>
      <w:r w:rsidR="00000000">
        <w:t xml:space="preserve"> the Texas Examination of Educator Standards (</w:t>
      </w:r>
      <w:proofErr w:type="spellStart"/>
      <w:r w:rsidR="00000000">
        <w:t>TExES</w:t>
      </w:r>
      <w:proofErr w:type="spellEnd"/>
      <w:r w:rsidR="00000000">
        <w:t>) Pedagogy and Professional Responsibilities (PPR) test.</w:t>
      </w:r>
    </w:p>
    <w:sectPr w:rsidR="00D11E2A" w:rsidRPr="007730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2DD3"/>
    <w:multiLevelType w:val="multilevel"/>
    <w:tmpl w:val="51C0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84C60"/>
    <w:multiLevelType w:val="multilevel"/>
    <w:tmpl w:val="8524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01132"/>
    <w:multiLevelType w:val="multilevel"/>
    <w:tmpl w:val="B8BE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329C6"/>
    <w:multiLevelType w:val="multilevel"/>
    <w:tmpl w:val="8FB80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757277"/>
    <w:multiLevelType w:val="multilevel"/>
    <w:tmpl w:val="2EC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A3BD9"/>
    <w:multiLevelType w:val="multilevel"/>
    <w:tmpl w:val="4E50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47BE3"/>
    <w:multiLevelType w:val="multilevel"/>
    <w:tmpl w:val="2E64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B3953"/>
    <w:multiLevelType w:val="multilevel"/>
    <w:tmpl w:val="C0C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22DF1"/>
    <w:multiLevelType w:val="multilevel"/>
    <w:tmpl w:val="5134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F90D56"/>
    <w:multiLevelType w:val="multilevel"/>
    <w:tmpl w:val="B0A2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6E7D49"/>
    <w:multiLevelType w:val="multilevel"/>
    <w:tmpl w:val="47E2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9E2D17"/>
    <w:multiLevelType w:val="multilevel"/>
    <w:tmpl w:val="F0884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567F14"/>
    <w:multiLevelType w:val="multilevel"/>
    <w:tmpl w:val="E4CAA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757159C"/>
    <w:multiLevelType w:val="multilevel"/>
    <w:tmpl w:val="591C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EE5C90"/>
    <w:multiLevelType w:val="multilevel"/>
    <w:tmpl w:val="A56A7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C31372F"/>
    <w:multiLevelType w:val="multilevel"/>
    <w:tmpl w:val="A4E0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C1D90"/>
    <w:multiLevelType w:val="multilevel"/>
    <w:tmpl w:val="BA4E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9206A"/>
    <w:multiLevelType w:val="multilevel"/>
    <w:tmpl w:val="7D96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233E3B"/>
    <w:multiLevelType w:val="multilevel"/>
    <w:tmpl w:val="26E0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8B583C"/>
    <w:multiLevelType w:val="multilevel"/>
    <w:tmpl w:val="6E3C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AD33CD"/>
    <w:multiLevelType w:val="multilevel"/>
    <w:tmpl w:val="EEF0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167324"/>
    <w:multiLevelType w:val="multilevel"/>
    <w:tmpl w:val="1EB44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1C53407"/>
    <w:multiLevelType w:val="multilevel"/>
    <w:tmpl w:val="6842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8C1118"/>
    <w:multiLevelType w:val="multilevel"/>
    <w:tmpl w:val="CC6A9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5E5746B"/>
    <w:multiLevelType w:val="multilevel"/>
    <w:tmpl w:val="0344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050446"/>
    <w:multiLevelType w:val="multilevel"/>
    <w:tmpl w:val="42D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381908"/>
    <w:multiLevelType w:val="multilevel"/>
    <w:tmpl w:val="DE68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3E0248"/>
    <w:multiLevelType w:val="multilevel"/>
    <w:tmpl w:val="738C2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ECC0CBC"/>
    <w:multiLevelType w:val="multilevel"/>
    <w:tmpl w:val="5966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CA016A"/>
    <w:multiLevelType w:val="multilevel"/>
    <w:tmpl w:val="E2102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1107B0A"/>
    <w:multiLevelType w:val="multilevel"/>
    <w:tmpl w:val="F2EC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0B40A5"/>
    <w:multiLevelType w:val="multilevel"/>
    <w:tmpl w:val="9066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FB5D8A"/>
    <w:multiLevelType w:val="multilevel"/>
    <w:tmpl w:val="87AE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FD2775"/>
    <w:multiLevelType w:val="multilevel"/>
    <w:tmpl w:val="DF60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FA70DF"/>
    <w:multiLevelType w:val="multilevel"/>
    <w:tmpl w:val="F380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146146"/>
    <w:multiLevelType w:val="multilevel"/>
    <w:tmpl w:val="0A70A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E7D7445"/>
    <w:multiLevelType w:val="multilevel"/>
    <w:tmpl w:val="A400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415B1E"/>
    <w:multiLevelType w:val="multilevel"/>
    <w:tmpl w:val="B9B4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A13C7D"/>
    <w:multiLevelType w:val="multilevel"/>
    <w:tmpl w:val="943A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C93A83"/>
    <w:multiLevelType w:val="multilevel"/>
    <w:tmpl w:val="E9201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5877F43"/>
    <w:multiLevelType w:val="multilevel"/>
    <w:tmpl w:val="12464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7030BA6"/>
    <w:multiLevelType w:val="multilevel"/>
    <w:tmpl w:val="32D4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9F5304"/>
    <w:multiLevelType w:val="multilevel"/>
    <w:tmpl w:val="2AE8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977D93"/>
    <w:multiLevelType w:val="multilevel"/>
    <w:tmpl w:val="7BD6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8A76F4D"/>
    <w:multiLevelType w:val="multilevel"/>
    <w:tmpl w:val="7C647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95C22D3"/>
    <w:multiLevelType w:val="multilevel"/>
    <w:tmpl w:val="4518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3C70E4"/>
    <w:multiLevelType w:val="multilevel"/>
    <w:tmpl w:val="771C1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E02746E"/>
    <w:multiLevelType w:val="multilevel"/>
    <w:tmpl w:val="E03E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F6014D"/>
    <w:multiLevelType w:val="multilevel"/>
    <w:tmpl w:val="22E2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5F5A3A"/>
    <w:multiLevelType w:val="multilevel"/>
    <w:tmpl w:val="44A85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5C53826"/>
    <w:multiLevelType w:val="multilevel"/>
    <w:tmpl w:val="947A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3862A4"/>
    <w:multiLevelType w:val="multilevel"/>
    <w:tmpl w:val="D7649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6F83CE2"/>
    <w:multiLevelType w:val="multilevel"/>
    <w:tmpl w:val="CE343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732540B"/>
    <w:multiLevelType w:val="multilevel"/>
    <w:tmpl w:val="FF88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8C6B48"/>
    <w:multiLevelType w:val="multilevel"/>
    <w:tmpl w:val="D92C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AD3A8B"/>
    <w:multiLevelType w:val="multilevel"/>
    <w:tmpl w:val="284A2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8CB1A77"/>
    <w:multiLevelType w:val="multilevel"/>
    <w:tmpl w:val="EEE4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666164"/>
    <w:multiLevelType w:val="multilevel"/>
    <w:tmpl w:val="0160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832F6D"/>
    <w:multiLevelType w:val="multilevel"/>
    <w:tmpl w:val="5924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D558B2"/>
    <w:multiLevelType w:val="multilevel"/>
    <w:tmpl w:val="E11A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D79376C"/>
    <w:multiLevelType w:val="multilevel"/>
    <w:tmpl w:val="AFC2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B07417"/>
    <w:multiLevelType w:val="multilevel"/>
    <w:tmpl w:val="BC84C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5F128A2"/>
    <w:multiLevelType w:val="multilevel"/>
    <w:tmpl w:val="ED6E2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5FE0DBE"/>
    <w:multiLevelType w:val="multilevel"/>
    <w:tmpl w:val="D7543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6912660"/>
    <w:multiLevelType w:val="multilevel"/>
    <w:tmpl w:val="F07EA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7370584"/>
    <w:multiLevelType w:val="multilevel"/>
    <w:tmpl w:val="AC248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7AA298F"/>
    <w:multiLevelType w:val="multilevel"/>
    <w:tmpl w:val="334A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2D1799"/>
    <w:multiLevelType w:val="multilevel"/>
    <w:tmpl w:val="DA28D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BE32C8B"/>
    <w:multiLevelType w:val="multilevel"/>
    <w:tmpl w:val="F55A0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0B92ACB"/>
    <w:multiLevelType w:val="multilevel"/>
    <w:tmpl w:val="DE6A2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1FA4974"/>
    <w:multiLevelType w:val="multilevel"/>
    <w:tmpl w:val="43D8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A31FBE"/>
    <w:multiLevelType w:val="multilevel"/>
    <w:tmpl w:val="CEC8455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2C076E5"/>
    <w:multiLevelType w:val="multilevel"/>
    <w:tmpl w:val="E5EC4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2EF01BF"/>
    <w:multiLevelType w:val="multilevel"/>
    <w:tmpl w:val="76484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4897B08"/>
    <w:multiLevelType w:val="multilevel"/>
    <w:tmpl w:val="5410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5A0534C"/>
    <w:multiLevelType w:val="multilevel"/>
    <w:tmpl w:val="86A0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6822197"/>
    <w:multiLevelType w:val="multilevel"/>
    <w:tmpl w:val="8D5A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3F718A"/>
    <w:multiLevelType w:val="multilevel"/>
    <w:tmpl w:val="2AE2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F22CD6"/>
    <w:multiLevelType w:val="multilevel"/>
    <w:tmpl w:val="7AD0E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D03271A"/>
    <w:multiLevelType w:val="multilevel"/>
    <w:tmpl w:val="8AFC75A2"/>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D5A3BD8"/>
    <w:multiLevelType w:val="multilevel"/>
    <w:tmpl w:val="3DB48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E0B3CE9"/>
    <w:multiLevelType w:val="multilevel"/>
    <w:tmpl w:val="0840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754383">
    <w:abstractNumId w:val="23"/>
  </w:num>
  <w:num w:numId="2" w16cid:durableId="798495834">
    <w:abstractNumId w:val="79"/>
  </w:num>
  <w:num w:numId="3" w16cid:durableId="2128615842">
    <w:abstractNumId w:val="46"/>
  </w:num>
  <w:num w:numId="4" w16cid:durableId="375274122">
    <w:abstractNumId w:val="61"/>
  </w:num>
  <w:num w:numId="5" w16cid:durableId="2042586164">
    <w:abstractNumId w:val="35"/>
  </w:num>
  <w:num w:numId="6" w16cid:durableId="1057171912">
    <w:abstractNumId w:val="55"/>
  </w:num>
  <w:num w:numId="7" w16cid:durableId="2113936619">
    <w:abstractNumId w:val="62"/>
  </w:num>
  <w:num w:numId="8" w16cid:durableId="293995368">
    <w:abstractNumId w:val="78"/>
  </w:num>
  <w:num w:numId="9" w16cid:durableId="874925294">
    <w:abstractNumId w:val="49"/>
  </w:num>
  <w:num w:numId="10" w16cid:durableId="1547451084">
    <w:abstractNumId w:val="12"/>
  </w:num>
  <w:num w:numId="11" w16cid:durableId="1551767219">
    <w:abstractNumId w:val="72"/>
  </w:num>
  <w:num w:numId="12" w16cid:durableId="717625450">
    <w:abstractNumId w:val="11"/>
  </w:num>
  <w:num w:numId="13" w16cid:durableId="2140103609">
    <w:abstractNumId w:val="40"/>
  </w:num>
  <w:num w:numId="14" w16cid:durableId="1582790251">
    <w:abstractNumId w:val="64"/>
  </w:num>
  <w:num w:numId="15" w16cid:durableId="1543208213">
    <w:abstractNumId w:val="29"/>
  </w:num>
  <w:num w:numId="16" w16cid:durableId="1560827645">
    <w:abstractNumId w:val="65"/>
  </w:num>
  <w:num w:numId="17" w16cid:durableId="1074354104">
    <w:abstractNumId w:val="71"/>
  </w:num>
  <w:num w:numId="18" w16cid:durableId="622619025">
    <w:abstractNumId w:val="67"/>
  </w:num>
  <w:num w:numId="19" w16cid:durableId="1061715141">
    <w:abstractNumId w:val="27"/>
  </w:num>
  <w:num w:numId="20" w16cid:durableId="126818463">
    <w:abstractNumId w:val="52"/>
  </w:num>
  <w:num w:numId="21" w16cid:durableId="190268471">
    <w:abstractNumId w:val="51"/>
  </w:num>
  <w:num w:numId="22" w16cid:durableId="2092964909">
    <w:abstractNumId w:val="69"/>
  </w:num>
  <w:num w:numId="23" w16cid:durableId="962615875">
    <w:abstractNumId w:val="14"/>
  </w:num>
  <w:num w:numId="24" w16cid:durableId="734275753">
    <w:abstractNumId w:val="68"/>
  </w:num>
  <w:num w:numId="25" w16cid:durableId="40520006">
    <w:abstractNumId w:val="3"/>
  </w:num>
  <w:num w:numId="26" w16cid:durableId="1837570012">
    <w:abstractNumId w:val="63"/>
  </w:num>
  <w:num w:numId="27" w16cid:durableId="929002519">
    <w:abstractNumId w:val="44"/>
  </w:num>
  <w:num w:numId="28" w16cid:durableId="1259214515">
    <w:abstractNumId w:val="21"/>
  </w:num>
  <w:num w:numId="29" w16cid:durableId="916941785">
    <w:abstractNumId w:val="39"/>
  </w:num>
  <w:num w:numId="30" w16cid:durableId="1300499778">
    <w:abstractNumId w:val="80"/>
  </w:num>
  <w:num w:numId="31" w16cid:durableId="237595539">
    <w:abstractNumId w:val="16"/>
  </w:num>
  <w:num w:numId="32" w16cid:durableId="971666360">
    <w:abstractNumId w:val="37"/>
  </w:num>
  <w:num w:numId="33" w16cid:durableId="529297528">
    <w:abstractNumId w:val="50"/>
  </w:num>
  <w:num w:numId="34" w16cid:durableId="1851606969">
    <w:abstractNumId w:val="81"/>
  </w:num>
  <w:num w:numId="35" w16cid:durableId="929045275">
    <w:abstractNumId w:val="18"/>
  </w:num>
  <w:num w:numId="36" w16cid:durableId="10037031">
    <w:abstractNumId w:val="24"/>
  </w:num>
  <w:num w:numId="37" w16cid:durableId="975839176">
    <w:abstractNumId w:val="1"/>
  </w:num>
  <w:num w:numId="38" w16cid:durableId="22441097">
    <w:abstractNumId w:val="74"/>
  </w:num>
  <w:num w:numId="39" w16cid:durableId="360479661">
    <w:abstractNumId w:val="60"/>
  </w:num>
  <w:num w:numId="40" w16cid:durableId="1750419408">
    <w:abstractNumId w:val="19"/>
  </w:num>
  <w:num w:numId="41" w16cid:durableId="921838625">
    <w:abstractNumId w:val="10"/>
  </w:num>
  <w:num w:numId="42" w16cid:durableId="965236019">
    <w:abstractNumId w:val="28"/>
  </w:num>
  <w:num w:numId="43" w16cid:durableId="1118721820">
    <w:abstractNumId w:val="59"/>
  </w:num>
  <w:num w:numId="44" w16cid:durableId="367530349">
    <w:abstractNumId w:val="6"/>
  </w:num>
  <w:num w:numId="45" w16cid:durableId="950165013">
    <w:abstractNumId w:val="31"/>
  </w:num>
  <w:num w:numId="46" w16cid:durableId="176510171">
    <w:abstractNumId w:val="42"/>
  </w:num>
  <w:num w:numId="47" w16cid:durableId="780537159">
    <w:abstractNumId w:val="36"/>
  </w:num>
  <w:num w:numId="48" w16cid:durableId="141701373">
    <w:abstractNumId w:val="30"/>
  </w:num>
  <w:num w:numId="49" w16cid:durableId="75057318">
    <w:abstractNumId w:val="38"/>
  </w:num>
  <w:num w:numId="50" w16cid:durableId="1073773483">
    <w:abstractNumId w:val="13"/>
  </w:num>
  <w:num w:numId="51" w16cid:durableId="468279486">
    <w:abstractNumId w:val="25"/>
  </w:num>
  <w:num w:numId="52" w16cid:durableId="828257113">
    <w:abstractNumId w:val="47"/>
  </w:num>
  <w:num w:numId="53" w16cid:durableId="357510250">
    <w:abstractNumId w:val="4"/>
  </w:num>
  <w:num w:numId="54" w16cid:durableId="752892972">
    <w:abstractNumId w:val="26"/>
  </w:num>
  <w:num w:numId="55" w16cid:durableId="594482121">
    <w:abstractNumId w:val="7"/>
  </w:num>
  <w:num w:numId="56" w16cid:durableId="1037660846">
    <w:abstractNumId w:val="15"/>
  </w:num>
  <w:num w:numId="57" w16cid:durableId="1340041091">
    <w:abstractNumId w:val="57"/>
  </w:num>
  <w:num w:numId="58" w16cid:durableId="1391417000">
    <w:abstractNumId w:val="5"/>
  </w:num>
  <w:num w:numId="59" w16cid:durableId="1103918400">
    <w:abstractNumId w:val="66"/>
  </w:num>
  <w:num w:numId="60" w16cid:durableId="1992444365">
    <w:abstractNumId w:val="33"/>
  </w:num>
  <w:num w:numId="61" w16cid:durableId="1950775252">
    <w:abstractNumId w:val="20"/>
  </w:num>
  <w:num w:numId="62" w16cid:durableId="1079597129">
    <w:abstractNumId w:val="43"/>
  </w:num>
  <w:num w:numId="63" w16cid:durableId="679939719">
    <w:abstractNumId w:val="22"/>
  </w:num>
  <w:num w:numId="64" w16cid:durableId="256212632">
    <w:abstractNumId w:val="8"/>
  </w:num>
  <w:num w:numId="65" w16cid:durableId="1804157163">
    <w:abstractNumId w:val="56"/>
  </w:num>
  <w:num w:numId="66" w16cid:durableId="798302418">
    <w:abstractNumId w:val="2"/>
  </w:num>
  <w:num w:numId="67" w16cid:durableId="1298416764">
    <w:abstractNumId w:val="45"/>
  </w:num>
  <w:num w:numId="68" w16cid:durableId="404377441">
    <w:abstractNumId w:val="32"/>
  </w:num>
  <w:num w:numId="69" w16cid:durableId="2048525316">
    <w:abstractNumId w:val="48"/>
  </w:num>
  <w:num w:numId="70" w16cid:durableId="1042902788">
    <w:abstractNumId w:val="70"/>
  </w:num>
  <w:num w:numId="71" w16cid:durableId="1314483014">
    <w:abstractNumId w:val="0"/>
  </w:num>
  <w:num w:numId="72" w16cid:durableId="563219762">
    <w:abstractNumId w:val="58"/>
  </w:num>
  <w:num w:numId="73" w16cid:durableId="2012367017">
    <w:abstractNumId w:val="54"/>
  </w:num>
  <w:num w:numId="74" w16cid:durableId="858079638">
    <w:abstractNumId w:val="9"/>
  </w:num>
  <w:num w:numId="75" w16cid:durableId="1537308025">
    <w:abstractNumId w:val="75"/>
  </w:num>
  <w:num w:numId="76" w16cid:durableId="2110084246">
    <w:abstractNumId w:val="17"/>
  </w:num>
  <w:num w:numId="77" w16cid:durableId="1438016236">
    <w:abstractNumId w:val="34"/>
  </w:num>
  <w:num w:numId="78" w16cid:durableId="1205366748">
    <w:abstractNumId w:val="41"/>
  </w:num>
  <w:num w:numId="79" w16cid:durableId="186674012">
    <w:abstractNumId w:val="76"/>
  </w:num>
  <w:num w:numId="80" w16cid:durableId="56630077">
    <w:abstractNumId w:val="53"/>
  </w:num>
  <w:num w:numId="81" w16cid:durableId="976182180">
    <w:abstractNumId w:val="77"/>
  </w:num>
  <w:num w:numId="82" w16cid:durableId="1912303395">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E2A"/>
    <w:rsid w:val="000833A5"/>
    <w:rsid w:val="000C0717"/>
    <w:rsid w:val="000C2EE0"/>
    <w:rsid w:val="0011218D"/>
    <w:rsid w:val="00266D66"/>
    <w:rsid w:val="00312552"/>
    <w:rsid w:val="00333290"/>
    <w:rsid w:val="00340F77"/>
    <w:rsid w:val="003C6042"/>
    <w:rsid w:val="003D52C7"/>
    <w:rsid w:val="004370C4"/>
    <w:rsid w:val="005B05A8"/>
    <w:rsid w:val="00634D98"/>
    <w:rsid w:val="006F621B"/>
    <w:rsid w:val="00720B99"/>
    <w:rsid w:val="0077309A"/>
    <w:rsid w:val="007D7A2F"/>
    <w:rsid w:val="00807B18"/>
    <w:rsid w:val="00936CE5"/>
    <w:rsid w:val="00936DDD"/>
    <w:rsid w:val="00A02645"/>
    <w:rsid w:val="00A326B9"/>
    <w:rsid w:val="00A72262"/>
    <w:rsid w:val="00A83932"/>
    <w:rsid w:val="00A97634"/>
    <w:rsid w:val="00B04E74"/>
    <w:rsid w:val="00B666F7"/>
    <w:rsid w:val="00C13AF0"/>
    <w:rsid w:val="00C50DD4"/>
    <w:rsid w:val="00CF2117"/>
    <w:rsid w:val="00D1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1B59"/>
  <w15:docId w15:val="{359D7436-F121-1545-B260-70CB14DE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340F77"/>
    <w:pPr>
      <w:spacing w:before="100" w:beforeAutospacing="1" w:after="100" w:afterAutospacing="1"/>
    </w:pPr>
  </w:style>
  <w:style w:type="character" w:styleId="Hyperlink">
    <w:name w:val="Hyperlink"/>
    <w:basedOn w:val="DefaultParagraphFont"/>
    <w:uiPriority w:val="99"/>
    <w:semiHidden/>
    <w:unhideWhenUsed/>
    <w:rsid w:val="00340F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512353">
      <w:bodyDiv w:val="1"/>
      <w:marLeft w:val="0"/>
      <w:marRight w:val="0"/>
      <w:marTop w:val="0"/>
      <w:marBottom w:val="0"/>
      <w:divBdr>
        <w:top w:val="none" w:sz="0" w:space="0" w:color="auto"/>
        <w:left w:val="none" w:sz="0" w:space="0" w:color="auto"/>
        <w:bottom w:val="none" w:sz="0" w:space="0" w:color="auto"/>
        <w:right w:val="none" w:sz="0" w:space="0" w:color="auto"/>
      </w:divBdr>
      <w:divsChild>
        <w:div w:id="391580120">
          <w:marLeft w:val="-4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ritter.tea.state.tx.us/rules/tac/chapter074/ch074a.html" TargetMode="External"/><Relationship Id="rId3" Type="http://schemas.openxmlformats.org/officeDocument/2006/relationships/styles" Target="styles.xml"/><Relationship Id="rId7" Type="http://schemas.openxmlformats.org/officeDocument/2006/relationships/hyperlink" Target="https://deanofstudents.unt.edu/conduc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anofstudents.unt.edu/resources/food-pantr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a.texas.gov/WorkArea/linkit.aspx?LinkIdentifier=id&amp;ItemID=51539612985" TargetMode="External"/><Relationship Id="rId4" Type="http://schemas.openxmlformats.org/officeDocument/2006/relationships/settings" Target="settings.xml"/><Relationship Id="rId9" Type="http://schemas.openxmlformats.org/officeDocument/2006/relationships/hyperlink" Target="http://www.thecb.state.tx.us/index.cfm?objectid=EADF962E-0E3E-DA80-BAAD2496062F3C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61765-4608-B148-AE37-A13DE218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Danelle Adeniji</cp:lastModifiedBy>
  <cp:revision>5</cp:revision>
  <dcterms:created xsi:type="dcterms:W3CDTF">2024-08-14T13:36:00Z</dcterms:created>
  <dcterms:modified xsi:type="dcterms:W3CDTF">2024-10-09T15:52:00Z</dcterms:modified>
</cp:coreProperties>
</file>