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86597" w14:textId="1237B15B" w:rsidR="00E04EBB" w:rsidRPr="00E04EBB" w:rsidRDefault="00E04EBB" w:rsidP="00C14845">
      <w:pPr>
        <w:pStyle w:val="Heading2"/>
        <w:rPr>
          <w:rStyle w:val="Strong"/>
          <w:rFonts w:ascii="Lato" w:hAnsi="Lato" w:cs="Lato"/>
          <w:color w:val="008000"/>
          <w:sz w:val="32"/>
          <w:szCs w:val="32"/>
          <w:shd w:val="clear" w:color="auto" w:fill="FFFFFF"/>
        </w:rPr>
      </w:pPr>
      <w:r w:rsidRPr="00E04EBB">
        <w:rPr>
          <w:rStyle w:val="Strong"/>
          <w:rFonts w:ascii="Lato" w:hAnsi="Lato" w:cs="Lato"/>
          <w:color w:val="008000"/>
          <w:sz w:val="32"/>
          <w:szCs w:val="32"/>
          <w:shd w:val="clear" w:color="auto" w:fill="FFFFFF"/>
        </w:rPr>
        <w:t xml:space="preserve">EDEE 3320 </w:t>
      </w:r>
      <w:r w:rsidRPr="00E04EBB">
        <w:rPr>
          <w:rStyle w:val="Strong"/>
          <w:rFonts w:ascii="Lato" w:hAnsi="Lato" w:cs="Lato"/>
          <w:color w:val="008000"/>
          <w:sz w:val="32"/>
          <w:szCs w:val="32"/>
          <w:shd w:val="clear" w:color="auto" w:fill="FFFFFF"/>
        </w:rPr>
        <w:t>Foundations of Education: The School Curriculum</w:t>
      </w:r>
    </w:p>
    <w:p w14:paraId="5050E8A2" w14:textId="5D8DAED1" w:rsidR="002F6AB1" w:rsidRPr="00E04EBB" w:rsidRDefault="00D40C61" w:rsidP="00C14845">
      <w:pPr>
        <w:pStyle w:val="Heading2"/>
        <w:rPr>
          <w:b/>
          <w:bCs/>
          <w:color w:val="538135" w:themeColor="accent6" w:themeShade="BF"/>
        </w:rPr>
      </w:pPr>
      <w:r w:rsidRPr="00E04EBB">
        <w:rPr>
          <w:b/>
          <w:bCs/>
          <w:color w:val="538135" w:themeColor="accent6" w:themeShade="BF"/>
        </w:rPr>
        <w:t>Instructor Contact</w:t>
      </w:r>
    </w:p>
    <w:p w14:paraId="4AF961DF" w14:textId="6789ABB8" w:rsidR="00D40C61" w:rsidRDefault="00D40C61" w:rsidP="00D40C61">
      <w:pPr>
        <w:spacing w:after="0"/>
        <w:rPr>
          <w:b/>
        </w:rPr>
      </w:pPr>
      <w:r w:rsidRPr="0028285A">
        <w:rPr>
          <w:b/>
        </w:rPr>
        <w:t>Name:</w:t>
      </w:r>
      <w:r w:rsidR="00E04EBB">
        <w:rPr>
          <w:b/>
        </w:rPr>
        <w:t xml:space="preserve"> Christopher S. Long, Ph.D.</w:t>
      </w:r>
    </w:p>
    <w:p w14:paraId="2BA48B8B" w14:textId="11C5105A" w:rsidR="005C7253" w:rsidRPr="0028285A" w:rsidRDefault="005C7253" w:rsidP="00D40C61">
      <w:pPr>
        <w:spacing w:after="0"/>
        <w:rPr>
          <w:b/>
        </w:rPr>
      </w:pPr>
      <w:r>
        <w:rPr>
          <w:b/>
        </w:rPr>
        <w:t>Pronouns:</w:t>
      </w:r>
      <w:r w:rsidR="00E04EBB">
        <w:rPr>
          <w:b/>
        </w:rPr>
        <w:t xml:space="preserve"> He/Him/His</w:t>
      </w:r>
    </w:p>
    <w:p w14:paraId="5C2C8BBD" w14:textId="39F5739D" w:rsidR="00D40C61" w:rsidRPr="0028285A" w:rsidRDefault="00D40C61" w:rsidP="00D40C61">
      <w:pPr>
        <w:spacing w:after="0"/>
        <w:rPr>
          <w:b/>
        </w:rPr>
      </w:pPr>
      <w:r w:rsidRPr="0028285A">
        <w:rPr>
          <w:b/>
        </w:rPr>
        <w:t>Office Location:</w:t>
      </w:r>
      <w:r w:rsidR="00E04EBB">
        <w:rPr>
          <w:b/>
        </w:rPr>
        <w:t xml:space="preserve"> MH 218-C</w:t>
      </w:r>
      <w:r w:rsidR="00E04EBB">
        <w:rPr>
          <w:b/>
        </w:rPr>
        <w:tab/>
      </w:r>
    </w:p>
    <w:p w14:paraId="33F9C8CC" w14:textId="0B00EB6F" w:rsidR="00D40C61" w:rsidRPr="0028285A" w:rsidRDefault="00D40C61" w:rsidP="00D40C61">
      <w:pPr>
        <w:spacing w:after="0"/>
        <w:rPr>
          <w:b/>
        </w:rPr>
      </w:pPr>
      <w:r w:rsidRPr="0028285A">
        <w:rPr>
          <w:b/>
        </w:rPr>
        <w:t>Phone Number:</w:t>
      </w:r>
      <w:r w:rsidR="00E04EBB">
        <w:rPr>
          <w:b/>
        </w:rPr>
        <w:t xml:space="preserve"> (940) 565-2939</w:t>
      </w:r>
    </w:p>
    <w:p w14:paraId="10990C9C" w14:textId="483EA173" w:rsidR="00D40C61" w:rsidRPr="0028285A" w:rsidRDefault="00D40C61" w:rsidP="00D40C61">
      <w:pPr>
        <w:spacing w:after="0"/>
        <w:rPr>
          <w:b/>
        </w:rPr>
      </w:pPr>
      <w:r w:rsidRPr="0028285A">
        <w:rPr>
          <w:b/>
        </w:rPr>
        <w:t>Office Hours:</w:t>
      </w:r>
      <w:r w:rsidR="00E04EBB">
        <w:rPr>
          <w:b/>
        </w:rPr>
        <w:t xml:space="preserve"> MTWR 10:00 -11:00</w:t>
      </w:r>
    </w:p>
    <w:p w14:paraId="5A856F9F" w14:textId="33A4E252" w:rsidR="00D40C61" w:rsidRPr="0028285A" w:rsidRDefault="00D40C61" w:rsidP="00D40C61">
      <w:pPr>
        <w:spacing w:after="0"/>
        <w:rPr>
          <w:b/>
        </w:rPr>
      </w:pPr>
      <w:r w:rsidRPr="0028285A">
        <w:rPr>
          <w:b/>
        </w:rPr>
        <w:t>Email:</w:t>
      </w:r>
      <w:r w:rsidR="00E04EBB">
        <w:rPr>
          <w:b/>
        </w:rPr>
        <w:t xml:space="preserve"> Chris.Long@UNT.edu</w:t>
      </w:r>
    </w:p>
    <w:p w14:paraId="4C181462" w14:textId="510027BA" w:rsidR="00D40C61" w:rsidRDefault="00D40C61" w:rsidP="002446DC">
      <w:r w:rsidRPr="0028285A">
        <w:rPr>
          <w:b/>
        </w:rPr>
        <w:t>Communication Expectations:</w:t>
      </w:r>
      <w:r w:rsidR="0095468F">
        <w:t xml:space="preserve"> </w:t>
      </w:r>
      <w:r w:rsidR="00E04EBB">
        <w:t>Please use my e-mail address (</w:t>
      </w:r>
      <w:hyperlink r:id="rId7" w:history="1">
        <w:r w:rsidR="00E04EBB" w:rsidRPr="00796523">
          <w:rPr>
            <w:rStyle w:val="Hyperlink"/>
          </w:rPr>
          <w:t>Chris.Long@UNT.edu</w:t>
        </w:r>
      </w:hyperlink>
      <w:r w:rsidR="00E04EBB">
        <w:t xml:space="preserve">) for all correspondence and </w:t>
      </w:r>
      <w:r w:rsidR="00E04EBB" w:rsidRPr="00AA552C">
        <w:rPr>
          <w:b/>
          <w:bCs/>
        </w:rPr>
        <w:t>NOT CANVAS</w:t>
      </w:r>
      <w:r w:rsidR="00E04EBB">
        <w:t xml:space="preserve">. </w:t>
      </w:r>
      <w:r w:rsidR="0095468F" w:rsidRPr="0095468F">
        <w:t xml:space="preserve"> </w:t>
      </w:r>
      <w:r w:rsidR="00E04EBB">
        <w:t xml:space="preserve">This allows me to respond to you more easily than going through </w:t>
      </w:r>
      <w:r w:rsidR="00AA552C">
        <w:t>CANVAS which</w:t>
      </w:r>
      <w:r w:rsidR="00E04EBB">
        <w:t xml:space="preserve"> means I will be able to get back to you in more timely manner. My goal is to respond to all student e-mail in less than 24-hours</w:t>
      </w:r>
      <w:r w:rsidR="0095468F" w:rsidRPr="0095468F">
        <w:t xml:space="preserve">. </w:t>
      </w:r>
    </w:p>
    <w:p w14:paraId="6F93C53A" w14:textId="78C4B106" w:rsidR="005C7253" w:rsidRPr="00E04EBB" w:rsidRDefault="005C7253" w:rsidP="005C7253">
      <w:pPr>
        <w:pStyle w:val="Heading2"/>
        <w:rPr>
          <w:b/>
          <w:bCs/>
          <w:color w:val="538135" w:themeColor="accent6" w:themeShade="BF"/>
        </w:rPr>
      </w:pPr>
      <w:r w:rsidRPr="00E04EBB">
        <w:rPr>
          <w:b/>
          <w:bCs/>
          <w:color w:val="538135" w:themeColor="accent6" w:themeShade="BF"/>
        </w:rP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Pr="00E04EBB" w:rsidRDefault="00D40C61" w:rsidP="00C14845">
      <w:pPr>
        <w:pStyle w:val="Heading2"/>
        <w:rPr>
          <w:b/>
          <w:bCs/>
          <w:color w:val="538135" w:themeColor="accent6" w:themeShade="BF"/>
        </w:rPr>
      </w:pPr>
      <w:r w:rsidRPr="00E04EBB">
        <w:rPr>
          <w:b/>
          <w:bCs/>
          <w:color w:val="538135" w:themeColor="accent6" w:themeShade="BF"/>
        </w:rPr>
        <w:t>Course Description</w:t>
      </w:r>
    </w:p>
    <w:p w14:paraId="7AA1EAEB" w14:textId="0E00E3E3" w:rsidR="00D40C61" w:rsidRDefault="005703B8" w:rsidP="00D40C61">
      <w:pPr>
        <w:rPr>
          <w:rFonts w:ascii="Calibri" w:hAnsi="Calibri" w:cs="Calibri"/>
          <w:color w:val="000000"/>
        </w:rPr>
      </w:pPr>
      <w:r>
        <w:rPr>
          <w:rFonts w:ascii="Calibri" w:hAnsi="Calibri" w:cs="Calibri"/>
          <w:color w:val="000000"/>
        </w:rPr>
        <w:t>3 hours. Principles and foundations of curriculum for grades EC–8 in public schools. Includes study of professional ethics/responsibilities, educational philosophies, history of American education, schools and society, school and community/parent relationships, legal/political control and financial support, school/classroom organizational patterns, and curriculum development/alignment.  Prerequisite(s): None.</w:t>
      </w:r>
    </w:p>
    <w:p w14:paraId="6C2759CC" w14:textId="77777777" w:rsidR="00AA552C" w:rsidRPr="00AA552C" w:rsidRDefault="00AA552C" w:rsidP="00AA552C">
      <w:pPr>
        <w:pStyle w:val="Heading2"/>
        <w:rPr>
          <w:b/>
          <w:bCs/>
          <w:color w:val="538135" w:themeColor="accent6" w:themeShade="BF"/>
        </w:rPr>
      </w:pPr>
      <w:r w:rsidRPr="00AA552C">
        <w:rPr>
          <w:b/>
          <w:bCs/>
          <w:color w:val="538135" w:themeColor="accent6" w:themeShade="BF"/>
        </w:rPr>
        <w:t>Purpose and Rationale</w:t>
      </w:r>
    </w:p>
    <w:p w14:paraId="3CACCE49" w14:textId="4D6CA582" w:rsidR="00AA552C" w:rsidRPr="00AA552C" w:rsidRDefault="00AA552C" w:rsidP="00AA552C">
      <w:r w:rsidRPr="00AA552C">
        <w:t xml:space="preserve">The goal of this course is to engage learners in understanding and analyzing the contextualized nature of our American </w:t>
      </w:r>
      <w:r w:rsidRPr="00AA552C">
        <w:t>public-school</w:t>
      </w:r>
      <w:r w:rsidRPr="00AA552C">
        <w:t xml:space="preserve"> system. This course delves into the historical, cultural, political, and social contexts that influence the U.S. school curriculum. </w:t>
      </w:r>
    </w:p>
    <w:p w14:paraId="4C72A501" w14:textId="1802A6DA" w:rsidR="00AA552C" w:rsidRPr="00AA552C" w:rsidRDefault="00AA552C" w:rsidP="00AA552C">
      <w:r w:rsidRPr="00AA552C">
        <w:rPr>
          <w:i/>
          <w:iCs/>
        </w:rPr>
        <w:t>“What is the curriculum</w:t>
      </w:r>
      <w:r w:rsidRPr="00AA552C">
        <w:rPr>
          <w:i/>
          <w:iCs/>
        </w:rPr>
        <w:t>?” ...</w:t>
      </w:r>
      <w:r w:rsidRPr="00AA552C">
        <w:t>This will be the motivating question for the course. While on the surface, it may seem a simple question with a simple answer; this reading of the question fails to convey the complexity of the concept of curriculum.</w:t>
      </w:r>
    </w:p>
    <w:p w14:paraId="6530F313" w14:textId="5DBBA9A6" w:rsidR="00AA552C" w:rsidRPr="00AA552C" w:rsidRDefault="00AA552C" w:rsidP="00AA552C">
      <w:r w:rsidRPr="00AA552C">
        <w:t xml:space="preserve">“Curriculum” is broadly defined for the purposes of this course, including both schooling and non-schooling contexts (such as popular culture) that are educative and influential for young people. This course will investigate foundations of curriculum, in the senses described above, </w:t>
      </w:r>
      <w:r w:rsidRPr="00AA552C">
        <w:t>through</w:t>
      </w:r>
      <w:r w:rsidRPr="00AA552C">
        <w:t xml:space="preserve"> the specific lenses of critical social theory and critical pedagogy. Our concern will be to explore through this scholarship the ways in which society and education have been organized by forces of inequality, ideological hegemony, domination, and exploitation; against these forces, we will consider how curriculum might come to be organized in critical, emancipatory, and transformative ways. It is expected that this course will help students along the path of imagining and developing alternative meanings and </w:t>
      </w:r>
      <w:r w:rsidRPr="00AA552C">
        <w:lastRenderedPageBreak/>
        <w:t>possibilities for teaching and learning in social context, and that it will provide a set of important theoretical tools for the ongoing pursuit of this project. To be clear, this course will focus on developing a curriculum centering the lives, experiences, and histories of culturally diverse students.</w:t>
      </w:r>
    </w:p>
    <w:p w14:paraId="30BE4424" w14:textId="77777777" w:rsidR="00D40C61" w:rsidRPr="00E04EBB" w:rsidRDefault="00D40C61" w:rsidP="00C14845">
      <w:pPr>
        <w:pStyle w:val="Heading2"/>
        <w:rPr>
          <w:b/>
          <w:bCs/>
          <w:color w:val="538135" w:themeColor="accent6" w:themeShade="BF"/>
        </w:rPr>
      </w:pPr>
      <w:r w:rsidRPr="00E04EBB">
        <w:rPr>
          <w:b/>
          <w:bCs/>
          <w:color w:val="538135" w:themeColor="accent6" w:themeShade="BF"/>
        </w:rPr>
        <w:t>Course Structure</w:t>
      </w:r>
    </w:p>
    <w:p w14:paraId="0E48DBD8" w14:textId="7920DB83" w:rsidR="00D40C61" w:rsidRDefault="00AA552C" w:rsidP="00D40C61">
      <w:r>
        <w:t xml:space="preserve">This course will consist of several </w:t>
      </w:r>
      <w:r w:rsidR="00D921FA">
        <w:t xml:space="preserve">Canvas </w:t>
      </w:r>
      <w:r>
        <w:t>modules that we will work through over the semester. There will be an assignment each of the 19 course days. We will also have periodic synchronous Zoom sessions, generally twice a week</w:t>
      </w:r>
      <w:r w:rsidR="00D921FA">
        <w:t>.</w:t>
      </w:r>
    </w:p>
    <w:p w14:paraId="1C269AE1" w14:textId="77777777" w:rsidR="00D40C61" w:rsidRPr="00E04EBB" w:rsidRDefault="00D40C61" w:rsidP="00C14845">
      <w:pPr>
        <w:pStyle w:val="Heading2"/>
        <w:rPr>
          <w:b/>
          <w:bCs/>
          <w:color w:val="538135" w:themeColor="accent6" w:themeShade="BF"/>
        </w:rPr>
      </w:pPr>
      <w:r w:rsidRPr="00E04EBB">
        <w:rPr>
          <w:b/>
          <w:bCs/>
          <w:color w:val="538135" w:themeColor="accent6" w:themeShade="BF"/>
        </w:rPr>
        <w:t>Course Prerequisites or Other Restrictions</w:t>
      </w:r>
    </w:p>
    <w:p w14:paraId="10106011" w14:textId="57E60F21" w:rsidR="00D40C61" w:rsidRPr="00D40C61" w:rsidRDefault="005703B8" w:rsidP="00D40C61">
      <w:pPr>
        <w:spacing w:after="0"/>
      </w:pPr>
      <w:r>
        <w:t>None</w:t>
      </w:r>
    </w:p>
    <w:p w14:paraId="5F4213BD" w14:textId="77777777" w:rsidR="00D40C61" w:rsidRPr="00E04EBB" w:rsidRDefault="00D40C61" w:rsidP="00C14845">
      <w:pPr>
        <w:pStyle w:val="Heading2"/>
        <w:rPr>
          <w:b/>
          <w:bCs/>
          <w:color w:val="538135" w:themeColor="accent6" w:themeShade="BF"/>
        </w:rPr>
      </w:pPr>
      <w:r w:rsidRPr="00E04EBB">
        <w:rPr>
          <w:b/>
          <w:bCs/>
          <w:color w:val="538135" w:themeColor="accent6" w:themeShade="BF"/>
        </w:rPr>
        <w:t>Course Objectives</w:t>
      </w:r>
    </w:p>
    <w:p w14:paraId="7CA45C4B" w14:textId="77777777" w:rsidR="005703B8" w:rsidRDefault="005703B8" w:rsidP="005703B8">
      <w:pPr>
        <w:pStyle w:val="NormalWeb"/>
        <w:spacing w:before="0" w:beforeAutospacing="0" w:after="180" w:afterAutospacing="0"/>
        <w:jc w:val="both"/>
      </w:pPr>
      <w:r>
        <w:rPr>
          <w:rFonts w:ascii="Calibri" w:hAnsi="Calibri" w:cs="Calibri"/>
          <w:color w:val="000000"/>
          <w:sz w:val="22"/>
          <w:szCs w:val="22"/>
        </w:rPr>
        <w:t>Students completing EDEE 3320 will be able to:</w:t>
      </w:r>
    </w:p>
    <w:p w14:paraId="4875A69A" w14:textId="77777777" w:rsidR="005703B8" w:rsidRDefault="005703B8" w:rsidP="005703B8">
      <w:pPr>
        <w:pStyle w:val="NormalWeb"/>
        <w:numPr>
          <w:ilvl w:val="0"/>
          <w:numId w:val="8"/>
        </w:numPr>
        <w:spacing w:before="0" w:beforeAutospacing="0" w:after="180" w:afterAutospacing="0"/>
        <w:jc w:val="both"/>
        <w:textAlignment w:val="baseline"/>
        <w:rPr>
          <w:rFonts w:ascii="Calibri" w:hAnsi="Calibri" w:cs="Calibri"/>
          <w:color w:val="000000"/>
          <w:sz w:val="22"/>
          <w:szCs w:val="22"/>
        </w:rPr>
      </w:pPr>
      <w:r>
        <w:rPr>
          <w:rFonts w:ascii="Calibri" w:hAnsi="Calibri" w:cs="Calibri"/>
          <w:color w:val="000000"/>
          <w:sz w:val="22"/>
          <w:szCs w:val="22"/>
        </w:rPr>
        <w:t>Investigate historical and contemporary perspectives on curriculum issues within the field of curriculum studies.</w:t>
      </w:r>
    </w:p>
    <w:p w14:paraId="64853770" w14:textId="77777777" w:rsidR="005703B8" w:rsidRDefault="005703B8" w:rsidP="005703B8">
      <w:pPr>
        <w:pStyle w:val="NormalWeb"/>
        <w:numPr>
          <w:ilvl w:val="0"/>
          <w:numId w:val="8"/>
        </w:numPr>
        <w:spacing w:before="0" w:beforeAutospacing="0" w:after="180" w:afterAutospacing="0"/>
        <w:jc w:val="both"/>
        <w:textAlignment w:val="baseline"/>
        <w:rPr>
          <w:rFonts w:ascii="Calibri" w:hAnsi="Calibri" w:cs="Calibri"/>
          <w:color w:val="000000"/>
          <w:sz w:val="22"/>
          <w:szCs w:val="22"/>
        </w:rPr>
      </w:pPr>
      <w:r>
        <w:rPr>
          <w:rFonts w:ascii="Calibri" w:hAnsi="Calibri" w:cs="Calibri"/>
          <w:color w:val="000000"/>
          <w:sz w:val="22"/>
          <w:szCs w:val="22"/>
        </w:rPr>
        <w:t>Analyze the social, cultural, and political conditions within which the actual curriculum is enacted and experienced.  </w:t>
      </w:r>
    </w:p>
    <w:p w14:paraId="65ACA731" w14:textId="77777777" w:rsidR="005703B8" w:rsidRDefault="005703B8" w:rsidP="005703B8">
      <w:pPr>
        <w:pStyle w:val="NormalWeb"/>
        <w:numPr>
          <w:ilvl w:val="0"/>
          <w:numId w:val="8"/>
        </w:numPr>
        <w:spacing w:before="0" w:beforeAutospacing="0" w:after="180" w:afterAutospacing="0"/>
        <w:jc w:val="both"/>
        <w:textAlignment w:val="baseline"/>
        <w:rPr>
          <w:rFonts w:ascii="Calibri" w:hAnsi="Calibri" w:cs="Calibri"/>
          <w:color w:val="000000"/>
          <w:sz w:val="22"/>
          <w:szCs w:val="22"/>
        </w:rPr>
      </w:pPr>
      <w:r>
        <w:rPr>
          <w:rFonts w:ascii="Calibri" w:hAnsi="Calibri" w:cs="Calibri"/>
          <w:color w:val="000000"/>
          <w:sz w:val="22"/>
          <w:szCs w:val="22"/>
        </w:rPr>
        <w:t>Draw on the different practices of curriculum theorizing to analyze and/or disrupt one’s understanding of the concept of “curriculum”. </w:t>
      </w:r>
    </w:p>
    <w:p w14:paraId="1212193C" w14:textId="7BF20DFE" w:rsidR="00F41A70" w:rsidRPr="005703B8" w:rsidRDefault="005703B8" w:rsidP="005703B8">
      <w:pPr>
        <w:pStyle w:val="NormalWeb"/>
        <w:numPr>
          <w:ilvl w:val="0"/>
          <w:numId w:val="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Develop curriculum and teaching strategies that challenge unjust social structures and allow all children to learn and grow into citizens who will be actively involved in this democracy.</w:t>
      </w:r>
    </w:p>
    <w:p w14:paraId="54FAED61" w14:textId="77777777" w:rsidR="00244604" w:rsidRPr="00B57BC0" w:rsidRDefault="00244604" w:rsidP="00C14845">
      <w:pPr>
        <w:pStyle w:val="Heading2"/>
        <w:rPr>
          <w:b/>
          <w:bCs/>
          <w:color w:val="FF0000"/>
        </w:rPr>
      </w:pPr>
      <w:r w:rsidRPr="00B57BC0">
        <w:rPr>
          <w:b/>
          <w:bCs/>
          <w:color w:val="FF0000"/>
        </w:rPr>
        <w:t>Materials</w:t>
      </w:r>
    </w:p>
    <w:p w14:paraId="3971819F" w14:textId="780185C3" w:rsidR="00244604" w:rsidRPr="00244604" w:rsidRDefault="00244604" w:rsidP="00244604">
      <w:r w:rsidRPr="00244604">
        <w:rPr>
          <w:rFonts w:cs="Arial"/>
          <w:iCs/>
        </w:rPr>
        <w:t xml:space="preserve">Insert full bibliographic entry for each textbook required for the course. Use </w:t>
      </w:r>
      <w:r w:rsidR="006F5F75">
        <w:rPr>
          <w:rFonts w:cs="Arial"/>
          <w:iCs/>
        </w:rPr>
        <w:t>the citation style appropriate to your department</w:t>
      </w:r>
      <w:r w:rsidRPr="00244604">
        <w:rPr>
          <w:rFonts w:cs="Arial"/>
          <w:iCs/>
        </w:rPr>
        <w:t>. The format used in this part sh</w:t>
      </w:r>
      <w:r>
        <w:rPr>
          <w:rFonts w:cs="Arial"/>
          <w:iCs/>
        </w:rPr>
        <w:t>ould be the form you require</w:t>
      </w:r>
      <w:r w:rsidRPr="00244604">
        <w:rPr>
          <w:rFonts w:cs="Arial"/>
          <w:iCs/>
        </w:rPr>
        <w:t xml:space="preserve"> students to use.</w:t>
      </w:r>
    </w:p>
    <w:p w14:paraId="5286935E" w14:textId="77777777" w:rsidR="00244604" w:rsidRDefault="00244604" w:rsidP="00244604">
      <w:pPr>
        <w:numPr>
          <w:ilvl w:val="0"/>
          <w:numId w:val="1"/>
        </w:numPr>
        <w:spacing w:after="0" w:line="276" w:lineRule="auto"/>
        <w:rPr>
          <w:i/>
        </w:rPr>
      </w:pPr>
      <w:r w:rsidRPr="002A60D7">
        <w:t>Textbook information (title, author, date and edition, publisher, cost, where available)</w:t>
      </w:r>
      <w:r>
        <w:t xml:space="preserve">: </w:t>
      </w:r>
    </w:p>
    <w:p w14:paraId="0FD0587D" w14:textId="77777777" w:rsidR="00244604" w:rsidRPr="002A60D7" w:rsidRDefault="0097126D" w:rsidP="00244604">
      <w:pPr>
        <w:numPr>
          <w:ilvl w:val="0"/>
          <w:numId w:val="1"/>
        </w:numPr>
        <w:spacing w:after="0" w:line="276" w:lineRule="auto"/>
        <w:rPr>
          <w:i/>
        </w:rPr>
      </w:pPr>
      <w:r>
        <w:t>If you provide an image of the textbook(s), make sure the images include alt-tags.</w:t>
      </w:r>
    </w:p>
    <w:p w14:paraId="46DF76FF" w14:textId="77777777" w:rsidR="00244604" w:rsidRDefault="00244604" w:rsidP="00244604">
      <w:pPr>
        <w:numPr>
          <w:ilvl w:val="0"/>
          <w:numId w:val="1"/>
        </w:numPr>
        <w:spacing w:after="0" w:line="276" w:lineRule="auto"/>
      </w:pPr>
      <w:r w:rsidRPr="002A60D7">
        <w:t>Other required materials and/or readings</w:t>
      </w:r>
    </w:p>
    <w:p w14:paraId="05E4E856" w14:textId="77777777" w:rsidR="00244604" w:rsidRPr="002A60D7" w:rsidRDefault="00244604" w:rsidP="00244604">
      <w:pPr>
        <w:numPr>
          <w:ilvl w:val="0"/>
          <w:numId w:val="1"/>
        </w:numPr>
        <w:spacing w:after="200" w:line="276" w:lineRule="auto"/>
      </w:pPr>
      <w:r w:rsidRPr="002A60D7">
        <w:t>Supplementary materials and/or readings (including whether they are required or recommended)</w:t>
      </w:r>
    </w:p>
    <w:p w14:paraId="0611835C" w14:textId="7AB3EDC7" w:rsidR="00271577" w:rsidRPr="005703B8" w:rsidRDefault="005C7253" w:rsidP="00C14845">
      <w:pPr>
        <w:pStyle w:val="Heading2"/>
        <w:rPr>
          <w:b/>
          <w:bCs/>
          <w:color w:val="538135" w:themeColor="accent6" w:themeShade="BF"/>
        </w:rPr>
      </w:pPr>
      <w:r w:rsidRPr="005703B8">
        <w:rPr>
          <w:b/>
          <w:bCs/>
          <w:color w:val="538135" w:themeColor="accent6" w:themeShade="BF"/>
        </w:rPr>
        <w:t>Course Technology &amp;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950D14" w:rsidP="005C756C">
      <w:pPr>
        <w:pStyle w:val="ListParagraph"/>
        <w:numPr>
          <w:ilvl w:val="0"/>
          <w:numId w:val="2"/>
        </w:numPr>
        <w:rPr>
          <w:rStyle w:val="Hyperlink"/>
          <w:color w:val="auto"/>
          <w:u w:val="none"/>
        </w:rPr>
      </w:pPr>
      <w:hyperlink r:id="rId8"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Pr="005703B8" w:rsidRDefault="002F7630" w:rsidP="005703B8">
      <w:pPr>
        <w:pStyle w:val="Heading2"/>
        <w:rPr>
          <w:b/>
          <w:bCs/>
          <w:color w:val="538135" w:themeColor="accent6" w:themeShade="BF"/>
        </w:rPr>
      </w:pPr>
      <w:r w:rsidRPr="005703B8">
        <w:rPr>
          <w:b/>
          <w:bCs/>
          <w:color w:val="538135" w:themeColor="accent6" w:themeShade="BF"/>
        </w:rP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79D374C3" w14:textId="4B9A3993" w:rsidR="002F7630" w:rsidRDefault="002F7630" w:rsidP="002F7630">
      <w:pPr>
        <w:pStyle w:val="ListParagraph"/>
        <w:numPr>
          <w:ilvl w:val="0"/>
          <w:numId w:val="3"/>
        </w:numPr>
      </w:pPr>
      <w:r>
        <w:t>Using presentation and graphics programs</w:t>
      </w:r>
    </w:p>
    <w:p w14:paraId="3125ADF1" w14:textId="77777777" w:rsidR="005C7253" w:rsidRPr="005703B8" w:rsidRDefault="005C7253" w:rsidP="005703B8">
      <w:pPr>
        <w:pStyle w:val="Heading2"/>
        <w:rPr>
          <w:b/>
          <w:bCs/>
          <w:color w:val="538135" w:themeColor="accent6" w:themeShade="BF"/>
        </w:rPr>
      </w:pPr>
      <w:r w:rsidRPr="005703B8">
        <w:rPr>
          <w:b/>
          <w:bCs/>
          <w:color w:val="538135" w:themeColor="accent6" w:themeShade="BF"/>
        </w:rP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9"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0"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1"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Pr="005703B8" w:rsidRDefault="007B1815" w:rsidP="005703B8">
      <w:pPr>
        <w:pStyle w:val="Heading2"/>
        <w:rPr>
          <w:b/>
          <w:bCs/>
          <w:color w:val="538135" w:themeColor="accent6" w:themeShade="BF"/>
        </w:rPr>
      </w:pPr>
      <w:r w:rsidRPr="005703B8">
        <w:rPr>
          <w:b/>
          <w:bCs/>
          <w:color w:val="538135" w:themeColor="accent6" w:themeShade="BF"/>
        </w:rPr>
        <w:t>Rules of Engagement</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lastRenderedPageBreak/>
        <w:t>Keep in mind that online posts can be permanent, so think first before you type.</w:t>
      </w:r>
    </w:p>
    <w:p w14:paraId="5E3AB0F8" w14:textId="77C62C12" w:rsidR="00291946" w:rsidRDefault="006E25C5" w:rsidP="00EC6692">
      <w:pPr>
        <w:pStyle w:val="Heading2"/>
      </w:pPr>
      <w:r w:rsidRPr="005703B8">
        <w:rPr>
          <w:b/>
          <w:bCs/>
          <w:color w:val="538135" w:themeColor="accent6" w:themeShade="BF"/>
        </w:rPr>
        <w:t>Course</w:t>
      </w:r>
      <w:r>
        <w:t xml:space="preserve"> </w:t>
      </w:r>
      <w:r w:rsidRPr="005703B8">
        <w:rPr>
          <w:b/>
          <w:bCs/>
          <w:color w:val="538135" w:themeColor="accent6" w:themeShade="BF"/>
        </w:rPr>
        <w:t>Requirements</w:t>
      </w:r>
    </w:p>
    <w:p w14:paraId="7529F782" w14:textId="3DE74206" w:rsidR="006E25C5" w:rsidRPr="006E25C5" w:rsidRDefault="006E25C5" w:rsidP="006E25C5"/>
    <w:tbl>
      <w:tblPr>
        <w:tblStyle w:val="TableGrid"/>
        <w:tblW w:w="7740" w:type="dxa"/>
        <w:jc w:val="center"/>
        <w:tblLook w:val="04A0" w:firstRow="1" w:lastRow="0" w:firstColumn="1" w:lastColumn="0" w:noHBand="0" w:noVBand="1"/>
        <w:tblDescription w:val="Course Requirements Table"/>
      </w:tblPr>
      <w:tblGrid>
        <w:gridCol w:w="4665"/>
        <w:gridCol w:w="1537"/>
        <w:gridCol w:w="1538"/>
      </w:tblGrid>
      <w:tr w:rsidR="006E25C5" w:rsidRPr="006E25C5" w14:paraId="74CFE660" w14:textId="77777777" w:rsidTr="005D5441">
        <w:trPr>
          <w:trHeight w:val="765"/>
          <w:tblHeader/>
          <w:jc w:val="center"/>
        </w:trPr>
        <w:tc>
          <w:tcPr>
            <w:tcW w:w="4665" w:type="dxa"/>
            <w:hideMark/>
          </w:tcPr>
          <w:p w14:paraId="66091F0D"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Assignment</w:t>
            </w:r>
          </w:p>
        </w:tc>
        <w:tc>
          <w:tcPr>
            <w:tcW w:w="1537" w:type="dxa"/>
            <w:hideMark/>
          </w:tcPr>
          <w:p w14:paraId="06F91410"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8" w:type="dxa"/>
            <w:hideMark/>
          </w:tcPr>
          <w:p w14:paraId="1C83513A"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E25C5" w:rsidRPr="006E25C5" w14:paraId="65779693" w14:textId="77777777" w:rsidTr="005D5441">
        <w:trPr>
          <w:jc w:val="center"/>
        </w:trPr>
        <w:tc>
          <w:tcPr>
            <w:tcW w:w="4665" w:type="dxa"/>
            <w:hideMark/>
          </w:tcPr>
          <w:p w14:paraId="66C5D594" w14:textId="2FBB46C0"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 xml:space="preserve">Assignment 1 – </w:t>
            </w:r>
            <w:r w:rsidR="00426B06">
              <w:rPr>
                <w:rFonts w:asciiTheme="minorHAnsi" w:hAnsiTheme="minorHAnsi" w:cstheme="minorHAnsi"/>
                <w:b/>
                <w:bCs/>
                <w:i/>
                <w:sz w:val="22"/>
              </w:rPr>
              <w:t>Critical Reading Reflections</w:t>
            </w:r>
          </w:p>
        </w:tc>
        <w:tc>
          <w:tcPr>
            <w:tcW w:w="1537" w:type="dxa"/>
            <w:hideMark/>
          </w:tcPr>
          <w:p w14:paraId="4E9F6D66" w14:textId="2FC3F714" w:rsidR="006E25C5" w:rsidRPr="006E25C5" w:rsidRDefault="00426B06" w:rsidP="005D5441">
            <w:pPr>
              <w:ind w:left="0" w:firstLine="0"/>
              <w:jc w:val="center"/>
              <w:rPr>
                <w:rFonts w:asciiTheme="minorHAnsi" w:hAnsiTheme="minorHAnsi" w:cstheme="minorHAnsi"/>
                <w:i/>
                <w:sz w:val="22"/>
              </w:rPr>
            </w:pPr>
            <w:r>
              <w:rPr>
                <w:rFonts w:asciiTheme="minorHAnsi" w:hAnsiTheme="minorHAnsi" w:cstheme="minorHAnsi"/>
                <w:i/>
                <w:sz w:val="22"/>
              </w:rPr>
              <w:t>1</w:t>
            </w:r>
            <w:r w:rsidR="005D5441">
              <w:rPr>
                <w:rFonts w:asciiTheme="minorHAnsi" w:hAnsiTheme="minorHAnsi" w:cstheme="minorHAnsi"/>
                <w:i/>
                <w:sz w:val="22"/>
              </w:rPr>
              <w:t>50</w:t>
            </w:r>
            <w:r w:rsidR="006E25C5" w:rsidRPr="006E25C5">
              <w:rPr>
                <w:rFonts w:asciiTheme="minorHAnsi" w:hAnsiTheme="minorHAnsi" w:cstheme="minorHAnsi"/>
                <w:i/>
                <w:sz w:val="22"/>
              </w:rPr>
              <w:t>points</w:t>
            </w:r>
          </w:p>
        </w:tc>
        <w:tc>
          <w:tcPr>
            <w:tcW w:w="1538" w:type="dxa"/>
            <w:hideMark/>
          </w:tcPr>
          <w:p w14:paraId="5534CBB4" w14:textId="0CEC7F16" w:rsidR="006E25C5" w:rsidRPr="006E25C5" w:rsidRDefault="006E25C5" w:rsidP="005D5441">
            <w:pPr>
              <w:ind w:left="0" w:firstLine="0"/>
              <w:jc w:val="center"/>
              <w:rPr>
                <w:rFonts w:asciiTheme="minorHAnsi" w:hAnsiTheme="minorHAnsi" w:cstheme="minorHAnsi"/>
                <w:i/>
                <w:sz w:val="22"/>
              </w:rPr>
            </w:pPr>
            <w:r w:rsidRPr="006E25C5">
              <w:rPr>
                <w:rFonts w:asciiTheme="minorHAnsi" w:hAnsiTheme="minorHAnsi" w:cstheme="minorHAnsi"/>
                <w:i/>
                <w:sz w:val="22"/>
              </w:rPr>
              <w:t>1</w:t>
            </w:r>
            <w:r w:rsidR="005D5441">
              <w:rPr>
                <w:rFonts w:asciiTheme="minorHAnsi" w:hAnsiTheme="minorHAnsi" w:cstheme="minorHAnsi"/>
                <w:i/>
                <w:sz w:val="22"/>
              </w:rPr>
              <w:t>5</w:t>
            </w:r>
            <w:r w:rsidRPr="006E25C5">
              <w:rPr>
                <w:rFonts w:asciiTheme="minorHAnsi" w:hAnsiTheme="minorHAnsi" w:cstheme="minorHAnsi"/>
                <w:i/>
                <w:sz w:val="22"/>
              </w:rPr>
              <w:t>%</w:t>
            </w:r>
          </w:p>
        </w:tc>
      </w:tr>
      <w:tr w:rsidR="006E25C5" w:rsidRPr="006E25C5" w14:paraId="00193946" w14:textId="77777777" w:rsidTr="005D5441">
        <w:trPr>
          <w:jc w:val="center"/>
        </w:trPr>
        <w:tc>
          <w:tcPr>
            <w:tcW w:w="4665" w:type="dxa"/>
            <w:hideMark/>
          </w:tcPr>
          <w:p w14:paraId="37D86B9B" w14:textId="38D19F51"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 xml:space="preserve">Assignment 2 – </w:t>
            </w:r>
            <w:r w:rsidR="00426B06">
              <w:rPr>
                <w:rFonts w:asciiTheme="minorHAnsi" w:hAnsiTheme="minorHAnsi" w:cstheme="minorHAnsi"/>
                <w:b/>
                <w:bCs/>
                <w:i/>
                <w:sz w:val="22"/>
              </w:rPr>
              <w:t>TEKS Critique</w:t>
            </w:r>
          </w:p>
        </w:tc>
        <w:tc>
          <w:tcPr>
            <w:tcW w:w="1537" w:type="dxa"/>
            <w:hideMark/>
          </w:tcPr>
          <w:p w14:paraId="04A4E9DC" w14:textId="5BF74F95" w:rsidR="006E25C5" w:rsidRPr="006E25C5" w:rsidRDefault="00426B06" w:rsidP="005D5441">
            <w:pPr>
              <w:ind w:left="0" w:firstLine="0"/>
              <w:jc w:val="center"/>
              <w:rPr>
                <w:rFonts w:asciiTheme="minorHAnsi" w:hAnsiTheme="minorHAnsi" w:cstheme="minorHAnsi"/>
                <w:i/>
                <w:sz w:val="22"/>
              </w:rPr>
            </w:pPr>
            <w:r>
              <w:rPr>
                <w:rFonts w:asciiTheme="minorHAnsi" w:hAnsiTheme="minorHAnsi" w:cstheme="minorHAnsi"/>
                <w:i/>
                <w:sz w:val="22"/>
              </w:rPr>
              <w:t>1</w:t>
            </w:r>
            <w:r w:rsidR="005D5441">
              <w:rPr>
                <w:rFonts w:asciiTheme="minorHAnsi" w:hAnsiTheme="minorHAnsi" w:cstheme="minorHAnsi"/>
                <w:i/>
                <w:sz w:val="22"/>
              </w:rPr>
              <w:t>50</w:t>
            </w:r>
            <w:r w:rsidR="006E25C5" w:rsidRPr="006E25C5">
              <w:rPr>
                <w:rFonts w:asciiTheme="minorHAnsi" w:hAnsiTheme="minorHAnsi" w:cstheme="minorHAnsi"/>
                <w:i/>
                <w:sz w:val="22"/>
              </w:rPr>
              <w:t xml:space="preserve"> points</w:t>
            </w:r>
          </w:p>
        </w:tc>
        <w:tc>
          <w:tcPr>
            <w:tcW w:w="1538" w:type="dxa"/>
            <w:hideMark/>
          </w:tcPr>
          <w:p w14:paraId="45AC5A83" w14:textId="52408FFC" w:rsidR="006E25C5" w:rsidRPr="006E25C5" w:rsidRDefault="006E25C5" w:rsidP="005D5441">
            <w:pPr>
              <w:ind w:left="0" w:firstLine="0"/>
              <w:jc w:val="center"/>
              <w:rPr>
                <w:rFonts w:asciiTheme="minorHAnsi" w:hAnsiTheme="minorHAnsi" w:cstheme="minorHAnsi"/>
                <w:i/>
                <w:sz w:val="22"/>
              </w:rPr>
            </w:pPr>
            <w:r w:rsidRPr="006E25C5">
              <w:rPr>
                <w:rFonts w:asciiTheme="minorHAnsi" w:hAnsiTheme="minorHAnsi" w:cstheme="minorHAnsi"/>
                <w:i/>
                <w:sz w:val="22"/>
              </w:rPr>
              <w:t>1</w:t>
            </w:r>
            <w:r w:rsidR="005D5441">
              <w:rPr>
                <w:rFonts w:asciiTheme="minorHAnsi" w:hAnsiTheme="minorHAnsi" w:cstheme="minorHAnsi"/>
                <w:i/>
                <w:sz w:val="22"/>
              </w:rPr>
              <w:t>5</w:t>
            </w:r>
            <w:r w:rsidRPr="006E25C5">
              <w:rPr>
                <w:rFonts w:asciiTheme="minorHAnsi" w:hAnsiTheme="minorHAnsi" w:cstheme="minorHAnsi"/>
                <w:i/>
                <w:sz w:val="22"/>
              </w:rPr>
              <w:t>%</w:t>
            </w:r>
          </w:p>
        </w:tc>
      </w:tr>
      <w:tr w:rsidR="006E25C5" w:rsidRPr="006E25C5" w14:paraId="2439BC45" w14:textId="77777777" w:rsidTr="005D5441">
        <w:trPr>
          <w:jc w:val="center"/>
        </w:trPr>
        <w:tc>
          <w:tcPr>
            <w:tcW w:w="4665" w:type="dxa"/>
            <w:hideMark/>
          </w:tcPr>
          <w:p w14:paraId="62B6D233" w14:textId="2C4FBA04"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 xml:space="preserve">Assignment 3 – </w:t>
            </w:r>
            <w:r w:rsidR="00426B06">
              <w:rPr>
                <w:rFonts w:asciiTheme="minorHAnsi" w:hAnsiTheme="minorHAnsi" w:cstheme="minorHAnsi"/>
                <w:b/>
                <w:bCs/>
                <w:i/>
                <w:sz w:val="22"/>
              </w:rPr>
              <w:t>TBD</w:t>
            </w:r>
          </w:p>
        </w:tc>
        <w:tc>
          <w:tcPr>
            <w:tcW w:w="1537" w:type="dxa"/>
            <w:hideMark/>
          </w:tcPr>
          <w:p w14:paraId="1AAAC8F8" w14:textId="7B536F20" w:rsidR="006E25C5" w:rsidRPr="006E25C5" w:rsidRDefault="00426B06" w:rsidP="005D5441">
            <w:pPr>
              <w:ind w:left="0" w:firstLine="0"/>
              <w:jc w:val="center"/>
              <w:rPr>
                <w:rFonts w:asciiTheme="minorHAnsi" w:hAnsiTheme="minorHAnsi" w:cstheme="minorHAnsi"/>
                <w:i/>
                <w:sz w:val="22"/>
              </w:rPr>
            </w:pPr>
            <w:r>
              <w:rPr>
                <w:rFonts w:asciiTheme="minorHAnsi" w:hAnsiTheme="minorHAnsi" w:cstheme="minorHAnsi"/>
                <w:i/>
                <w:sz w:val="22"/>
              </w:rPr>
              <w:t>1</w:t>
            </w:r>
            <w:r w:rsidR="005D5441">
              <w:rPr>
                <w:rFonts w:asciiTheme="minorHAnsi" w:hAnsiTheme="minorHAnsi" w:cstheme="minorHAnsi"/>
                <w:i/>
                <w:sz w:val="22"/>
              </w:rPr>
              <w:t>50</w:t>
            </w:r>
            <w:r w:rsidR="006E25C5" w:rsidRPr="006E25C5">
              <w:rPr>
                <w:rFonts w:asciiTheme="minorHAnsi" w:hAnsiTheme="minorHAnsi" w:cstheme="minorHAnsi"/>
                <w:i/>
                <w:sz w:val="22"/>
              </w:rPr>
              <w:t xml:space="preserve"> points</w:t>
            </w:r>
          </w:p>
        </w:tc>
        <w:tc>
          <w:tcPr>
            <w:tcW w:w="1538" w:type="dxa"/>
            <w:hideMark/>
          </w:tcPr>
          <w:p w14:paraId="24EC9C6D" w14:textId="7E46094C" w:rsidR="006E25C5" w:rsidRPr="006E25C5" w:rsidRDefault="006E25C5" w:rsidP="005D5441">
            <w:pPr>
              <w:ind w:left="0" w:firstLine="0"/>
              <w:jc w:val="center"/>
              <w:rPr>
                <w:rFonts w:asciiTheme="minorHAnsi" w:hAnsiTheme="minorHAnsi" w:cstheme="minorHAnsi"/>
                <w:i/>
                <w:sz w:val="22"/>
              </w:rPr>
            </w:pPr>
            <w:r w:rsidRPr="006E25C5">
              <w:rPr>
                <w:rFonts w:asciiTheme="minorHAnsi" w:hAnsiTheme="minorHAnsi" w:cstheme="minorHAnsi"/>
                <w:i/>
                <w:sz w:val="22"/>
              </w:rPr>
              <w:t>1</w:t>
            </w:r>
            <w:r w:rsidR="005D5441">
              <w:rPr>
                <w:rFonts w:asciiTheme="minorHAnsi" w:hAnsiTheme="minorHAnsi" w:cstheme="minorHAnsi"/>
                <w:i/>
                <w:sz w:val="22"/>
              </w:rPr>
              <w:t>5</w:t>
            </w:r>
            <w:r w:rsidRPr="006E25C5">
              <w:rPr>
                <w:rFonts w:asciiTheme="minorHAnsi" w:hAnsiTheme="minorHAnsi" w:cstheme="minorHAnsi"/>
                <w:i/>
                <w:sz w:val="22"/>
              </w:rPr>
              <w:t>%</w:t>
            </w:r>
          </w:p>
        </w:tc>
      </w:tr>
      <w:tr w:rsidR="006E25C5" w:rsidRPr="006E25C5" w14:paraId="5B7C8BA2" w14:textId="77777777" w:rsidTr="005D5441">
        <w:trPr>
          <w:jc w:val="center"/>
        </w:trPr>
        <w:tc>
          <w:tcPr>
            <w:tcW w:w="4665" w:type="dxa"/>
            <w:hideMark/>
          </w:tcPr>
          <w:p w14:paraId="55F85F28" w14:textId="50979E71"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 xml:space="preserve">Assignment 4 – </w:t>
            </w:r>
            <w:r w:rsidR="00426B06">
              <w:rPr>
                <w:rFonts w:asciiTheme="minorHAnsi" w:hAnsiTheme="minorHAnsi" w:cstheme="minorHAnsi"/>
                <w:b/>
                <w:bCs/>
                <w:i/>
                <w:sz w:val="22"/>
              </w:rPr>
              <w:t>Philosophy of Teaching</w:t>
            </w:r>
          </w:p>
        </w:tc>
        <w:tc>
          <w:tcPr>
            <w:tcW w:w="1537" w:type="dxa"/>
            <w:hideMark/>
          </w:tcPr>
          <w:p w14:paraId="3467754C" w14:textId="2B696FB2" w:rsidR="006E25C5" w:rsidRPr="006E25C5" w:rsidRDefault="00426B06" w:rsidP="005D5441">
            <w:pPr>
              <w:ind w:left="0" w:firstLine="0"/>
              <w:jc w:val="center"/>
              <w:rPr>
                <w:rFonts w:asciiTheme="minorHAnsi" w:hAnsiTheme="minorHAnsi" w:cstheme="minorHAnsi"/>
                <w:i/>
                <w:sz w:val="22"/>
              </w:rPr>
            </w:pPr>
            <w:r>
              <w:rPr>
                <w:rFonts w:asciiTheme="minorHAnsi" w:hAnsiTheme="minorHAnsi" w:cstheme="minorHAnsi"/>
                <w:i/>
                <w:sz w:val="22"/>
              </w:rPr>
              <w:t>1</w:t>
            </w:r>
            <w:r w:rsidR="005D5441">
              <w:rPr>
                <w:rFonts w:asciiTheme="minorHAnsi" w:hAnsiTheme="minorHAnsi" w:cstheme="minorHAnsi"/>
                <w:i/>
                <w:sz w:val="22"/>
              </w:rPr>
              <w:t>50</w:t>
            </w:r>
            <w:r w:rsidR="006E25C5" w:rsidRPr="006E25C5">
              <w:rPr>
                <w:rFonts w:asciiTheme="minorHAnsi" w:hAnsiTheme="minorHAnsi" w:cstheme="minorHAnsi"/>
                <w:i/>
                <w:sz w:val="22"/>
              </w:rPr>
              <w:t xml:space="preserve"> points</w:t>
            </w:r>
          </w:p>
        </w:tc>
        <w:tc>
          <w:tcPr>
            <w:tcW w:w="1538" w:type="dxa"/>
            <w:hideMark/>
          </w:tcPr>
          <w:p w14:paraId="000BB071" w14:textId="1F7F0637" w:rsidR="006E25C5" w:rsidRPr="006E25C5" w:rsidRDefault="00426B06" w:rsidP="005D5441">
            <w:pPr>
              <w:ind w:left="0" w:firstLine="0"/>
              <w:jc w:val="center"/>
              <w:rPr>
                <w:rFonts w:asciiTheme="minorHAnsi" w:hAnsiTheme="minorHAnsi" w:cstheme="minorHAnsi"/>
                <w:i/>
                <w:sz w:val="22"/>
              </w:rPr>
            </w:pPr>
            <w:r>
              <w:rPr>
                <w:rFonts w:asciiTheme="minorHAnsi" w:hAnsiTheme="minorHAnsi" w:cstheme="minorHAnsi"/>
                <w:i/>
                <w:sz w:val="22"/>
              </w:rPr>
              <w:t>1</w:t>
            </w:r>
            <w:r w:rsidR="005D5441">
              <w:rPr>
                <w:rFonts w:asciiTheme="minorHAnsi" w:hAnsiTheme="minorHAnsi" w:cstheme="minorHAnsi"/>
                <w:i/>
                <w:sz w:val="22"/>
              </w:rPr>
              <w:t>5</w:t>
            </w:r>
            <w:r w:rsidR="006E25C5" w:rsidRPr="006E25C5">
              <w:rPr>
                <w:rFonts w:asciiTheme="minorHAnsi" w:hAnsiTheme="minorHAnsi" w:cstheme="minorHAnsi"/>
                <w:i/>
                <w:sz w:val="22"/>
              </w:rPr>
              <w:t>%</w:t>
            </w:r>
          </w:p>
        </w:tc>
      </w:tr>
      <w:tr w:rsidR="006E25C5" w:rsidRPr="006E25C5" w14:paraId="299388C7" w14:textId="77777777" w:rsidTr="005D5441">
        <w:trPr>
          <w:jc w:val="center"/>
        </w:trPr>
        <w:tc>
          <w:tcPr>
            <w:tcW w:w="4665" w:type="dxa"/>
            <w:hideMark/>
          </w:tcPr>
          <w:p w14:paraId="5405A29D"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Participation</w:t>
            </w:r>
          </w:p>
          <w:p w14:paraId="06ABB75B" w14:textId="77777777" w:rsidR="00426B06" w:rsidRPr="00426B06" w:rsidRDefault="006E25C5" w:rsidP="00426B06">
            <w:pPr>
              <w:numPr>
                <w:ilvl w:val="0"/>
                <w:numId w:val="9"/>
              </w:numPr>
              <w:rPr>
                <w:rFonts w:asciiTheme="minorHAnsi" w:hAnsiTheme="minorHAnsi" w:cstheme="minorHAnsi"/>
                <w:i/>
                <w:sz w:val="22"/>
              </w:rPr>
            </w:pPr>
            <w:r w:rsidRPr="006E25C5">
              <w:rPr>
                <w:rFonts w:asciiTheme="minorHAnsi" w:hAnsiTheme="minorHAnsi" w:cstheme="minorHAnsi"/>
                <w:b/>
                <w:bCs/>
                <w:i/>
                <w:sz w:val="22"/>
              </w:rPr>
              <w:t>Discussion Forums</w:t>
            </w:r>
          </w:p>
          <w:p w14:paraId="5DF8E60B" w14:textId="35427D35" w:rsidR="006E25C5" w:rsidRPr="006E25C5" w:rsidRDefault="00426B06" w:rsidP="00426B06">
            <w:pPr>
              <w:numPr>
                <w:ilvl w:val="0"/>
                <w:numId w:val="9"/>
              </w:numPr>
              <w:rPr>
                <w:rFonts w:asciiTheme="minorHAnsi" w:hAnsiTheme="minorHAnsi" w:cstheme="minorHAnsi"/>
                <w:i/>
                <w:sz w:val="22"/>
              </w:rPr>
            </w:pPr>
            <w:r>
              <w:rPr>
                <w:rFonts w:asciiTheme="minorHAnsi" w:hAnsiTheme="minorHAnsi" w:cstheme="minorHAnsi"/>
                <w:b/>
                <w:bCs/>
                <w:i/>
                <w:sz w:val="22"/>
              </w:rPr>
              <w:t>Zoom Session Presence</w:t>
            </w:r>
            <w:r w:rsidR="006E25C5" w:rsidRPr="006E25C5">
              <w:rPr>
                <w:rFonts w:asciiTheme="minorHAnsi" w:hAnsiTheme="minorHAnsi" w:cstheme="minorHAnsi"/>
                <w:b/>
                <w:bCs/>
                <w:i/>
                <w:sz w:val="22"/>
              </w:rPr>
              <w:t xml:space="preserve"> </w:t>
            </w:r>
          </w:p>
        </w:tc>
        <w:tc>
          <w:tcPr>
            <w:tcW w:w="1537" w:type="dxa"/>
            <w:hideMark/>
          </w:tcPr>
          <w:p w14:paraId="309E2238" w14:textId="63642C70" w:rsidR="006E25C5" w:rsidRPr="006E25C5" w:rsidRDefault="006E25C5" w:rsidP="005D5441">
            <w:pPr>
              <w:ind w:left="0" w:firstLine="0"/>
              <w:jc w:val="center"/>
              <w:rPr>
                <w:rFonts w:asciiTheme="minorHAnsi" w:hAnsiTheme="minorHAnsi" w:cstheme="minorHAnsi"/>
                <w:i/>
                <w:sz w:val="22"/>
              </w:rPr>
            </w:pPr>
          </w:p>
          <w:p w14:paraId="3D93793D" w14:textId="1509AB58" w:rsidR="006E25C5" w:rsidRPr="006E25C5" w:rsidRDefault="00426B06" w:rsidP="005D5441">
            <w:pPr>
              <w:ind w:left="0" w:firstLine="0"/>
              <w:jc w:val="center"/>
              <w:rPr>
                <w:rFonts w:asciiTheme="minorHAnsi" w:hAnsiTheme="minorHAnsi" w:cstheme="minorHAnsi"/>
                <w:i/>
                <w:sz w:val="22"/>
              </w:rPr>
            </w:pPr>
            <w:r>
              <w:rPr>
                <w:rFonts w:asciiTheme="minorHAnsi" w:hAnsiTheme="minorHAnsi" w:cstheme="minorHAnsi"/>
                <w:i/>
                <w:sz w:val="22"/>
              </w:rPr>
              <w:t>1</w:t>
            </w:r>
            <w:r w:rsidR="006E25C5" w:rsidRPr="006E25C5">
              <w:rPr>
                <w:rFonts w:asciiTheme="minorHAnsi" w:hAnsiTheme="minorHAnsi" w:cstheme="minorHAnsi"/>
                <w:i/>
                <w:sz w:val="22"/>
              </w:rPr>
              <w:t>00 points</w:t>
            </w:r>
          </w:p>
          <w:p w14:paraId="5D9EEA28" w14:textId="2EFEFC9A" w:rsidR="006E25C5" w:rsidRPr="006E25C5" w:rsidRDefault="00426B06" w:rsidP="005D5441">
            <w:pPr>
              <w:ind w:left="0" w:firstLine="0"/>
              <w:jc w:val="center"/>
              <w:rPr>
                <w:rFonts w:asciiTheme="minorHAnsi" w:hAnsiTheme="minorHAnsi" w:cstheme="minorHAnsi"/>
                <w:i/>
                <w:sz w:val="22"/>
              </w:rPr>
            </w:pPr>
            <w:r>
              <w:rPr>
                <w:rFonts w:asciiTheme="minorHAnsi" w:hAnsiTheme="minorHAnsi" w:cstheme="minorHAnsi"/>
                <w:i/>
                <w:sz w:val="22"/>
              </w:rPr>
              <w:t>1</w:t>
            </w:r>
            <w:r w:rsidR="006E25C5" w:rsidRPr="006E25C5">
              <w:rPr>
                <w:rFonts w:asciiTheme="minorHAnsi" w:hAnsiTheme="minorHAnsi" w:cstheme="minorHAnsi"/>
                <w:i/>
                <w:sz w:val="22"/>
              </w:rPr>
              <w:t>00 points</w:t>
            </w:r>
          </w:p>
        </w:tc>
        <w:tc>
          <w:tcPr>
            <w:tcW w:w="1538" w:type="dxa"/>
            <w:hideMark/>
          </w:tcPr>
          <w:p w14:paraId="3489E7EF" w14:textId="4738A6CF" w:rsidR="006E25C5" w:rsidRPr="006E25C5" w:rsidRDefault="00426B06" w:rsidP="005D5441">
            <w:pPr>
              <w:ind w:left="0" w:firstLine="0"/>
              <w:jc w:val="center"/>
              <w:rPr>
                <w:rFonts w:asciiTheme="minorHAnsi" w:hAnsiTheme="minorHAnsi" w:cstheme="minorHAnsi"/>
                <w:i/>
                <w:sz w:val="22"/>
              </w:rPr>
            </w:pPr>
            <w:r>
              <w:rPr>
                <w:rFonts w:asciiTheme="minorHAnsi" w:hAnsiTheme="minorHAnsi" w:cstheme="minorHAnsi"/>
                <w:i/>
                <w:sz w:val="22"/>
              </w:rPr>
              <w:t>20</w:t>
            </w:r>
            <w:r w:rsidR="006E25C5" w:rsidRPr="006E25C5">
              <w:rPr>
                <w:rFonts w:asciiTheme="minorHAnsi" w:hAnsiTheme="minorHAnsi" w:cstheme="minorHAnsi"/>
                <w:i/>
                <w:sz w:val="22"/>
              </w:rPr>
              <w:t>%</w:t>
            </w:r>
          </w:p>
        </w:tc>
      </w:tr>
      <w:tr w:rsidR="005D5441" w:rsidRPr="006E25C5" w14:paraId="21767A5A" w14:textId="77777777" w:rsidTr="005D5441">
        <w:trPr>
          <w:jc w:val="center"/>
        </w:trPr>
        <w:tc>
          <w:tcPr>
            <w:tcW w:w="4665" w:type="dxa"/>
          </w:tcPr>
          <w:p w14:paraId="19077F08" w14:textId="75B49291" w:rsidR="005D5441" w:rsidRPr="005D5441" w:rsidRDefault="005D5441" w:rsidP="005D5441">
            <w:pPr>
              <w:ind w:left="0" w:firstLine="0"/>
              <w:rPr>
                <w:rFonts w:asciiTheme="minorHAnsi" w:hAnsiTheme="minorHAnsi" w:cstheme="minorHAnsi"/>
                <w:b/>
                <w:bCs/>
                <w:i/>
                <w:sz w:val="22"/>
              </w:rPr>
            </w:pPr>
            <w:r w:rsidRPr="005D5441">
              <w:rPr>
                <w:rFonts w:asciiTheme="minorHAnsi" w:hAnsiTheme="minorHAnsi" w:cstheme="minorHAnsi"/>
                <w:b/>
                <w:bCs/>
                <w:i/>
                <w:sz w:val="22"/>
              </w:rPr>
              <w:t>Final Exam</w:t>
            </w:r>
          </w:p>
        </w:tc>
        <w:tc>
          <w:tcPr>
            <w:tcW w:w="1537" w:type="dxa"/>
          </w:tcPr>
          <w:p w14:paraId="4FA10855" w14:textId="6E530DA8" w:rsidR="005D5441" w:rsidRPr="005D5441" w:rsidRDefault="005D5441" w:rsidP="005D5441">
            <w:pPr>
              <w:ind w:left="0" w:firstLine="0"/>
              <w:jc w:val="center"/>
              <w:rPr>
                <w:rFonts w:asciiTheme="minorHAnsi" w:hAnsiTheme="minorHAnsi" w:cstheme="minorHAnsi"/>
                <w:i/>
                <w:sz w:val="22"/>
              </w:rPr>
            </w:pPr>
            <w:r w:rsidRPr="005D5441">
              <w:rPr>
                <w:rFonts w:asciiTheme="minorHAnsi" w:hAnsiTheme="minorHAnsi" w:cstheme="minorHAnsi"/>
                <w:i/>
                <w:sz w:val="22"/>
              </w:rPr>
              <w:t>200 points</w:t>
            </w:r>
          </w:p>
        </w:tc>
        <w:tc>
          <w:tcPr>
            <w:tcW w:w="1538" w:type="dxa"/>
          </w:tcPr>
          <w:p w14:paraId="6FC98815" w14:textId="615172F0" w:rsidR="005D5441" w:rsidRPr="005D5441" w:rsidRDefault="005D5441" w:rsidP="005D5441">
            <w:pPr>
              <w:ind w:left="0" w:firstLine="0"/>
              <w:jc w:val="center"/>
              <w:rPr>
                <w:rFonts w:asciiTheme="minorHAnsi" w:hAnsiTheme="minorHAnsi" w:cstheme="minorHAnsi"/>
                <w:i/>
                <w:sz w:val="22"/>
              </w:rPr>
            </w:pPr>
            <w:r w:rsidRPr="005D5441">
              <w:rPr>
                <w:rFonts w:asciiTheme="minorHAnsi" w:hAnsiTheme="minorHAnsi" w:cstheme="minorHAnsi"/>
                <w:i/>
                <w:sz w:val="22"/>
              </w:rPr>
              <w:t>20%</w:t>
            </w:r>
          </w:p>
        </w:tc>
      </w:tr>
      <w:tr w:rsidR="006E25C5" w:rsidRPr="006E25C5" w14:paraId="1E3FFD31" w14:textId="77777777" w:rsidTr="005D5441">
        <w:trPr>
          <w:jc w:val="center"/>
        </w:trPr>
        <w:tc>
          <w:tcPr>
            <w:tcW w:w="4665" w:type="dxa"/>
            <w:hideMark/>
          </w:tcPr>
          <w:p w14:paraId="6EB87B64"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Total Points Possible</w:t>
            </w:r>
          </w:p>
        </w:tc>
        <w:tc>
          <w:tcPr>
            <w:tcW w:w="1537" w:type="dxa"/>
            <w:hideMark/>
          </w:tcPr>
          <w:p w14:paraId="3662A2C4" w14:textId="77777777" w:rsidR="006E25C5" w:rsidRPr="006E25C5" w:rsidRDefault="006E25C5" w:rsidP="005D5441">
            <w:pPr>
              <w:ind w:left="0" w:firstLine="0"/>
              <w:jc w:val="center"/>
              <w:rPr>
                <w:rFonts w:asciiTheme="minorHAnsi" w:hAnsiTheme="minorHAnsi" w:cstheme="minorHAnsi"/>
                <w:i/>
                <w:sz w:val="22"/>
              </w:rPr>
            </w:pPr>
            <w:r w:rsidRPr="006E25C5">
              <w:rPr>
                <w:rFonts w:asciiTheme="minorHAnsi" w:hAnsiTheme="minorHAnsi" w:cstheme="minorHAnsi"/>
                <w:i/>
                <w:sz w:val="22"/>
              </w:rPr>
              <w:t>1000 points</w:t>
            </w:r>
          </w:p>
        </w:tc>
        <w:tc>
          <w:tcPr>
            <w:tcW w:w="1538" w:type="dxa"/>
            <w:hideMark/>
          </w:tcPr>
          <w:p w14:paraId="010B015D" w14:textId="77777777" w:rsidR="006E25C5" w:rsidRPr="006E25C5" w:rsidRDefault="006E25C5" w:rsidP="005D5441">
            <w:pPr>
              <w:ind w:left="0" w:firstLine="0"/>
              <w:jc w:val="center"/>
              <w:rPr>
                <w:rFonts w:asciiTheme="minorHAnsi" w:hAnsiTheme="minorHAnsi" w:cstheme="minorHAnsi"/>
                <w:i/>
                <w:sz w:val="22"/>
              </w:rPr>
            </w:pPr>
            <w:r w:rsidRPr="006E25C5">
              <w:rPr>
                <w:rFonts w:asciiTheme="minorHAnsi" w:hAnsiTheme="minorHAnsi" w:cstheme="minorHAnsi"/>
                <w:i/>
                <w:sz w:val="22"/>
              </w:rPr>
              <w:t>100%</w:t>
            </w:r>
          </w:p>
        </w:tc>
      </w:tr>
    </w:tbl>
    <w:p w14:paraId="0895968B" w14:textId="5A46FD68" w:rsidR="006E25C5" w:rsidRDefault="006E25C5" w:rsidP="00EC6692">
      <w:pPr>
        <w:pStyle w:val="Heading2"/>
      </w:pPr>
      <w:r w:rsidRPr="005D5441">
        <w:rPr>
          <w:b/>
          <w:bCs/>
          <w:color w:val="538135" w:themeColor="accent6" w:themeShade="BF"/>
        </w:rPr>
        <w:t>Grading</w:t>
      </w:r>
      <w:r w:rsidR="00A63531">
        <w:tab/>
      </w:r>
    </w:p>
    <w:p w14:paraId="28814044" w14:textId="7B6B61A8"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E5BB35A" w:rsidR="00C7676A" w:rsidRDefault="00B43D9A" w:rsidP="00395460">
      <w:r>
        <w:t>F = 500-599</w:t>
      </w:r>
    </w:p>
    <w:p w14:paraId="24E7235C" w14:textId="2C8E0628" w:rsidR="00C7676A" w:rsidRPr="005D5441" w:rsidRDefault="007D441B" w:rsidP="00395460">
      <w:pPr>
        <w:pStyle w:val="Heading2"/>
        <w:rPr>
          <w:b/>
          <w:bCs/>
          <w:color w:val="538135" w:themeColor="accent6" w:themeShade="BF"/>
        </w:rPr>
      </w:pPr>
      <w:r w:rsidRPr="005D5441">
        <w:rPr>
          <w:b/>
          <w:bCs/>
          <w:color w:val="538135" w:themeColor="accent6" w:themeShade="BF"/>
        </w:rPr>
        <w:t>Course Evaluation</w:t>
      </w:r>
    </w:p>
    <w:p w14:paraId="6F8824B1" w14:textId="613B3502"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r w:rsidR="00AF606C" w:rsidRPr="00AF606C">
        <w:rPr>
          <w:b/>
          <w:shd w:val="clear" w:color="auto" w:fill="FFFFFF"/>
        </w:rPr>
        <w:t>SPOT evaluations will be available from 6/25/21 – 7/1/21</w:t>
      </w:r>
      <w:r w:rsidRPr="00AF606C">
        <w:rPr>
          <w:b/>
          <w:shd w:val="clear" w:color="auto" w:fill="FFFFFF"/>
        </w:rPr>
        <w:t xml:space="preserve"> </w:t>
      </w:r>
    </w:p>
    <w:p w14:paraId="0697586D" w14:textId="0794E326" w:rsidR="000F3B26" w:rsidRPr="005D5441" w:rsidRDefault="000F3B26" w:rsidP="000F3B26">
      <w:pPr>
        <w:pStyle w:val="Heading2"/>
        <w:rPr>
          <w:b/>
          <w:bCs/>
          <w:color w:val="538135" w:themeColor="accent6" w:themeShade="BF"/>
        </w:rPr>
      </w:pPr>
      <w:r w:rsidRPr="005D5441">
        <w:rPr>
          <w:b/>
          <w:bCs/>
          <w:color w:val="538135" w:themeColor="accent6" w:themeShade="BF"/>
        </w:rPr>
        <w:t>Course Policies</w:t>
      </w:r>
    </w:p>
    <w:p w14:paraId="5F38D3BD" w14:textId="0E29CBF1" w:rsidR="00F2315C" w:rsidRDefault="004448B2" w:rsidP="004448B2">
      <w:pPr>
        <w:rPr>
          <w:rFonts w:cs="Arial"/>
          <w:iCs/>
        </w:rPr>
      </w:pPr>
      <w:r w:rsidRPr="005D5441">
        <w:rPr>
          <w:rStyle w:val="Heading3Char"/>
          <w:u w:val="single"/>
        </w:rPr>
        <w:t>Attendance Policy</w:t>
      </w:r>
      <w:r w:rsidRPr="00F058D6">
        <w:rPr>
          <w:rFonts w:cs="Arial"/>
          <w:b/>
        </w:rPr>
        <w:br/>
      </w:r>
      <w:r w:rsidR="00F2315C" w:rsidRPr="00F2315C">
        <w:rPr>
          <w:rFonts w:cstheme="minorHAnsi"/>
        </w:rPr>
        <w:t>Y</w:t>
      </w:r>
      <w:r w:rsidR="00F2315C" w:rsidRPr="00F2315C">
        <w:rPr>
          <w:rFonts w:cstheme="minorHAnsi"/>
        </w:rPr>
        <w:t xml:space="preserve">ou are expected to </w:t>
      </w:r>
      <w:r w:rsidR="00F2315C">
        <w:rPr>
          <w:rFonts w:cstheme="minorHAnsi"/>
        </w:rPr>
        <w:t>attend all class zoom sessions</w:t>
      </w:r>
      <w:r w:rsidR="00F2315C" w:rsidRPr="00F2315C">
        <w:rPr>
          <w:rFonts w:cstheme="minorHAnsi"/>
        </w:rPr>
        <w:t xml:space="preserve"> and attendance will be taken. Students are required to notify the instructor of any absence for any reason prior to the class meeting. </w:t>
      </w:r>
      <w:r w:rsidR="00F2315C">
        <w:rPr>
          <w:rFonts w:cstheme="minorHAnsi"/>
        </w:rPr>
        <w:t xml:space="preserve">Please refer to the UNT attendance policy at </w:t>
      </w:r>
      <w:hyperlink r:id="rId12" w:history="1">
        <w:r w:rsidR="00F2315C">
          <w:rPr>
            <w:rStyle w:val="Hyperlink"/>
          </w:rPr>
          <w:t>06.039_StudAttnandAuthAbsence.Pub2_.19.pdf (unt.edu)</w:t>
        </w:r>
      </w:hyperlink>
      <w:r w:rsidR="00F2315C">
        <w:t xml:space="preserve"> </w:t>
      </w:r>
    </w:p>
    <w:p w14:paraId="6E858157" w14:textId="2C96C451" w:rsidR="004448B2" w:rsidRPr="00C65463" w:rsidRDefault="004448B2" w:rsidP="004448B2">
      <w:pPr>
        <w:pStyle w:val="Heading3"/>
        <w:rPr>
          <w:color w:val="FF0000"/>
          <w:u w:val="single"/>
        </w:rPr>
      </w:pPr>
      <w:r w:rsidRPr="00C65463">
        <w:rPr>
          <w:color w:val="FF0000"/>
          <w:u w:val="single"/>
        </w:rPr>
        <w:t>COVID-19 Impact on Attendance</w:t>
      </w:r>
    </w:p>
    <w:p w14:paraId="584C5FE6" w14:textId="77777777" w:rsidR="004448B2" w:rsidRPr="00C65463" w:rsidRDefault="004448B2" w:rsidP="004448B2">
      <w:pPr>
        <w:rPr>
          <w:color w:val="FF0000"/>
        </w:rPr>
      </w:pPr>
      <w:r w:rsidRPr="00C65463">
        <w:rPr>
          <w:color w:val="FF000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C65463">
        <w:rPr>
          <w:color w:val="FF0000"/>
        </w:rPr>
        <w:t>make a decision</w:t>
      </w:r>
      <w:proofErr w:type="gramEnd"/>
      <w:r w:rsidRPr="00C65463">
        <w:rPr>
          <w:color w:val="FF0000"/>
        </w:rPr>
        <w:t xml:space="preserve"> about accommodating your request to be excused from class.</w:t>
      </w:r>
    </w:p>
    <w:p w14:paraId="2EF6341D" w14:textId="15DB34AF" w:rsidR="004448B2" w:rsidRDefault="004448B2" w:rsidP="004448B2">
      <w:pPr>
        <w:rPr>
          <w:color w:val="FF0000"/>
        </w:rPr>
      </w:pPr>
      <w:r w:rsidRPr="00C65463">
        <w:rPr>
          <w:color w:val="FF0000"/>
        </w:rPr>
        <w:lastRenderedPageBreak/>
        <w:t>If you are experiencing</w:t>
      </w:r>
      <w:r w:rsidR="00F6650C">
        <w:rPr>
          <w:color w:val="FF0000"/>
        </w:rPr>
        <w:t xml:space="preserve"> any</w:t>
      </w:r>
      <w:r w:rsidRPr="00C65463">
        <w:rPr>
          <w:color w:val="FF0000"/>
        </w:rPr>
        <w:t xml:space="preserve"> </w:t>
      </w:r>
      <w:hyperlink r:id="rId13" w:history="1">
        <w:r w:rsidRPr="00C65463">
          <w:rPr>
            <w:rStyle w:val="Hyperlink"/>
            <w:color w:val="FF0000"/>
          </w:rPr>
          <w:t>symptoms of COVID-19</w:t>
        </w:r>
      </w:hyperlink>
      <w:r w:rsidRPr="00C65463">
        <w:rPr>
          <w:color w:val="FF0000"/>
        </w:rPr>
        <w:t xml:space="preserve"> (https://www.cdc.gov/coronavirus/2019-ncov/symptoms-testing/symptoms.html) please seek medical attention from the Student Health and Wellness Center (940-565-2333 or </w:t>
      </w:r>
      <w:hyperlink r:id="rId14" w:history="1">
        <w:r w:rsidRPr="00C65463">
          <w:rPr>
            <w:rStyle w:val="Hyperlink"/>
            <w:color w:val="FF0000"/>
          </w:rPr>
          <w:t>askSHWC@unt.edu</w:t>
        </w:r>
      </w:hyperlink>
      <w:r w:rsidRPr="00C65463">
        <w:rPr>
          <w:color w:val="FF0000"/>
        </w:rPr>
        <w:t>) or your health care provider</w:t>
      </w:r>
      <w:r w:rsidR="00F6650C">
        <w:rPr>
          <w:color w:val="FF0000"/>
        </w:rPr>
        <w:t xml:space="preserve"> PRIOR to coming to campus</w:t>
      </w:r>
      <w:r w:rsidRPr="00C65463">
        <w:rPr>
          <w:color w:val="FF0000"/>
        </w:rPr>
        <w:t xml:space="preserve">. UNT also </w:t>
      </w:r>
      <w:r w:rsidR="00F6650C">
        <w:rPr>
          <w:color w:val="FF0000"/>
        </w:rPr>
        <w:t>requires</w:t>
      </w:r>
      <w:r w:rsidRPr="00C65463">
        <w:rPr>
          <w:color w:val="FF0000"/>
        </w:rPr>
        <w:t xml:space="preserve"> you </w:t>
      </w:r>
      <w:r w:rsidR="00F6650C">
        <w:rPr>
          <w:color w:val="FF0000"/>
        </w:rPr>
        <w:t xml:space="preserve">to </w:t>
      </w:r>
      <w:r w:rsidRPr="00C65463">
        <w:rPr>
          <w:color w:val="FF0000"/>
        </w:rPr>
        <w:t xml:space="preserve">contact the UNT COVID Hotline at 844-366-5892 or </w:t>
      </w:r>
      <w:hyperlink r:id="rId15" w:history="1">
        <w:r w:rsidRPr="00C65463">
          <w:rPr>
            <w:rStyle w:val="Hyperlink"/>
            <w:color w:val="FF0000"/>
          </w:rPr>
          <w:t>COVID@unt.edu</w:t>
        </w:r>
      </w:hyperlink>
      <w:r w:rsidRPr="00C65463">
        <w:rPr>
          <w:color w:val="FF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580D8D8" w14:textId="35FB82AC" w:rsidR="002F79C4" w:rsidRPr="002F79C4" w:rsidRDefault="002F79C4" w:rsidP="002F79C4">
      <w:pPr>
        <w:spacing w:after="0"/>
        <w:rPr>
          <w:color w:val="FF0000"/>
          <w:u w:val="single"/>
        </w:rPr>
      </w:pPr>
      <w:r w:rsidRPr="002F79C4">
        <w:rPr>
          <w:color w:val="FF0000"/>
          <w:u w:val="single"/>
        </w:rPr>
        <w:t>Class Materials for Remote Instruction</w:t>
      </w:r>
    </w:p>
    <w:p w14:paraId="0CD0D3F5" w14:textId="26733300" w:rsidR="002F79C4" w:rsidRPr="00C65463" w:rsidRDefault="004E6648" w:rsidP="004448B2">
      <w:pPr>
        <w:rPr>
          <w:color w:val="FF0000"/>
        </w:rPr>
      </w:pPr>
      <w:r>
        <w:rPr>
          <w:color w:val="FF0000"/>
        </w:rPr>
        <w:t>R</w:t>
      </w:r>
      <w:r w:rsidR="002F79C4">
        <w:rPr>
          <w:color w:val="FF0000"/>
        </w:rPr>
        <w:t xml:space="preserve">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sidR="002F79C4">
        <w:rPr>
          <w:color w:val="FF0000"/>
        </w:rPr>
        <w:t>equipment</w:t>
      </w:r>
      <w:proofErr w:type="gramEnd"/>
      <w:r w:rsidR="002F79C4">
        <w:rPr>
          <w:color w:val="FF0000"/>
        </w:rPr>
        <w:t xml:space="preserve"> or system requirements needed for the course].  Information on how to be successful in a remote learning environment can be found at https://online.unt.edu/learn.</w:t>
      </w:r>
    </w:p>
    <w:p w14:paraId="02EAA1BF" w14:textId="603D28B9" w:rsidR="004448B2" w:rsidRDefault="004448B2" w:rsidP="004448B2">
      <w:pPr>
        <w:pStyle w:val="Heading3"/>
        <w:rPr>
          <w:color w:val="FF0000"/>
          <w:u w:val="single"/>
        </w:rPr>
      </w:pPr>
      <w:r w:rsidRPr="00C65463">
        <w:rPr>
          <w:color w:val="FF0000"/>
          <w:u w:val="single"/>
        </w:rPr>
        <w:t>Statement on Face Covering</w:t>
      </w:r>
    </w:p>
    <w:p w14:paraId="30FCCB28" w14:textId="77777777" w:rsidR="00C03098" w:rsidRPr="00C03098" w:rsidRDefault="00C03098" w:rsidP="00C03098">
      <w:pPr>
        <w:pStyle w:val="xmsonormal"/>
        <w:rPr>
          <w:rFonts w:asciiTheme="minorHAnsi" w:hAnsiTheme="minorHAnsi" w:cs="Arial"/>
          <w:iCs/>
        </w:rPr>
      </w:pPr>
      <w:r w:rsidRPr="00C03098">
        <w:rPr>
          <w:rFonts w:asciiTheme="minorHAnsi" w:hAnsiTheme="minorHAnsi" w:cs="Arial"/>
          <w:iCs/>
        </w:rPr>
        <w:t>Consistent with CDC Guidelines and state policy, individuals are not required to wear face coverings on UNT’s campuses.  While non-vaccinated individuals are encouraged to wear a face covering, all students and faculty are welcome to wear one in class or on campus if they desire.</w:t>
      </w:r>
    </w:p>
    <w:p w14:paraId="38DC7894" w14:textId="77777777" w:rsidR="00F2315C" w:rsidRDefault="004448B2" w:rsidP="00F2315C">
      <w:pPr>
        <w:pStyle w:val="Heading2"/>
        <w:rPr>
          <w:b/>
          <w:bCs/>
          <w:color w:val="538135" w:themeColor="accent6" w:themeShade="BF"/>
        </w:rPr>
      </w:pPr>
      <w:r w:rsidRPr="005D5441">
        <w:rPr>
          <w:b/>
          <w:bCs/>
          <w:color w:val="538135" w:themeColor="accent6" w:themeShade="BF"/>
        </w:rPr>
        <w:t>Class Participation</w:t>
      </w:r>
    </w:p>
    <w:p w14:paraId="5F55E145" w14:textId="5705D8C7" w:rsidR="00F2315C" w:rsidRPr="00F2315C" w:rsidRDefault="00F2315C" w:rsidP="00F2315C">
      <w:pPr>
        <w:pStyle w:val="Heading2"/>
        <w:ind w:left="720"/>
      </w:pPr>
      <w:r w:rsidRPr="00F2315C">
        <w:rPr>
          <w:b/>
          <w:bCs/>
        </w:rPr>
        <w:t>Gender Pronouns</w:t>
      </w:r>
    </w:p>
    <w:p w14:paraId="7CAFED4D" w14:textId="77777777" w:rsidR="00F2315C" w:rsidRPr="00F2315C" w:rsidRDefault="00F2315C" w:rsidP="00F2315C">
      <w:pPr>
        <w:pStyle w:val="Heading2"/>
        <w:ind w:left="720"/>
      </w:pPr>
      <w:r w:rsidRPr="00F2315C">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042FAFFE" w14:textId="77777777" w:rsidR="00F2315C" w:rsidRPr="00F2315C" w:rsidRDefault="00F2315C" w:rsidP="00F2315C">
      <w:pPr>
        <w:pStyle w:val="Heading2"/>
        <w:ind w:left="720"/>
      </w:pPr>
      <w:r w:rsidRPr="00F2315C">
        <w:rPr>
          <w:b/>
          <w:bCs/>
        </w:rPr>
        <w:t>Cameras On</w:t>
      </w:r>
    </w:p>
    <w:p w14:paraId="76AB766F" w14:textId="165A366B" w:rsidR="004448B2" w:rsidRDefault="00F2315C" w:rsidP="00F2315C">
      <w:pPr>
        <w:pStyle w:val="Heading2"/>
        <w:ind w:left="720"/>
      </w:pPr>
      <w:proofErr w:type="gramStart"/>
      <w:r w:rsidRPr="00F2315C">
        <w:t>As educators, relationships</w:t>
      </w:r>
      <w:proofErr w:type="gramEnd"/>
      <w:r w:rsidRPr="00F2315C">
        <w:t xml:space="preserve"> are our stock-in-trade.  It is very challenging to forge a relationship with a black box in Zoom.  It is my expectation that you turn your cameras on while we work in breakout rooms.  It will help your classmates communicate more fully.  It would be wonderful if you would be comfortable leaving your camera on during general session so I can read the “room” as we progress through our class activities.  Cameras should be on for the entire session, with the occasional need to turn them off to attend to personal business.</w:t>
      </w:r>
      <w:r w:rsidR="004448B2" w:rsidRPr="00F058D6">
        <w:t xml:space="preserve"> </w:t>
      </w:r>
    </w:p>
    <w:p w14:paraId="1DE65E78" w14:textId="77777777" w:rsidR="00F2315C" w:rsidRPr="00F2315C" w:rsidRDefault="00F2315C" w:rsidP="00F2315C"/>
    <w:p w14:paraId="55E9BCA2" w14:textId="1CD09B64" w:rsidR="004448B2" w:rsidRPr="004448B2" w:rsidRDefault="004448B2" w:rsidP="004448B2">
      <w:pPr>
        <w:rPr>
          <w:rFonts w:cs="Arial"/>
          <w:iCs/>
        </w:rPr>
      </w:pPr>
      <w:r w:rsidRPr="005D5441">
        <w:rPr>
          <w:b/>
          <w:bCs/>
          <w:color w:val="538135" w:themeColor="accent6" w:themeShade="BF"/>
          <w:sz w:val="26"/>
          <w:szCs w:val="26"/>
        </w:rPr>
        <w:t>Late Work</w:t>
      </w:r>
      <w:r w:rsidRPr="00F058D6">
        <w:rPr>
          <w:rFonts w:cs="Arial"/>
          <w:b/>
          <w:iCs/>
        </w:rPr>
        <w:t xml:space="preserve"> </w:t>
      </w:r>
      <w:r w:rsidRPr="00F058D6">
        <w:rPr>
          <w:rFonts w:cs="Arial"/>
          <w:b/>
          <w:iCs/>
        </w:rPr>
        <w:br/>
      </w:r>
      <w:r w:rsidR="00F2315C">
        <w:rPr>
          <w:rFonts w:ascii="Lato" w:hAnsi="Lato" w:cs="Lato"/>
          <w:color w:val="3D3D3D"/>
          <w:shd w:val="clear" w:color="auto" w:fill="FFFFFF"/>
        </w:rPr>
        <w:t>Assignments are expected to be turned in prior the due date in Canvas.</w:t>
      </w:r>
      <w:r w:rsidR="003C70B1">
        <w:rPr>
          <w:rFonts w:ascii="Lato" w:hAnsi="Lato" w:cs="Lato"/>
          <w:color w:val="3D3D3D"/>
          <w:shd w:val="clear" w:color="auto" w:fill="FFFFFF"/>
        </w:rPr>
        <w:t xml:space="preserve"> Assignments turned in within 24 hours of the due date are subject to a 10% reduction in score. After 24 hours late work </w:t>
      </w:r>
      <w:r w:rsidR="003C70B1">
        <w:rPr>
          <w:rFonts w:ascii="Lato" w:hAnsi="Lato" w:cs="Lato"/>
          <w:color w:val="3D3D3D"/>
          <w:shd w:val="clear" w:color="auto" w:fill="FFFFFF"/>
        </w:rPr>
        <w:lastRenderedPageBreak/>
        <w:t xml:space="preserve">will be accepted with a 30% reduction. No work will be accepted after 7/1/2021. </w:t>
      </w:r>
      <w:r w:rsidR="00F2315C">
        <w:rPr>
          <w:rFonts w:ascii="Lato" w:hAnsi="Lato" w:cs="Lato"/>
          <w:color w:val="3D3D3D"/>
          <w:shd w:val="clear" w:color="auto" w:fill="FFFFFF"/>
        </w:rPr>
        <w:t xml:space="preserve"> </w:t>
      </w:r>
      <w:r w:rsidR="00F2315C">
        <w:rPr>
          <w:rFonts w:ascii="Lato" w:hAnsi="Lato" w:cs="Lato"/>
          <w:color w:val="3D3D3D"/>
          <w:shd w:val="clear" w:color="auto" w:fill="FFFFFF"/>
        </w:rPr>
        <w:t>I understand that conflicts arise.  Extensions are granted on a case by case basis. Should you need an extension on an assignment, it is your responsibility to reach out to me to develop a plan.</w:t>
      </w:r>
    </w:p>
    <w:p w14:paraId="66DA37FE" w14:textId="3B2A6CC4" w:rsidR="000F3B26" w:rsidRPr="005D5441" w:rsidRDefault="000F3B26" w:rsidP="005D5441">
      <w:pPr>
        <w:pStyle w:val="Heading2"/>
        <w:rPr>
          <w:b/>
          <w:bCs/>
          <w:color w:val="538135" w:themeColor="accent6" w:themeShade="BF"/>
        </w:rPr>
      </w:pPr>
      <w:r w:rsidRPr="005D5441">
        <w:rPr>
          <w:b/>
          <w:bCs/>
          <w:color w:val="538135" w:themeColor="accent6" w:themeShade="BF"/>
        </w:rPr>
        <w:t>Assignment Policy</w:t>
      </w:r>
    </w:p>
    <w:p w14:paraId="5CA2F525" w14:textId="563D67D1" w:rsidR="000F3B26" w:rsidRPr="00EC6692" w:rsidRDefault="003C70B1" w:rsidP="000F3B26">
      <w:pPr>
        <w:rPr>
          <w:bCs/>
        </w:rPr>
      </w:pPr>
      <w:r>
        <w:t>All assignments will be turned in via Canvas and/or Foliotek</w:t>
      </w:r>
      <w:r w:rsidR="000F3B26" w:rsidRPr="00F058D6">
        <w:rPr>
          <w:rFonts w:cs="Arial"/>
          <w:iCs/>
        </w:rPr>
        <w:t xml:space="preserve"> </w:t>
      </w:r>
    </w:p>
    <w:p w14:paraId="466AC69D" w14:textId="77777777" w:rsidR="003C70B1" w:rsidRDefault="003C70B1" w:rsidP="000F3B26">
      <w:pPr>
        <w:rPr>
          <w:rFonts w:cs="Arial"/>
          <w:iCs/>
        </w:rPr>
      </w:pPr>
      <w:r>
        <w:rPr>
          <w:rFonts w:cs="Arial"/>
          <w:iCs/>
        </w:rPr>
        <w:t>There is a possibility that an extra credit assignment will be made available during the semester</w:t>
      </w:r>
    </w:p>
    <w:p w14:paraId="75DAD2E9" w14:textId="33441F23"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6"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3731A619" w14:textId="3B3E185C" w:rsidR="00F058D6" w:rsidRDefault="00F058D6" w:rsidP="003C70B1">
      <w:pPr>
        <w:pStyle w:val="Heading2"/>
      </w:pPr>
      <w:r w:rsidRPr="003C70B1">
        <w:rPr>
          <w:b/>
          <w:bCs/>
          <w:color w:val="538135" w:themeColor="accent6" w:themeShade="BF"/>
        </w:rPr>
        <w:t>Syllabus Change Policy</w:t>
      </w:r>
      <w:r w:rsidRPr="00F058D6">
        <w:rPr>
          <w:b/>
        </w:rPr>
        <w:br/>
      </w:r>
      <w:r w:rsidR="003C70B1" w:rsidRPr="003C70B1">
        <w:rPr>
          <w:color w:val="auto"/>
        </w:rPr>
        <w:t xml:space="preserve">This syllabus is subject to change at any time. Any changes will be communicated with the students. </w:t>
      </w:r>
    </w:p>
    <w:p w14:paraId="7E8DBFF6" w14:textId="5574BD0E" w:rsidR="00F058D6" w:rsidRPr="005D5441" w:rsidRDefault="009476BD" w:rsidP="00EC6692">
      <w:pPr>
        <w:pStyle w:val="Heading2"/>
        <w:rPr>
          <w:b/>
          <w:bCs/>
          <w:color w:val="538135" w:themeColor="accent6" w:themeShade="BF"/>
        </w:rPr>
      </w:pPr>
      <w:r w:rsidRPr="005D5441">
        <w:rPr>
          <w:b/>
          <w:bCs/>
          <w:color w:val="538135" w:themeColor="accent6" w:themeShade="BF"/>
        </w:rPr>
        <w:t>UNT Policies</w:t>
      </w:r>
    </w:p>
    <w:p w14:paraId="381C3049" w14:textId="3EF2BE4B" w:rsidR="00EC6692" w:rsidRPr="00CA2745" w:rsidRDefault="00CA2745" w:rsidP="00CA2745">
      <w:pPr>
        <w:pStyle w:val="Heading3"/>
      </w:pPr>
      <w: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5D5441" w:rsidRDefault="000A484F" w:rsidP="005D5441">
      <w:pPr>
        <w:pStyle w:val="Heading2"/>
        <w:rPr>
          <w:b/>
          <w:bCs/>
          <w:color w:val="538135" w:themeColor="accent6" w:themeShade="BF"/>
        </w:rPr>
      </w:pPr>
      <w:r w:rsidRPr="005D5441">
        <w:rPr>
          <w:b/>
          <w:bCs/>
          <w:color w:val="538135" w:themeColor="accent6" w:themeShade="BF"/>
        </w:rP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E06E54">
          <w:rPr>
            <w:rStyle w:val="Hyperlink"/>
          </w:rPr>
          <w:t>ODA website</w:t>
        </w:r>
      </w:hyperlink>
      <w:r>
        <w:t xml:space="preserve"> </w:t>
      </w:r>
      <w:r w:rsidR="00E06E54">
        <w:t>(</w:t>
      </w:r>
      <w:hyperlink r:id="rId18" w:history="1">
        <w:r w:rsidR="00B47E5C" w:rsidRPr="00B0431F">
          <w:rPr>
            <w:rStyle w:val="Hyperlink"/>
          </w:rPr>
          <w:t>https://disability.unt.edu/</w:t>
        </w:r>
      </w:hyperlink>
      <w:r w:rsidR="00E06E54">
        <w:t>).</w:t>
      </w:r>
    </w:p>
    <w:p w14:paraId="25E24BA4" w14:textId="77777777" w:rsidR="00B47E5C" w:rsidRPr="005D5441" w:rsidRDefault="00B47E5C" w:rsidP="005D5441">
      <w:pPr>
        <w:pStyle w:val="Heading2"/>
        <w:rPr>
          <w:b/>
          <w:bCs/>
          <w:color w:val="538135" w:themeColor="accent6" w:themeShade="BF"/>
        </w:rPr>
      </w:pPr>
      <w:r w:rsidRPr="005D5441">
        <w:rPr>
          <w:b/>
          <w:bCs/>
          <w:color w:val="538135" w:themeColor="accent6" w:themeShade="BF"/>
        </w:rPr>
        <w:t>Prohibition of Discrimination, Harassment, and Retaliation (Policy 16.004)</w:t>
      </w:r>
    </w:p>
    <w:p w14:paraId="09EC8062" w14:textId="5105F609" w:rsidR="00B47E5C" w:rsidRDefault="00B47E5C" w:rsidP="000A484F">
      <w:r w:rsidRPr="00E872FF">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w:t>
      </w:r>
      <w:r w:rsidRPr="00E872FF">
        <w:lastRenderedPageBreak/>
        <w:t>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5D5441" w:rsidRDefault="00E154E5" w:rsidP="005D5441">
      <w:pPr>
        <w:pStyle w:val="Heading2"/>
        <w:rPr>
          <w:b/>
          <w:bCs/>
          <w:color w:val="538135" w:themeColor="accent6" w:themeShade="BF"/>
        </w:rPr>
      </w:pPr>
      <w:r w:rsidRPr="005D5441">
        <w:rPr>
          <w:b/>
          <w:bCs/>
          <w:color w:val="538135" w:themeColor="accent6" w:themeShade="BF"/>
        </w:rPr>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5D5441" w:rsidRDefault="00E154E5" w:rsidP="005D5441">
      <w:pPr>
        <w:pStyle w:val="Heading2"/>
        <w:rPr>
          <w:b/>
          <w:bCs/>
          <w:color w:val="538135" w:themeColor="accent6" w:themeShade="BF"/>
        </w:rPr>
      </w:pPr>
      <w:r w:rsidRPr="005D5441">
        <w:rPr>
          <w:b/>
          <w:bCs/>
          <w:color w:val="538135" w:themeColor="accent6" w:themeShade="BF"/>
        </w:rPr>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9"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20"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1"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5D5441" w:rsidRDefault="00E154E5" w:rsidP="005D5441">
      <w:pPr>
        <w:pStyle w:val="Heading2"/>
        <w:rPr>
          <w:b/>
          <w:bCs/>
          <w:color w:val="538135" w:themeColor="accent6" w:themeShade="BF"/>
        </w:rPr>
      </w:pPr>
      <w:r w:rsidRPr="005D5441">
        <w:rPr>
          <w:b/>
          <w:bCs/>
          <w:color w:val="538135" w:themeColor="accent6" w:themeShade="BF"/>
        </w:rPr>
        <w:t>Student Evaluation Administration Dates</w:t>
      </w:r>
    </w:p>
    <w:p w14:paraId="2AD8F316" w14:textId="6DA44DDD" w:rsidR="00E154E5" w:rsidRDefault="00E154E5" w:rsidP="00E154E5">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2"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w:t>
      </w:r>
      <w:r>
        <w:lastRenderedPageBreak/>
        <w:t xml:space="preserve">been submitted. For additional information, please visit the </w:t>
      </w:r>
      <w:hyperlink r:id="rId23"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4" w:history="1">
        <w:r w:rsidRPr="00485B96">
          <w:rPr>
            <w:rStyle w:val="Hyperlink"/>
          </w:rPr>
          <w:t>spot@unt.edu</w:t>
        </w:r>
      </w:hyperlink>
      <w:r>
        <w:t>.</w:t>
      </w:r>
    </w:p>
    <w:p w14:paraId="5FF264E3" w14:textId="20928820" w:rsidR="00E154E5" w:rsidRPr="005D5441" w:rsidRDefault="00DE6A56" w:rsidP="005D5441">
      <w:pPr>
        <w:pStyle w:val="Heading2"/>
        <w:rPr>
          <w:b/>
          <w:bCs/>
          <w:color w:val="538135" w:themeColor="accent6" w:themeShade="BF"/>
        </w:rPr>
      </w:pPr>
      <w:r w:rsidRPr="005D5441">
        <w:rPr>
          <w:b/>
          <w:bCs/>
          <w:color w:val="538135" w:themeColor="accent6" w:themeShade="BF"/>
        </w:rP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history="1">
        <w:r w:rsidRPr="00A65EF1">
          <w:rPr>
            <w:rStyle w:val="Hyperlink"/>
            <w:color w:val="auto"/>
          </w:rPr>
          <w:t>SurvivorAdvocate@unt.edu</w:t>
        </w:r>
      </w:hyperlink>
      <w:r w:rsidRPr="00A65EF1">
        <w:t xml:space="preserve"> or by calling the Dean of Students Office at 940-5652648.</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26"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lastRenderedPageBreak/>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7"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8"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proofErr w:type="gramStart"/>
      <w:r w:rsidR="003829E2">
        <w:t>instructor records student presentations</w:t>
      </w:r>
      <w:proofErr w:type="gramEnd"/>
      <w:r w:rsidR="003829E2">
        <w:t xml:space="preserve">,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lastRenderedPageBreak/>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950D14" w:rsidP="00B9294D">
      <w:pPr>
        <w:pStyle w:val="ListParagraph"/>
        <w:numPr>
          <w:ilvl w:val="0"/>
          <w:numId w:val="20"/>
        </w:numPr>
      </w:pPr>
      <w:hyperlink r:id="rId29"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950D14" w:rsidP="00B9294D">
      <w:pPr>
        <w:pStyle w:val="ListParagraph"/>
        <w:numPr>
          <w:ilvl w:val="0"/>
          <w:numId w:val="20"/>
        </w:numPr>
      </w:pPr>
      <w:hyperlink r:id="rId30"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950D14" w:rsidP="00B9294D">
      <w:pPr>
        <w:pStyle w:val="ListParagraph"/>
        <w:numPr>
          <w:ilvl w:val="0"/>
          <w:numId w:val="20"/>
        </w:numPr>
      </w:pPr>
      <w:hyperlink r:id="rId31"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950D14" w:rsidP="00B9294D">
      <w:pPr>
        <w:pStyle w:val="ListParagraph"/>
        <w:numPr>
          <w:ilvl w:val="0"/>
          <w:numId w:val="20"/>
        </w:numPr>
      </w:pPr>
      <w:hyperlink r:id="rId32"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950D14" w:rsidP="00B9294D">
      <w:pPr>
        <w:pStyle w:val="ListParagraph"/>
        <w:numPr>
          <w:ilvl w:val="0"/>
          <w:numId w:val="20"/>
        </w:numPr>
      </w:pPr>
      <w:hyperlink r:id="rId33"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950D14" w:rsidP="00DC43B6">
      <w:pPr>
        <w:pStyle w:val="ListParagraph"/>
        <w:numPr>
          <w:ilvl w:val="0"/>
          <w:numId w:val="28"/>
        </w:numPr>
      </w:pPr>
      <w:hyperlink r:id="rId34" w:history="1">
        <w:r w:rsidR="00DC43B6" w:rsidRPr="00EA46CA">
          <w:rPr>
            <w:rStyle w:val="Hyperlink"/>
          </w:rPr>
          <w:t>UNT Records</w:t>
        </w:r>
      </w:hyperlink>
    </w:p>
    <w:p w14:paraId="16460839" w14:textId="03FA6DF9" w:rsidR="00DC43B6" w:rsidRPr="00BA168A" w:rsidRDefault="00950D14" w:rsidP="00DC43B6">
      <w:pPr>
        <w:pStyle w:val="ListParagraph"/>
        <w:numPr>
          <w:ilvl w:val="0"/>
          <w:numId w:val="28"/>
        </w:numPr>
      </w:pPr>
      <w:hyperlink r:id="rId35" w:history="1">
        <w:r w:rsidR="00DC43B6" w:rsidRPr="00EA46CA">
          <w:rPr>
            <w:rStyle w:val="Hyperlink"/>
          </w:rPr>
          <w:t>UNT ID Card</w:t>
        </w:r>
      </w:hyperlink>
    </w:p>
    <w:p w14:paraId="444ACF12" w14:textId="5045D040" w:rsidR="00DC43B6" w:rsidRPr="00BA168A" w:rsidRDefault="00950D14" w:rsidP="00DC43B6">
      <w:pPr>
        <w:pStyle w:val="ListParagraph"/>
        <w:numPr>
          <w:ilvl w:val="0"/>
          <w:numId w:val="28"/>
        </w:numPr>
      </w:pPr>
      <w:hyperlink r:id="rId36" w:history="1">
        <w:r w:rsidR="00DC43B6" w:rsidRPr="00EA46CA">
          <w:rPr>
            <w:rStyle w:val="Hyperlink"/>
          </w:rPr>
          <w:t>UNT Email Address</w:t>
        </w:r>
      </w:hyperlink>
    </w:p>
    <w:p w14:paraId="6E875CFA" w14:textId="0B713D3B" w:rsidR="00157417" w:rsidRPr="00157417" w:rsidRDefault="00950D14" w:rsidP="00157417">
      <w:pPr>
        <w:pStyle w:val="ListParagraph"/>
        <w:numPr>
          <w:ilvl w:val="0"/>
          <w:numId w:val="28"/>
        </w:numPr>
        <w:rPr>
          <w:rStyle w:val="Hyperlink"/>
          <w:color w:val="auto"/>
          <w:u w:val="none"/>
        </w:rPr>
      </w:pPr>
      <w:hyperlink r:id="rId37"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8"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950D14" w:rsidP="00DC43B6">
      <w:pPr>
        <w:pStyle w:val="ListParagraph"/>
        <w:numPr>
          <w:ilvl w:val="0"/>
          <w:numId w:val="29"/>
        </w:numPr>
      </w:pPr>
      <w:hyperlink r:id="rId39" w:history="1">
        <w:r w:rsidR="00DC43B6" w:rsidRPr="00912FCE">
          <w:rPr>
            <w:rStyle w:val="Hyperlink"/>
          </w:rPr>
          <w:t>What are pronouns and why are they important?</w:t>
        </w:r>
      </w:hyperlink>
    </w:p>
    <w:p w14:paraId="5E7F1F87" w14:textId="77777777" w:rsidR="00DC43B6" w:rsidRDefault="00950D14" w:rsidP="00DC43B6">
      <w:pPr>
        <w:pStyle w:val="ListParagraph"/>
        <w:numPr>
          <w:ilvl w:val="0"/>
          <w:numId w:val="29"/>
        </w:numPr>
      </w:pPr>
      <w:hyperlink r:id="rId40" w:history="1">
        <w:r w:rsidR="00DC43B6" w:rsidRPr="00912FCE">
          <w:rPr>
            <w:rStyle w:val="Hyperlink"/>
          </w:rPr>
          <w:t>How do I use pronouns?</w:t>
        </w:r>
      </w:hyperlink>
    </w:p>
    <w:p w14:paraId="4DE95FAD" w14:textId="77777777" w:rsidR="00DC43B6" w:rsidRDefault="00950D14" w:rsidP="00DC43B6">
      <w:pPr>
        <w:pStyle w:val="ListParagraph"/>
        <w:numPr>
          <w:ilvl w:val="0"/>
          <w:numId w:val="29"/>
        </w:numPr>
      </w:pPr>
      <w:hyperlink r:id="rId41" w:history="1">
        <w:r w:rsidR="00DC43B6" w:rsidRPr="00912FCE">
          <w:rPr>
            <w:rStyle w:val="Hyperlink"/>
          </w:rPr>
          <w:t>How do I share my pronouns?</w:t>
        </w:r>
      </w:hyperlink>
    </w:p>
    <w:p w14:paraId="0D083D54" w14:textId="77777777" w:rsidR="00DC43B6" w:rsidRDefault="00950D14" w:rsidP="00DC43B6">
      <w:pPr>
        <w:pStyle w:val="ListParagraph"/>
        <w:numPr>
          <w:ilvl w:val="0"/>
          <w:numId w:val="29"/>
        </w:numPr>
      </w:pPr>
      <w:hyperlink r:id="rId42" w:history="1">
        <w:r w:rsidR="00DC43B6" w:rsidRPr="00912FCE">
          <w:rPr>
            <w:rStyle w:val="Hyperlink"/>
          </w:rPr>
          <w:t>How do I ask for another person’s pronouns?</w:t>
        </w:r>
      </w:hyperlink>
    </w:p>
    <w:p w14:paraId="10256BF4" w14:textId="77777777" w:rsidR="00DC43B6" w:rsidRDefault="00950D14" w:rsidP="00DC43B6">
      <w:pPr>
        <w:pStyle w:val="ListParagraph"/>
        <w:numPr>
          <w:ilvl w:val="0"/>
          <w:numId w:val="29"/>
        </w:numPr>
      </w:pPr>
      <w:hyperlink r:id="rId43"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950D14" w:rsidP="00B9294D">
      <w:pPr>
        <w:pStyle w:val="ListParagraph"/>
        <w:numPr>
          <w:ilvl w:val="0"/>
          <w:numId w:val="13"/>
        </w:numPr>
      </w:pPr>
      <w:hyperlink r:id="rId44"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950D14" w:rsidP="00B9294D">
      <w:pPr>
        <w:pStyle w:val="ListParagraph"/>
        <w:numPr>
          <w:ilvl w:val="0"/>
          <w:numId w:val="13"/>
        </w:numPr>
      </w:pPr>
      <w:hyperlink r:id="rId45"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950D14" w:rsidP="00B9294D">
      <w:pPr>
        <w:pStyle w:val="ListParagraph"/>
        <w:numPr>
          <w:ilvl w:val="0"/>
          <w:numId w:val="13"/>
        </w:numPr>
      </w:pPr>
      <w:hyperlink r:id="rId46"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950D14" w:rsidP="00B9294D">
      <w:pPr>
        <w:pStyle w:val="ListParagraph"/>
        <w:numPr>
          <w:ilvl w:val="0"/>
          <w:numId w:val="13"/>
        </w:numPr>
      </w:pPr>
      <w:hyperlink r:id="rId47"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950D14" w:rsidP="00B9294D">
      <w:pPr>
        <w:pStyle w:val="ListParagraph"/>
        <w:numPr>
          <w:ilvl w:val="0"/>
          <w:numId w:val="13"/>
        </w:numPr>
      </w:pPr>
      <w:hyperlink r:id="rId48"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950D14" w:rsidP="00B9294D">
      <w:pPr>
        <w:pStyle w:val="ListParagraph"/>
        <w:numPr>
          <w:ilvl w:val="0"/>
          <w:numId w:val="13"/>
        </w:numPr>
      </w:pPr>
      <w:hyperlink r:id="rId49"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950D14" w:rsidP="00B9294D">
      <w:pPr>
        <w:pStyle w:val="ListParagraph"/>
        <w:numPr>
          <w:ilvl w:val="0"/>
          <w:numId w:val="13"/>
        </w:numPr>
      </w:pPr>
      <w:hyperlink r:id="rId50"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950D14" w:rsidP="00B9294D">
      <w:pPr>
        <w:pStyle w:val="ListParagraph"/>
        <w:numPr>
          <w:ilvl w:val="0"/>
          <w:numId w:val="13"/>
        </w:numPr>
      </w:pPr>
      <w:hyperlink r:id="rId51"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950D14" w:rsidP="00B9294D">
      <w:pPr>
        <w:pStyle w:val="ListParagraph"/>
        <w:numPr>
          <w:ilvl w:val="0"/>
          <w:numId w:val="14"/>
        </w:numPr>
      </w:pPr>
      <w:hyperlink r:id="rId52"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950D14" w:rsidP="00B9294D">
      <w:pPr>
        <w:pStyle w:val="ListParagraph"/>
        <w:numPr>
          <w:ilvl w:val="0"/>
          <w:numId w:val="14"/>
        </w:numPr>
      </w:pPr>
      <w:hyperlink r:id="rId53"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950D14" w:rsidP="00B9294D">
      <w:pPr>
        <w:pStyle w:val="ListParagraph"/>
        <w:numPr>
          <w:ilvl w:val="0"/>
          <w:numId w:val="14"/>
        </w:numPr>
      </w:pPr>
      <w:hyperlink r:id="rId54"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543B68C3" w14:textId="28E798A9" w:rsidR="00B9294D" w:rsidRDefault="00950D14" w:rsidP="00B9294D">
      <w:pPr>
        <w:pStyle w:val="ListParagraph"/>
        <w:numPr>
          <w:ilvl w:val="0"/>
          <w:numId w:val="14"/>
        </w:numPr>
      </w:pPr>
      <w:hyperlink r:id="rId55" w:history="1">
        <w:r w:rsidR="00B9294D" w:rsidRPr="00057A98">
          <w:rPr>
            <w:rStyle w:val="Hyperlink"/>
          </w:rPr>
          <w:t>Writing Lab</w:t>
        </w:r>
      </w:hyperlink>
      <w:r w:rsidR="00B9294D">
        <w:t xml:space="preserve"> (</w:t>
      </w:r>
      <w:hyperlink r:id="rId56" w:history="1">
        <w:r w:rsidR="00B47E5C" w:rsidRPr="00B0431F">
          <w:rPr>
            <w:rStyle w:val="Hyperlink"/>
          </w:rPr>
          <w:t>http://writingcenter.unt.edu/</w:t>
        </w:r>
      </w:hyperlink>
      <w:r w:rsidR="00B9294D">
        <w:t>)</w:t>
      </w:r>
    </w:p>
    <w:p w14:paraId="476D067B" w14:textId="77777777" w:rsidR="00912FCE" w:rsidRPr="009F0D94" w:rsidRDefault="00912FCE" w:rsidP="00912FCE"/>
    <w:p w14:paraId="71627DD1" w14:textId="77777777" w:rsidR="00912FCE" w:rsidRPr="00912FCE" w:rsidRDefault="00912FCE" w:rsidP="00912FCE"/>
    <w:p w14:paraId="30642979" w14:textId="77777777" w:rsidR="00C21DBC" w:rsidRPr="00772461" w:rsidRDefault="00C21DBC" w:rsidP="00C21DBC">
      <w:pPr>
        <w:jc w:val="center"/>
        <w:rPr>
          <w:color w:val="000000" w:themeColor="text1"/>
        </w:rPr>
      </w:pPr>
      <w:r w:rsidRPr="00772461">
        <w:rPr>
          <w:b/>
          <w:color w:val="000000" w:themeColor="text1"/>
        </w:rPr>
        <w:t>Teacher Education &amp; Administration</w:t>
      </w:r>
    </w:p>
    <w:p w14:paraId="0D97C2C1" w14:textId="77777777" w:rsidR="00C21DBC" w:rsidRPr="00772461" w:rsidRDefault="00C21DBC" w:rsidP="00C21DBC">
      <w:pPr>
        <w:jc w:val="center"/>
        <w:rPr>
          <w:b/>
          <w:bCs/>
          <w:i/>
          <w:color w:val="000000" w:themeColor="text1"/>
        </w:rPr>
      </w:pPr>
      <w:r w:rsidRPr="00772461">
        <w:rPr>
          <w:b/>
          <w:bCs/>
          <w:i/>
          <w:color w:val="000000" w:themeColor="text1"/>
        </w:rPr>
        <w:t>Departmental Policy Statements</w:t>
      </w:r>
    </w:p>
    <w:p w14:paraId="121717A5" w14:textId="77777777" w:rsidR="00C21DBC" w:rsidRPr="00772461" w:rsidRDefault="00C21DBC" w:rsidP="00C21DBC">
      <w:pPr>
        <w:rPr>
          <w:rFonts w:eastAsia="Verdana"/>
          <w:bCs/>
          <w:color w:val="000000" w:themeColor="text1"/>
          <w:sz w:val="18"/>
        </w:rPr>
      </w:pPr>
    </w:p>
    <w:p w14:paraId="1AF2CAE4" w14:textId="77777777" w:rsidR="00C21DBC" w:rsidRPr="00772461" w:rsidRDefault="00C21DBC" w:rsidP="00C21DBC">
      <w:pPr>
        <w:rPr>
          <w:rFonts w:eastAsia="SimSun"/>
          <w:lang w:eastAsia="zh-CN"/>
        </w:rPr>
      </w:pPr>
      <w:r w:rsidRPr="00C21DBC">
        <w:rPr>
          <w:rFonts w:eastAsia="SimSun"/>
          <w:b/>
          <w:bCs/>
          <w:i/>
          <w:lang w:eastAsia="zh-CN"/>
        </w:rPr>
        <w:t>UNT Career Connect:</w:t>
      </w:r>
      <w:r w:rsidRPr="00772461">
        <w:rPr>
          <w:rFonts w:eastAsia="SimSun"/>
          <w:i/>
          <w:lang w:eastAsia="zh-CN"/>
        </w:rPr>
        <w:t xml:space="preserve"> </w:t>
      </w:r>
      <w:r w:rsidRPr="00772461">
        <w:rPr>
          <w:rFonts w:eastAsia="SimSun"/>
          <w:lang w:eastAsia="zh-CN"/>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sidRPr="00772461">
        <w:rPr>
          <w:rFonts w:eastAsia="SimSun"/>
          <w:lang w:eastAsia="zh-CN"/>
        </w:rPr>
        <w:t>are able to</w:t>
      </w:r>
      <w:proofErr w:type="gramEnd"/>
      <w:r w:rsidRPr="00772461">
        <w:rPr>
          <w:rFonts w:eastAsia="SimSun"/>
          <w:lang w:eastAsia="zh-CN"/>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57" w:history="1">
        <w:r w:rsidRPr="00772461">
          <w:rPr>
            <w:rStyle w:val="Hyperlink"/>
            <w:rFonts w:eastAsia="SimSun"/>
            <w:lang w:eastAsia="zh-CN"/>
          </w:rPr>
          <w:t>http://careerconnect.unt.edu/default</w:t>
        </w:r>
      </w:hyperlink>
      <w:r w:rsidRPr="00772461">
        <w:rPr>
          <w:rFonts w:eastAsia="SimSun"/>
          <w:lang w:eastAsia="zh-CN"/>
        </w:rPr>
        <w:t xml:space="preserve"> .</w:t>
      </w:r>
    </w:p>
    <w:p w14:paraId="12538E48" w14:textId="77777777" w:rsidR="00C21DBC" w:rsidRPr="00772461" w:rsidRDefault="00C21DBC" w:rsidP="00C21DBC">
      <w:pPr>
        <w:rPr>
          <w:rFonts w:eastAsia="SimSun"/>
          <w:lang w:eastAsia="zh-CN"/>
        </w:rPr>
      </w:pPr>
      <w:r w:rsidRPr="00C21DBC">
        <w:rPr>
          <w:rFonts w:eastAsia="SimSun"/>
          <w:b/>
          <w:bCs/>
          <w:i/>
          <w:lang w:eastAsia="zh-CN"/>
        </w:rPr>
        <w:t>Disabilities Accommodation:</w:t>
      </w:r>
      <w:r w:rsidRPr="00772461">
        <w:rPr>
          <w:rFonts w:eastAsia="SimSun"/>
          <w:i/>
          <w:lang w:eastAsia="zh-CN"/>
        </w:rPr>
        <w:t xml:space="preserve"> </w:t>
      </w:r>
      <w:r w:rsidRPr="00772461">
        <w:rPr>
          <w:rFonts w:eastAsia="SimSun"/>
          <w:lang w:eastAsia="zh-CN"/>
        </w:rPr>
        <w:t xml:space="preserve">“The University of North Texas complies with Section 504 of the 1973 Rehabilitation Act and with the Americans with Disabilities Act of 1990. The University of North Texas </w:t>
      </w:r>
      <w:r w:rsidRPr="00772461">
        <w:rPr>
          <w:rFonts w:eastAsia="SimSun"/>
          <w:lang w:eastAsia="zh-CN"/>
        </w:rPr>
        <w:lastRenderedPageBreak/>
        <w:t>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Jemimah Young is the compliance officer and contact person for the Department of Teacher Education &amp; Administration.</w:t>
      </w:r>
    </w:p>
    <w:p w14:paraId="74CE7DF8" w14:textId="77777777" w:rsidR="00C21DBC" w:rsidRPr="00772461" w:rsidRDefault="00C21DBC" w:rsidP="00C21DBC">
      <w:r w:rsidRPr="00C21DBC">
        <w:rPr>
          <w:b/>
          <w:bCs/>
          <w:i/>
        </w:rPr>
        <w:t>Observation of Religious Holidays:</w:t>
      </w:r>
      <w:r w:rsidRPr="00772461">
        <w:rPr>
          <w:i/>
        </w:rPr>
        <w:t xml:space="preserve">  </w:t>
      </w:r>
      <w:r w:rsidRPr="00772461">
        <w:t>If you plan to observe a religious holy day that coincides with a class day, please notify your instructor as soon as possible.</w:t>
      </w:r>
    </w:p>
    <w:p w14:paraId="583BF045" w14:textId="77777777" w:rsidR="00C21DBC" w:rsidRPr="00772461" w:rsidRDefault="00C21DBC" w:rsidP="00C21DBC">
      <w:r w:rsidRPr="00C21DBC">
        <w:rPr>
          <w:b/>
          <w:bCs/>
          <w:i/>
        </w:rPr>
        <w:t>Academic Integrity:</w:t>
      </w:r>
      <w:r w:rsidRPr="00772461">
        <w:rPr>
          <w:i/>
        </w:rPr>
        <w:t xml:space="preserve"> </w:t>
      </w:r>
      <w:r w:rsidRPr="00772461">
        <w:t xml:space="preserve">Students are encouraged to become familiar with UNT’s policy on Student Standards of Academic Integrity: </w:t>
      </w:r>
      <w:hyperlink r:id="rId58" w:history="1">
        <w:r w:rsidRPr="00772461">
          <w:rPr>
            <w:rStyle w:val="Hyperlink"/>
          </w:rPr>
          <w:t>http://policy.unt.edu/sites/default/files/untpolicy/pdf/7-Student_Affairs-Academic_Integrity.pdf</w:t>
        </w:r>
      </w:hyperlink>
      <w:r w:rsidRPr="00772461">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7F14A6BF" w14:textId="77777777" w:rsidR="00C21DBC" w:rsidRPr="00772461" w:rsidRDefault="00C21DBC" w:rsidP="00C21DBC">
      <w:pPr>
        <w:contextualSpacing/>
        <w:rPr>
          <w:color w:val="0000FF"/>
        </w:rPr>
      </w:pPr>
      <w:r w:rsidRPr="00C21DBC">
        <w:rPr>
          <w:b/>
          <w:bCs/>
          <w:i/>
        </w:rPr>
        <w:t>Acceptable Student Behavior</w:t>
      </w:r>
      <w:r w:rsidRPr="00772461">
        <w:rPr>
          <w:i/>
        </w:rPr>
        <w:t xml:space="preserve">: </w:t>
      </w:r>
      <w:r w:rsidRPr="00772461">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59" w:history="1">
        <w:r w:rsidRPr="00772461">
          <w:rPr>
            <w:rStyle w:val="Hyperlink"/>
          </w:rPr>
          <w:t>https://deanofstudents.unt.edu/conduct</w:t>
        </w:r>
      </w:hyperlink>
      <w:r w:rsidRPr="00772461">
        <w:t xml:space="preserve"> </w:t>
      </w:r>
    </w:p>
    <w:p w14:paraId="564DE51F" w14:textId="77777777" w:rsidR="00C21DBC" w:rsidRPr="00772461" w:rsidRDefault="00C21DBC" w:rsidP="00C21DBC"/>
    <w:p w14:paraId="36A3446B" w14:textId="77777777" w:rsidR="00C21DBC" w:rsidRPr="00772461" w:rsidRDefault="00C21DBC" w:rsidP="00C21DBC">
      <w:pPr>
        <w:rPr>
          <w:rFonts w:eastAsia="MS Mincho"/>
        </w:rPr>
      </w:pPr>
      <w:r w:rsidRPr="00C21DBC">
        <w:rPr>
          <w:rFonts w:eastAsia="MS Mincho"/>
          <w:b/>
          <w:bCs/>
          <w:i/>
          <w:iCs/>
        </w:rPr>
        <w:t>Eagle Connect</w:t>
      </w:r>
      <w:r w:rsidRPr="00C21DBC">
        <w:rPr>
          <w:rFonts w:eastAsia="MS Mincho"/>
          <w:b/>
          <w:bCs/>
        </w:rPr>
        <w:t>:</w:t>
      </w:r>
      <w:r w:rsidRPr="00772461">
        <w:rPr>
          <w:rFonts w:eastAsia="MS Mincho"/>
        </w:rPr>
        <w:t xml:space="preserve"> All official correspondence between UNT and students is conducted via Eagle Connect and it is the student's responsibility to read their Eagle Connect Email regularly.</w:t>
      </w:r>
    </w:p>
    <w:p w14:paraId="79AE8947" w14:textId="79BA4A0B" w:rsidR="00C21DBC" w:rsidRPr="00772461" w:rsidRDefault="00C21DBC" w:rsidP="00C21DBC">
      <w:r w:rsidRPr="00C21DBC">
        <w:rPr>
          <w:b/>
          <w:bCs/>
          <w:i/>
        </w:rPr>
        <w:t>Collection of Student Work</w:t>
      </w:r>
      <w:r w:rsidRPr="00C21DBC">
        <w:rPr>
          <w:b/>
          <w:bCs/>
        </w:rPr>
        <w:t>:</w:t>
      </w:r>
      <w:r w:rsidRPr="00772461">
        <w:t xml:space="preserve">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4F603181" w14:textId="77777777" w:rsidR="00C21DBC" w:rsidRPr="00772461" w:rsidRDefault="00C21DBC" w:rsidP="00C21DBC">
      <w:pPr>
        <w:ind w:right="-720"/>
        <w:contextualSpacing/>
      </w:pPr>
      <w:r w:rsidRPr="00C21DBC">
        <w:rPr>
          <w:b/>
          <w:bCs/>
          <w:i/>
        </w:rPr>
        <w:t>Comprehensive Arts Program Policy</w:t>
      </w:r>
      <w:r w:rsidRPr="00772461">
        <w:rPr>
          <w:i/>
        </w:rPr>
        <w:t xml:space="preserve">.  </w:t>
      </w:r>
      <w:r w:rsidRPr="00772461">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3858030C" w14:textId="77777777" w:rsidR="00C21DBC" w:rsidRPr="00772461" w:rsidRDefault="00C21DBC" w:rsidP="00C21DBC">
      <w:pPr>
        <w:contextualSpacing/>
        <w:rPr>
          <w:i/>
        </w:rPr>
      </w:pPr>
    </w:p>
    <w:p w14:paraId="2379AD64" w14:textId="77777777" w:rsidR="00C21DBC" w:rsidRPr="00772461" w:rsidRDefault="00C21DBC" w:rsidP="00C21DBC">
      <w:pPr>
        <w:contextualSpacing/>
      </w:pPr>
      <w:r w:rsidRPr="00C21DBC">
        <w:rPr>
          <w:b/>
          <w:bCs/>
          <w:i/>
        </w:rPr>
        <w:t>Technology Integration Policy</w:t>
      </w:r>
      <w:r w:rsidRPr="00772461">
        <w:rPr>
          <w:i/>
        </w:rPr>
        <w:t xml:space="preserve">.  </w:t>
      </w:r>
      <w:r w:rsidRPr="00772461">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0DFD9A7E" w14:textId="77777777" w:rsidR="00C21DBC" w:rsidRPr="00772461" w:rsidRDefault="00C21DBC" w:rsidP="00C21DBC">
      <w:pPr>
        <w:contextualSpacing/>
      </w:pPr>
    </w:p>
    <w:p w14:paraId="551C79FC" w14:textId="77777777" w:rsidR="00C21DBC" w:rsidRPr="00772461" w:rsidRDefault="00C21DBC" w:rsidP="00C21DBC">
      <w:pPr>
        <w:contextualSpacing/>
      </w:pPr>
      <w:proofErr w:type="spellStart"/>
      <w:r w:rsidRPr="00C21DBC">
        <w:rPr>
          <w:b/>
          <w:bCs/>
          <w:i/>
        </w:rPr>
        <w:t>TExES</w:t>
      </w:r>
      <w:proofErr w:type="spellEnd"/>
      <w:r w:rsidRPr="00C21DBC">
        <w:rPr>
          <w:b/>
          <w:bCs/>
          <w:i/>
        </w:rPr>
        <w:t xml:space="preserve"> Test Preparation</w:t>
      </w:r>
      <w:r w:rsidRPr="00C21DBC">
        <w:rPr>
          <w:b/>
          <w:bCs/>
        </w:rPr>
        <w:t>.</w:t>
      </w:r>
      <w:r w:rsidRPr="00772461">
        <w:t xml:space="preserve">  To meet state requirements for providing 6 hours of test preparation for teacher certification candidates, the UNT </w:t>
      </w:r>
      <w:proofErr w:type="spellStart"/>
      <w:r w:rsidRPr="00772461">
        <w:t>TExES</w:t>
      </w:r>
      <w:proofErr w:type="spellEnd"/>
      <w:r w:rsidRPr="00772461">
        <w:t xml:space="preserve"> Advising Office (TAO) administers the College of Education </w:t>
      </w:r>
      <w:proofErr w:type="spellStart"/>
      <w:r w:rsidRPr="00772461">
        <w:t>TExES</w:t>
      </w:r>
      <w:proofErr w:type="spellEnd"/>
      <w:r w:rsidRPr="00772461">
        <w:t xml:space="preserve"> Practice Exams.  Students who want to take a practice exam should contact the TAO (Matthews Hall 103).  Students may take up to </w:t>
      </w:r>
      <w:r w:rsidRPr="00772461">
        <w:rPr>
          <w:i/>
        </w:rPr>
        <w:t>two exams</w:t>
      </w:r>
      <w:r w:rsidRPr="00772461">
        <w:t xml:space="preserve"> per session that relate to their teaching </w:t>
      </w:r>
      <w:r w:rsidRPr="00772461">
        <w:lastRenderedPageBreak/>
        <w:t xml:space="preserve">track/field at UNT.  Students should also plan accordingly, as they are required to stay for the entire testing period.  Current students must meet the following criteria in order to sit for the </w:t>
      </w:r>
      <w:proofErr w:type="spellStart"/>
      <w:r w:rsidRPr="00772461">
        <w:t>TExES</w:t>
      </w:r>
      <w:proofErr w:type="spellEnd"/>
      <w:r w:rsidRPr="00772461">
        <w:t xml:space="preserve"> practice exams:  Students must (1) be admitted to Teacher Education, (2) have a certification plan on file with the COE Student Advising Office, and (3) be enrolled in coursework for the current semester.  For </w:t>
      </w:r>
      <w:proofErr w:type="spellStart"/>
      <w:r w:rsidRPr="00772461">
        <w:t>TExES</w:t>
      </w:r>
      <w:proofErr w:type="spellEnd"/>
      <w:r w:rsidRPr="00772461">
        <w:t xml:space="preserve"> practice exam information and registration, go to: </w:t>
      </w:r>
      <w:hyperlink r:id="rId60" w:history="1">
        <w:r w:rsidRPr="00772461">
          <w:rPr>
            <w:rStyle w:val="Hyperlink"/>
          </w:rPr>
          <w:t>http://www.coe.unt.edu/texes-advising-office/texes-exams</w:t>
        </w:r>
      </w:hyperlink>
      <w:r w:rsidRPr="00772461">
        <w:t xml:space="preserve">  If you need special testing accommodations, please contact the TAO at 940-369-8601or e-mail the TAO at </w:t>
      </w:r>
      <w:hyperlink r:id="rId61" w:history="1">
        <w:r w:rsidRPr="00772461">
          <w:rPr>
            <w:color w:val="0000FF"/>
            <w:u w:val="single"/>
          </w:rPr>
          <w:t>coe-tao@unt.edu</w:t>
        </w:r>
      </w:hyperlink>
      <w:r w:rsidRPr="00772461">
        <w:t xml:space="preserve">. The TAO website is </w:t>
      </w:r>
      <w:hyperlink r:id="rId62" w:history="1">
        <w:r w:rsidRPr="00772461">
          <w:rPr>
            <w:color w:val="0000FF"/>
            <w:u w:val="single"/>
          </w:rPr>
          <w:t>www.coe.unt.edu/texes</w:t>
        </w:r>
      </w:hyperlink>
      <w:r w:rsidRPr="00772461">
        <w:t xml:space="preserve">. Additional test preparation materials (i.e. Study Guides for the </w:t>
      </w:r>
      <w:proofErr w:type="spellStart"/>
      <w:r w:rsidRPr="00772461">
        <w:t>TExES</w:t>
      </w:r>
      <w:proofErr w:type="spellEnd"/>
      <w:r w:rsidRPr="00772461">
        <w:t xml:space="preserve">) are available at </w:t>
      </w:r>
      <w:hyperlink r:id="rId63" w:history="1">
        <w:r w:rsidRPr="00772461">
          <w:rPr>
            <w:rStyle w:val="Hyperlink"/>
          </w:rPr>
          <w:t>www.texes.ets.org</w:t>
        </w:r>
      </w:hyperlink>
    </w:p>
    <w:p w14:paraId="4080AAD0" w14:textId="77777777" w:rsidR="00C21DBC" w:rsidRPr="00772461" w:rsidRDefault="00C21DBC" w:rsidP="00C21DBC">
      <w:pPr>
        <w:contextualSpacing/>
      </w:pPr>
    </w:p>
    <w:p w14:paraId="2325C77B" w14:textId="77777777" w:rsidR="00C21DBC" w:rsidRPr="00772461" w:rsidRDefault="00C21DBC" w:rsidP="00C21DBC">
      <w:pPr>
        <w:contextualSpacing/>
      </w:pPr>
      <w:r w:rsidRPr="00C21DBC">
        <w:rPr>
          <w:b/>
          <w:bCs/>
          <w:i/>
        </w:rPr>
        <w:t>“Ready to Test” Criteria for Teacher Certification Candidates</w:t>
      </w:r>
      <w:r w:rsidRPr="00C21DBC">
        <w:rPr>
          <w:b/>
          <w:bCs/>
        </w:rPr>
        <w:t>.</w:t>
      </w:r>
      <w:r w:rsidRPr="00772461">
        <w:t xml:space="preserve">  Teacher certification candidates should take the </w:t>
      </w:r>
      <w:proofErr w:type="spellStart"/>
      <w:r w:rsidRPr="00772461">
        <w:t>TExES</w:t>
      </w:r>
      <w:proofErr w:type="spellEnd"/>
      <w:r w:rsidRPr="00772461">
        <w:t xml:space="preserve"> exams relating to their respective certification tracks/teaching fields during their early-field-experience semester (i.e. the long semester or summer session immediately prior to student teaching).</w:t>
      </w:r>
    </w:p>
    <w:p w14:paraId="7B626BF5" w14:textId="77777777" w:rsidR="00C21DBC" w:rsidRPr="00772461" w:rsidRDefault="00C21DBC" w:rsidP="00C21DBC">
      <w:pPr>
        <w:contextualSpacing/>
      </w:pPr>
    </w:p>
    <w:p w14:paraId="09D491A4" w14:textId="77777777" w:rsidR="00C21DBC" w:rsidRPr="00772461" w:rsidRDefault="00C21DBC" w:rsidP="00C21DBC">
      <w:pPr>
        <w:contextualSpacing/>
        <w:rPr>
          <w:rFonts w:eastAsia="SimSun"/>
          <w:lang w:eastAsia="zh-CN"/>
        </w:rPr>
      </w:pPr>
      <w:r w:rsidRPr="00C21DBC">
        <w:rPr>
          <w:rFonts w:eastAsia="SimSun"/>
          <w:b/>
          <w:bCs/>
          <w:i/>
          <w:lang w:eastAsia="zh-CN"/>
        </w:rPr>
        <w:t>Six Student Success Messages.</w:t>
      </w:r>
      <w:r w:rsidRPr="00772461">
        <w:rPr>
          <w:rFonts w:eastAsia="SimSun"/>
          <w:i/>
          <w:lang w:eastAsia="zh-CN"/>
        </w:rPr>
        <w:t xml:space="preserve">  </w:t>
      </w:r>
      <w:r w:rsidRPr="00772461">
        <w:rPr>
          <w:rFonts w:eastAsia="SimSun"/>
          <w:lang w:eastAsia="zh-CN"/>
        </w:rPr>
        <w:t xml:space="preserve">The Department of Teacher Education &amp; Administration supports the six student success messages on how to succeed at UNT:  (1) Show up; (2) Find support; (3) Take control; (4) Be prepared; (5) Get involved; and (6) Be persistent.  Students are encouraged to access the following website:  </w:t>
      </w:r>
      <w:hyperlink r:id="rId64" w:history="1">
        <w:r w:rsidRPr="00772461">
          <w:rPr>
            <w:rFonts w:eastAsia="SimSun"/>
            <w:color w:val="0000FF"/>
            <w:u w:val="single"/>
            <w:lang w:eastAsia="zh-CN"/>
          </w:rPr>
          <w:t>https://success.unt.edu</w:t>
        </w:r>
      </w:hyperlink>
      <w:r w:rsidRPr="00772461">
        <w:rPr>
          <w:rFonts w:eastAsia="SimSun"/>
          <w:lang w:eastAsia="zh-CN"/>
        </w:rPr>
        <w:t>.  The site contains multiple student resource links and short videos with student messages.</w:t>
      </w:r>
    </w:p>
    <w:p w14:paraId="6BED6E74" w14:textId="77777777" w:rsidR="00E154E5" w:rsidRDefault="00E154E5" w:rsidP="00B47E5C">
      <w:pPr>
        <w:rPr>
          <w:b/>
        </w:rPr>
      </w:pPr>
    </w:p>
    <w:p w14:paraId="7A859A93" w14:textId="77777777" w:rsidR="009476BD" w:rsidRPr="009476BD" w:rsidRDefault="009476BD" w:rsidP="00B47E5C"/>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88043" w14:textId="77777777" w:rsidR="001E24CB" w:rsidRDefault="001E24CB" w:rsidP="00F41A70">
      <w:pPr>
        <w:spacing w:after="0" w:line="240" w:lineRule="auto"/>
      </w:pPr>
      <w:r>
        <w:separator/>
      </w:r>
    </w:p>
  </w:endnote>
  <w:endnote w:type="continuationSeparator" w:id="0">
    <w:p w14:paraId="378F5B4F" w14:textId="77777777" w:rsidR="001E24CB" w:rsidRDefault="001E24C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09"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21B1F" w14:textId="77777777" w:rsidR="001E24CB" w:rsidRDefault="001E24CB" w:rsidP="00F41A70">
      <w:pPr>
        <w:spacing w:after="0" w:line="240" w:lineRule="auto"/>
      </w:pPr>
      <w:r>
        <w:separator/>
      </w:r>
    </w:p>
  </w:footnote>
  <w:footnote w:type="continuationSeparator" w:id="0">
    <w:p w14:paraId="36DF1880" w14:textId="77777777" w:rsidR="001E24CB" w:rsidRDefault="001E24C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4709E"/>
    <w:multiLevelType w:val="multilevel"/>
    <w:tmpl w:val="7B7E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29"/>
  </w:num>
  <w:num w:numId="4">
    <w:abstractNumId w:val="0"/>
  </w:num>
  <w:num w:numId="5">
    <w:abstractNumId w:val="18"/>
  </w:num>
  <w:num w:numId="6">
    <w:abstractNumId w:val="16"/>
  </w:num>
  <w:num w:numId="7">
    <w:abstractNumId w:val="15"/>
  </w:num>
  <w:num w:numId="8">
    <w:abstractNumId w:val="8"/>
  </w:num>
  <w:num w:numId="9">
    <w:abstractNumId w:val="4"/>
  </w:num>
  <w:num w:numId="10">
    <w:abstractNumId w:val="19"/>
  </w:num>
  <w:num w:numId="11">
    <w:abstractNumId w:val="13"/>
  </w:num>
  <w:num w:numId="12">
    <w:abstractNumId w:val="28"/>
  </w:num>
  <w:num w:numId="13">
    <w:abstractNumId w:val="21"/>
  </w:num>
  <w:num w:numId="14">
    <w:abstractNumId w:val="2"/>
  </w:num>
  <w:num w:numId="15">
    <w:abstractNumId w:val="1"/>
  </w:num>
  <w:num w:numId="16">
    <w:abstractNumId w:val="10"/>
  </w:num>
  <w:num w:numId="17">
    <w:abstractNumId w:val="22"/>
  </w:num>
  <w:num w:numId="18">
    <w:abstractNumId w:val="27"/>
  </w:num>
  <w:num w:numId="19">
    <w:abstractNumId w:val="7"/>
  </w:num>
  <w:num w:numId="20">
    <w:abstractNumId w:val="6"/>
  </w:num>
  <w:num w:numId="21">
    <w:abstractNumId w:val="12"/>
  </w:num>
  <w:num w:numId="22">
    <w:abstractNumId w:val="20"/>
  </w:num>
  <w:num w:numId="23">
    <w:abstractNumId w:val="11"/>
  </w:num>
  <w:num w:numId="24">
    <w:abstractNumId w:val="5"/>
  </w:num>
  <w:num w:numId="25">
    <w:abstractNumId w:val="9"/>
  </w:num>
  <w:num w:numId="26">
    <w:abstractNumId w:val="25"/>
  </w:num>
  <w:num w:numId="27">
    <w:abstractNumId w:val="3"/>
  </w:num>
  <w:num w:numId="28">
    <w:abstractNumId w:val="24"/>
  </w:num>
  <w:num w:numId="29">
    <w:abstractNumId w:val="17"/>
  </w:num>
  <w:num w:numId="30">
    <w:abstractNumId w:val="3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4507D"/>
    <w:rsid w:val="00057A98"/>
    <w:rsid w:val="000A484F"/>
    <w:rsid w:val="000C14CA"/>
    <w:rsid w:val="000F3B26"/>
    <w:rsid w:val="00154670"/>
    <w:rsid w:val="00157417"/>
    <w:rsid w:val="00160583"/>
    <w:rsid w:val="001B3D5B"/>
    <w:rsid w:val="001C079B"/>
    <w:rsid w:val="001C3553"/>
    <w:rsid w:val="001C368C"/>
    <w:rsid w:val="001C3DD0"/>
    <w:rsid w:val="001C599D"/>
    <w:rsid w:val="001E24CB"/>
    <w:rsid w:val="001F4D2B"/>
    <w:rsid w:val="00224731"/>
    <w:rsid w:val="00244604"/>
    <w:rsid w:val="002446AD"/>
    <w:rsid w:val="002446DC"/>
    <w:rsid w:val="00250E78"/>
    <w:rsid w:val="00271577"/>
    <w:rsid w:val="00273D0C"/>
    <w:rsid w:val="0028285A"/>
    <w:rsid w:val="00291946"/>
    <w:rsid w:val="00292A13"/>
    <w:rsid w:val="00295A4A"/>
    <w:rsid w:val="002B6FE8"/>
    <w:rsid w:val="002D795C"/>
    <w:rsid w:val="002E3F68"/>
    <w:rsid w:val="002F28F2"/>
    <w:rsid w:val="002F6AB1"/>
    <w:rsid w:val="002F7630"/>
    <w:rsid w:val="002F79C4"/>
    <w:rsid w:val="00305956"/>
    <w:rsid w:val="0033092B"/>
    <w:rsid w:val="003565BD"/>
    <w:rsid w:val="00373A9D"/>
    <w:rsid w:val="00375554"/>
    <w:rsid w:val="003829E2"/>
    <w:rsid w:val="00395460"/>
    <w:rsid w:val="003A6494"/>
    <w:rsid w:val="003B3704"/>
    <w:rsid w:val="003B7429"/>
    <w:rsid w:val="003C3D07"/>
    <w:rsid w:val="003C70B1"/>
    <w:rsid w:val="003F1E47"/>
    <w:rsid w:val="0040606E"/>
    <w:rsid w:val="00413AD8"/>
    <w:rsid w:val="00416953"/>
    <w:rsid w:val="00426B06"/>
    <w:rsid w:val="004349B7"/>
    <w:rsid w:val="004372CE"/>
    <w:rsid w:val="004448B2"/>
    <w:rsid w:val="0044674B"/>
    <w:rsid w:val="00466C1E"/>
    <w:rsid w:val="00467300"/>
    <w:rsid w:val="00483BE6"/>
    <w:rsid w:val="004931A3"/>
    <w:rsid w:val="004B63C3"/>
    <w:rsid w:val="004C48BC"/>
    <w:rsid w:val="004D40CC"/>
    <w:rsid w:val="004E6648"/>
    <w:rsid w:val="0050169A"/>
    <w:rsid w:val="00501CFC"/>
    <w:rsid w:val="005109E3"/>
    <w:rsid w:val="00515192"/>
    <w:rsid w:val="0052132D"/>
    <w:rsid w:val="005313DC"/>
    <w:rsid w:val="00552A45"/>
    <w:rsid w:val="0056725C"/>
    <w:rsid w:val="005703B8"/>
    <w:rsid w:val="00583FF6"/>
    <w:rsid w:val="005B0444"/>
    <w:rsid w:val="005B63CC"/>
    <w:rsid w:val="005C7253"/>
    <w:rsid w:val="005C756C"/>
    <w:rsid w:val="005D5441"/>
    <w:rsid w:val="00604E45"/>
    <w:rsid w:val="00607A22"/>
    <w:rsid w:val="00644E04"/>
    <w:rsid w:val="006710B2"/>
    <w:rsid w:val="006A0DFA"/>
    <w:rsid w:val="006C437E"/>
    <w:rsid w:val="006D456A"/>
    <w:rsid w:val="006D55C0"/>
    <w:rsid w:val="006E25C5"/>
    <w:rsid w:val="006E58B1"/>
    <w:rsid w:val="006F33EA"/>
    <w:rsid w:val="006F5F75"/>
    <w:rsid w:val="00741777"/>
    <w:rsid w:val="00755AFB"/>
    <w:rsid w:val="00757C85"/>
    <w:rsid w:val="00787A1D"/>
    <w:rsid w:val="007A0702"/>
    <w:rsid w:val="007B1815"/>
    <w:rsid w:val="007B7702"/>
    <w:rsid w:val="007C6991"/>
    <w:rsid w:val="007D441B"/>
    <w:rsid w:val="007E7284"/>
    <w:rsid w:val="007F5D85"/>
    <w:rsid w:val="00826162"/>
    <w:rsid w:val="008313A0"/>
    <w:rsid w:val="008428DF"/>
    <w:rsid w:val="0085011E"/>
    <w:rsid w:val="00853CA2"/>
    <w:rsid w:val="008A0BD7"/>
    <w:rsid w:val="008A188C"/>
    <w:rsid w:val="008C335F"/>
    <w:rsid w:val="008F738A"/>
    <w:rsid w:val="009045F0"/>
    <w:rsid w:val="00912FCE"/>
    <w:rsid w:val="00914B76"/>
    <w:rsid w:val="00923FD6"/>
    <w:rsid w:val="009269E8"/>
    <w:rsid w:val="00930D1E"/>
    <w:rsid w:val="009476BD"/>
    <w:rsid w:val="00950D14"/>
    <w:rsid w:val="0095468F"/>
    <w:rsid w:val="00957CF6"/>
    <w:rsid w:val="00960728"/>
    <w:rsid w:val="0097126D"/>
    <w:rsid w:val="00984EF3"/>
    <w:rsid w:val="00997BCE"/>
    <w:rsid w:val="009C6D2B"/>
    <w:rsid w:val="009D0E86"/>
    <w:rsid w:val="00A079D6"/>
    <w:rsid w:val="00A15F84"/>
    <w:rsid w:val="00A316C7"/>
    <w:rsid w:val="00A63531"/>
    <w:rsid w:val="00A65EF1"/>
    <w:rsid w:val="00A771FB"/>
    <w:rsid w:val="00A8274C"/>
    <w:rsid w:val="00AA552C"/>
    <w:rsid w:val="00AA63E6"/>
    <w:rsid w:val="00AC2D75"/>
    <w:rsid w:val="00AF606C"/>
    <w:rsid w:val="00B07CB3"/>
    <w:rsid w:val="00B32B4A"/>
    <w:rsid w:val="00B400CC"/>
    <w:rsid w:val="00B43D9A"/>
    <w:rsid w:val="00B47E5C"/>
    <w:rsid w:val="00B50C17"/>
    <w:rsid w:val="00B5228A"/>
    <w:rsid w:val="00B57BC0"/>
    <w:rsid w:val="00B9294D"/>
    <w:rsid w:val="00B94399"/>
    <w:rsid w:val="00BC0019"/>
    <w:rsid w:val="00BD34E3"/>
    <w:rsid w:val="00C0115D"/>
    <w:rsid w:val="00C03098"/>
    <w:rsid w:val="00C07CFB"/>
    <w:rsid w:val="00C14845"/>
    <w:rsid w:val="00C21DBC"/>
    <w:rsid w:val="00C246D2"/>
    <w:rsid w:val="00C252C4"/>
    <w:rsid w:val="00C26284"/>
    <w:rsid w:val="00C401A4"/>
    <w:rsid w:val="00C65463"/>
    <w:rsid w:val="00C73D48"/>
    <w:rsid w:val="00C75A68"/>
    <w:rsid w:val="00C7676A"/>
    <w:rsid w:val="00CA2745"/>
    <w:rsid w:val="00CA7241"/>
    <w:rsid w:val="00CD40E7"/>
    <w:rsid w:val="00CF60D4"/>
    <w:rsid w:val="00CF75EC"/>
    <w:rsid w:val="00D0505E"/>
    <w:rsid w:val="00D14752"/>
    <w:rsid w:val="00D30887"/>
    <w:rsid w:val="00D40267"/>
    <w:rsid w:val="00D40C61"/>
    <w:rsid w:val="00D53B34"/>
    <w:rsid w:val="00D55A0B"/>
    <w:rsid w:val="00D722CC"/>
    <w:rsid w:val="00D80334"/>
    <w:rsid w:val="00D85FDE"/>
    <w:rsid w:val="00D921FA"/>
    <w:rsid w:val="00DA2870"/>
    <w:rsid w:val="00DB11D5"/>
    <w:rsid w:val="00DC41E6"/>
    <w:rsid w:val="00DC43B6"/>
    <w:rsid w:val="00DC7AB2"/>
    <w:rsid w:val="00DD3AD3"/>
    <w:rsid w:val="00DD44D4"/>
    <w:rsid w:val="00DE6A56"/>
    <w:rsid w:val="00DF734A"/>
    <w:rsid w:val="00E04EBB"/>
    <w:rsid w:val="00E06E54"/>
    <w:rsid w:val="00E07387"/>
    <w:rsid w:val="00E154E5"/>
    <w:rsid w:val="00E1607C"/>
    <w:rsid w:val="00E20B1D"/>
    <w:rsid w:val="00E33F6F"/>
    <w:rsid w:val="00E50393"/>
    <w:rsid w:val="00E51FEC"/>
    <w:rsid w:val="00E54491"/>
    <w:rsid w:val="00E77C6A"/>
    <w:rsid w:val="00E870C5"/>
    <w:rsid w:val="00E93E3E"/>
    <w:rsid w:val="00EA46CA"/>
    <w:rsid w:val="00EB13B7"/>
    <w:rsid w:val="00EC6692"/>
    <w:rsid w:val="00ED571C"/>
    <w:rsid w:val="00EE437C"/>
    <w:rsid w:val="00EF1744"/>
    <w:rsid w:val="00F058D6"/>
    <w:rsid w:val="00F06DC8"/>
    <w:rsid w:val="00F2315C"/>
    <w:rsid w:val="00F27153"/>
    <w:rsid w:val="00F41A70"/>
    <w:rsid w:val="00F64EB6"/>
    <w:rsid w:val="00F6650C"/>
    <w:rsid w:val="00F7047E"/>
    <w:rsid w:val="00F97992"/>
    <w:rsid w:val="00FA7209"/>
    <w:rsid w:val="00FA76F8"/>
    <w:rsid w:val="00FB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styleId="NormalWeb">
    <w:name w:val="Normal (Web)"/>
    <w:basedOn w:val="Normal"/>
    <w:uiPriority w:val="99"/>
    <w:unhideWhenUsed/>
    <w:rsid w:val="005703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1414">
      <w:bodyDiv w:val="1"/>
      <w:marLeft w:val="0"/>
      <w:marRight w:val="0"/>
      <w:marTop w:val="0"/>
      <w:marBottom w:val="0"/>
      <w:divBdr>
        <w:top w:val="none" w:sz="0" w:space="0" w:color="auto"/>
        <w:left w:val="none" w:sz="0" w:space="0" w:color="auto"/>
        <w:bottom w:val="none" w:sz="0" w:space="0" w:color="auto"/>
        <w:right w:val="none" w:sz="0" w:space="0" w:color="auto"/>
      </w:divBdr>
    </w:div>
    <w:div w:id="173153454">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82559971">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4588224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354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 TargetMode="External"/><Relationship Id="rId21" Type="http://schemas.openxmlformats.org/officeDocument/2006/relationships/hyperlink" Target="https://it.unt.edu/eagleconne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63" Type="http://schemas.openxmlformats.org/officeDocument/2006/relationships/hyperlink" Target="http://www.texes.ets.org" TargetMode="External"/><Relationship Id="rId7" Type="http://schemas.openxmlformats.org/officeDocument/2006/relationships/hyperlink" Target="mailto:Chris.Long@UNT.edu" TargetMode="External"/><Relationship Id="rId2" Type="http://schemas.openxmlformats.org/officeDocument/2006/relationships/styles" Target="styles.xml"/><Relationship Id="rId16" Type="http://schemas.openxmlformats.org/officeDocument/2006/relationships/hyperlink" Target="mailto:helpdesk@unt.edu"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file:///C:\Users\jdl0126\AppData\Local\Temp\OneNote\16.0\NT\0\spot@unt.edu"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hyperlink" Target="http://policy.unt.edu/sites/default/files/untpolicy/pdf/7-Student_Affairs-Academic_Integrity.pdf"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coe-tao@unt.edu" TargetMode="External"/><Relationship Id="rId19" Type="http://schemas.openxmlformats.org/officeDocument/2006/relationships/hyperlink" Target="https://deanofstudents.unt.edu/conduct" TargetMode="External"/><Relationship Id="rId14" Type="http://schemas.openxmlformats.org/officeDocument/2006/relationships/hyperlink" Target="mailto:askSHWC@unt.edu" TargetMode="External"/><Relationship Id="rId22" Type="http://schemas.openxmlformats.org/officeDocument/2006/relationships/hyperlink" Target="file:///C:\Users\jdl0126\AppData\Local\Temp\OneNote\16.0\NT\0\no-reply@iasystem.org" TargetMode="External"/><Relationship Id="rId27" Type="http://schemas.openxmlformats.org/officeDocument/2006/relationships/hyperlink" Target="mailto:internationaladvising@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64" Type="http://schemas.openxmlformats.org/officeDocument/2006/relationships/hyperlink" Target="https://success.unt.edu"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deanofstudents.unt.edu/resources/food-pantry" TargetMode="External"/><Relationship Id="rId3" Type="http://schemas.openxmlformats.org/officeDocument/2006/relationships/settings" Target="settings.xml"/><Relationship Id="rId12" Type="http://schemas.openxmlformats.org/officeDocument/2006/relationships/hyperlink" Target="https://policy.unt.edu/sites/default/files/06.039_StudAttnandAuthAbsence.Pub2_.19.pdf" TargetMode="External"/><Relationship Id="rId17" Type="http://schemas.openxmlformats.org/officeDocument/2006/relationships/hyperlink" Target="https://disability.unt.edu/" TargetMode="External"/><Relationship Id="rId25" Type="http://schemas.openxmlformats.org/officeDocument/2006/relationships/hyperlink" Target="mailto:SurvivorAdvocate@unt.edu"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hyperlink" Target="https://deanofstudents.unt.edu/conduct" TargetMode="External"/><Relationship Id="rId67" Type="http://schemas.openxmlformats.org/officeDocument/2006/relationships/theme" Target="theme/theme1.xml"/><Relationship Id="rId20" Type="http://schemas.openxmlformats.org/officeDocument/2006/relationships/hyperlink" Target="https://m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62" Type="http://schemas.openxmlformats.org/officeDocument/2006/relationships/hyperlink" Target="http://www.coe.unt.edu/tex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OVID@unt.edu" TargetMode="External"/><Relationship Id="rId23" Type="http://schemas.openxmlformats.org/officeDocument/2006/relationships/hyperlink" Target="http://spot.unt.edu/" TargetMode="External"/><Relationship Id="rId28" Type="http://schemas.openxmlformats.org/officeDocument/2006/relationships/hyperlink" Target="https://policy.unt.edu/policy/07-002"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careerconnect.unt.edu/default" TargetMode="External"/><Relationship Id="rId10" Type="http://schemas.openxmlformats.org/officeDocument/2006/relationships/hyperlink" Target="mailto:helpdesk@unt.edu"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60" Type="http://schemas.openxmlformats.org/officeDocument/2006/relationships/hyperlink" Target="http://www.coe.unt.edu/texes-advising-office/texes-exams"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disability.unt.edu/" TargetMode="External"/><Relationship Id="rId39" Type="http://schemas.openxmlformats.org/officeDocument/2006/relationships/hyperlink" Target="https://www.mypronouns.org/what-and-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5469</Words>
  <Characters>31174</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Long, Chris</cp:lastModifiedBy>
  <cp:revision>2</cp:revision>
  <dcterms:created xsi:type="dcterms:W3CDTF">2021-05-31T16:40:00Z</dcterms:created>
  <dcterms:modified xsi:type="dcterms:W3CDTF">2021-05-31T16:40:00Z</dcterms:modified>
</cp:coreProperties>
</file>