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5435" w14:textId="41CB59C9" w:rsidR="002A4F7A" w:rsidRPr="00F15740" w:rsidRDefault="00000000">
      <w:pPr>
        <w:jc w:val="center"/>
        <w:rPr>
          <w:color w:val="000000" w:themeColor="text1"/>
        </w:rPr>
      </w:pPr>
      <w:r w:rsidRPr="00F15740">
        <w:rPr>
          <w:b/>
          <w:color w:val="000000" w:themeColor="text1"/>
          <w:sz w:val="40"/>
        </w:rPr>
        <w:t>CSCE 4520</w:t>
      </w:r>
      <w:r w:rsidR="00386B21" w:rsidRPr="00F15740">
        <w:rPr>
          <w:rFonts w:eastAsia="SimSun" w:hint="eastAsia"/>
          <w:b/>
          <w:color w:val="000000" w:themeColor="text1"/>
          <w:sz w:val="40"/>
          <w:lang w:eastAsia="zh-CN"/>
        </w:rPr>
        <w:t>/5520</w:t>
      </w:r>
      <w:r w:rsidRPr="00F15740">
        <w:rPr>
          <w:b/>
          <w:color w:val="000000" w:themeColor="text1"/>
          <w:sz w:val="40"/>
        </w:rPr>
        <w:t>: Wireless Networks and Protocols</w:t>
      </w:r>
    </w:p>
    <w:p w14:paraId="00FB3DDD" w14:textId="10B071B7" w:rsidR="002A4F7A" w:rsidRPr="00F15740" w:rsidRDefault="00FA2C42">
      <w:pPr>
        <w:rPr>
          <w:rFonts w:asciiTheme="majorHAnsi" w:hAnsiTheme="majorHAnsi" w:cstheme="majorHAnsi"/>
          <w:b/>
          <w:bCs/>
          <w:color w:val="1F497D" w:themeColor="text2"/>
          <w:sz w:val="24"/>
          <w:szCs w:val="24"/>
        </w:rPr>
      </w:pPr>
      <w:r w:rsidRPr="00F15740">
        <w:rPr>
          <w:rFonts w:asciiTheme="majorHAnsi" w:eastAsia="SimSun" w:hAnsiTheme="majorHAnsi" w:cstheme="majorHAnsi"/>
          <w:b/>
          <w:bCs/>
          <w:color w:val="1F497D" w:themeColor="text2"/>
          <w:sz w:val="24"/>
          <w:szCs w:val="24"/>
          <w:lang w:eastAsia="zh-CN"/>
        </w:rPr>
        <w:t>Fall</w:t>
      </w:r>
      <w:r w:rsidRPr="00F15740">
        <w:rPr>
          <w:rFonts w:asciiTheme="majorHAnsi" w:hAnsiTheme="majorHAnsi" w:cstheme="majorHAnsi"/>
          <w:b/>
          <w:bCs/>
          <w:color w:val="1F497D" w:themeColor="text2"/>
          <w:sz w:val="24"/>
          <w:szCs w:val="24"/>
        </w:rPr>
        <w:t>/</w:t>
      </w:r>
      <w:r w:rsidRPr="00F15740">
        <w:rPr>
          <w:rFonts w:asciiTheme="majorHAnsi" w:eastAsia="SimSun" w:hAnsiTheme="majorHAnsi" w:cstheme="majorHAnsi"/>
          <w:b/>
          <w:bCs/>
          <w:color w:val="1F497D" w:themeColor="text2"/>
          <w:sz w:val="24"/>
          <w:szCs w:val="24"/>
          <w:lang w:eastAsia="zh-CN"/>
        </w:rPr>
        <w:t>2025</w:t>
      </w:r>
      <w:r w:rsidRPr="00F15740">
        <w:rPr>
          <w:rFonts w:asciiTheme="majorHAnsi" w:hAnsiTheme="majorHAnsi" w:cstheme="majorHAnsi"/>
          <w:b/>
          <w:bCs/>
          <w:color w:val="1F497D" w:themeColor="text2"/>
          <w:sz w:val="24"/>
          <w:szCs w:val="24"/>
        </w:rPr>
        <w:t xml:space="preserve">: </w:t>
      </w:r>
    </w:p>
    <w:p w14:paraId="4180FB23" w14:textId="053E1D4E" w:rsidR="002A4F7A" w:rsidRPr="00F15740" w:rsidRDefault="00000000">
      <w:pPr>
        <w:rPr>
          <w:rFonts w:asciiTheme="majorHAnsi" w:hAnsiTheme="majorHAnsi" w:cstheme="majorHAnsi"/>
          <w:b/>
          <w:bCs/>
          <w:color w:val="1F497D" w:themeColor="text2"/>
          <w:sz w:val="24"/>
          <w:szCs w:val="24"/>
        </w:rPr>
      </w:pPr>
      <w:r w:rsidRPr="00F15740">
        <w:rPr>
          <w:rFonts w:asciiTheme="majorHAnsi" w:hAnsiTheme="majorHAnsi" w:cstheme="majorHAnsi"/>
          <w:b/>
          <w:bCs/>
          <w:color w:val="1F497D" w:themeColor="text2"/>
          <w:sz w:val="24"/>
          <w:szCs w:val="24"/>
        </w:rPr>
        <w:t xml:space="preserve">Section: </w:t>
      </w:r>
      <w:r w:rsidR="00FA2C42" w:rsidRPr="00F15740">
        <w:rPr>
          <w:rFonts w:asciiTheme="majorHAnsi" w:hAnsiTheme="majorHAnsi" w:cstheme="majorHAnsi"/>
          <w:b/>
          <w:bCs/>
          <w:color w:val="1F497D" w:themeColor="text2"/>
          <w:sz w:val="24"/>
          <w:szCs w:val="24"/>
        </w:rPr>
        <w:t>5520.002 &amp; 4520.001</w:t>
      </w:r>
    </w:p>
    <w:p w14:paraId="0C2F3BDF" w14:textId="77777777" w:rsidR="002A4F7A" w:rsidRPr="00F15740" w:rsidRDefault="00000000">
      <w:pPr>
        <w:rPr>
          <w:rFonts w:asciiTheme="majorHAnsi" w:hAnsiTheme="majorHAnsi" w:cstheme="majorHAnsi"/>
          <w:b/>
          <w:bCs/>
          <w:color w:val="1F497D" w:themeColor="text2"/>
          <w:sz w:val="24"/>
          <w:szCs w:val="24"/>
        </w:rPr>
      </w:pPr>
      <w:r w:rsidRPr="00F15740">
        <w:rPr>
          <w:rFonts w:asciiTheme="majorHAnsi" w:hAnsiTheme="majorHAnsi" w:cstheme="majorHAnsi"/>
          <w:b/>
          <w:bCs/>
          <w:color w:val="1F497D" w:themeColor="text2"/>
          <w:sz w:val="24"/>
          <w:szCs w:val="24"/>
        </w:rPr>
        <w:t>Modality: Face-to-face</w:t>
      </w:r>
    </w:p>
    <w:p w14:paraId="0B1883E6" w14:textId="1921E930" w:rsidR="002A4F7A" w:rsidRPr="00F15740" w:rsidRDefault="00000000">
      <w:pPr>
        <w:rPr>
          <w:rFonts w:asciiTheme="majorHAnsi" w:hAnsiTheme="majorHAnsi" w:cstheme="majorHAnsi"/>
          <w:b/>
          <w:bCs/>
          <w:color w:val="1F497D" w:themeColor="text2"/>
          <w:sz w:val="24"/>
          <w:szCs w:val="24"/>
        </w:rPr>
      </w:pPr>
      <w:r w:rsidRPr="00F15740">
        <w:rPr>
          <w:rFonts w:asciiTheme="majorHAnsi" w:hAnsiTheme="majorHAnsi" w:cstheme="majorHAnsi"/>
          <w:b/>
          <w:bCs/>
          <w:color w:val="1F497D" w:themeColor="text2"/>
          <w:sz w:val="24"/>
          <w:szCs w:val="24"/>
        </w:rPr>
        <w:t>Meeting Time/Place: Tue &amp; Thu, 11:30 AM – 12:50 PM, NTDP B1</w:t>
      </w:r>
      <w:r w:rsidR="00F15740">
        <w:rPr>
          <w:rFonts w:asciiTheme="majorHAnsi" w:eastAsia="SimSun" w:hAnsiTheme="majorHAnsi" w:cstheme="majorHAnsi" w:hint="eastAsia"/>
          <w:b/>
          <w:bCs/>
          <w:color w:val="1F497D" w:themeColor="text2"/>
          <w:sz w:val="24"/>
          <w:szCs w:val="24"/>
          <w:lang w:eastAsia="zh-CN"/>
        </w:rPr>
        <w:t>5</w:t>
      </w:r>
      <w:r w:rsidRPr="00F15740">
        <w:rPr>
          <w:rFonts w:asciiTheme="majorHAnsi" w:hAnsiTheme="majorHAnsi" w:cstheme="majorHAnsi"/>
          <w:b/>
          <w:bCs/>
          <w:color w:val="1F497D" w:themeColor="text2"/>
          <w:sz w:val="24"/>
          <w:szCs w:val="24"/>
        </w:rPr>
        <w:t>5</w:t>
      </w:r>
    </w:p>
    <w:p w14:paraId="2A6A42B6" w14:textId="77777777" w:rsidR="00F15740" w:rsidRDefault="00F15740" w:rsidP="00F15740">
      <w:pPr>
        <w:rPr>
          <w:rFonts w:asciiTheme="majorHAnsi" w:eastAsia="SimSun" w:hAnsiTheme="majorHAnsi" w:cstheme="majorHAnsi"/>
          <w:lang w:eastAsia="zh-CN"/>
        </w:rPr>
      </w:pPr>
    </w:p>
    <w:p w14:paraId="52C0A533" w14:textId="0F1EC4A2" w:rsidR="00F15740" w:rsidRPr="00F15740" w:rsidRDefault="00F15740" w:rsidP="00F15740">
      <w:pPr>
        <w:rPr>
          <w:rFonts w:asciiTheme="majorHAnsi" w:eastAsia="SimSun" w:hAnsiTheme="majorHAnsi" w:cstheme="majorHAnsi"/>
          <w:lang w:eastAsia="zh-CN"/>
        </w:rPr>
      </w:pPr>
      <w:r w:rsidRPr="00F15740">
        <w:rPr>
          <w:rFonts w:asciiTheme="majorHAnsi" w:hAnsiTheme="majorHAnsi" w:cstheme="majorHAnsi"/>
        </w:rPr>
        <w:t>I reserve the right to modify course policies, the course calendar, assignment or project point values, and due dates.</w:t>
      </w:r>
    </w:p>
    <w:p w14:paraId="4688D6A3" w14:textId="32F3EC65" w:rsidR="002A4F7A" w:rsidRPr="00FA2C42" w:rsidRDefault="00000000">
      <w:pPr>
        <w:pStyle w:val="Heading1"/>
        <w:rPr>
          <w:rFonts w:cstheme="majorHAnsi"/>
        </w:rPr>
      </w:pPr>
      <w:r w:rsidRPr="00FA2C42">
        <w:rPr>
          <w:rFonts w:cstheme="majorHAnsi"/>
        </w:rPr>
        <w:t>Instructor Information</w:t>
      </w:r>
    </w:p>
    <w:p w14:paraId="46C89C93" w14:textId="192B8EBE" w:rsidR="00F15740" w:rsidRDefault="00000000">
      <w:pPr>
        <w:rPr>
          <w:rFonts w:ascii="SimSun" w:eastAsia="SimSun" w:hAnsi="SimSun" w:cstheme="majorHAnsi"/>
          <w:b/>
          <w:bCs/>
          <w:sz w:val="24"/>
          <w:szCs w:val="24"/>
          <w:lang w:eastAsia="zh-CN"/>
        </w:rPr>
      </w:pPr>
      <w:r w:rsidRPr="00F15740">
        <w:rPr>
          <w:rFonts w:asciiTheme="majorHAnsi" w:hAnsiTheme="majorHAnsi" w:cstheme="majorHAnsi"/>
          <w:b/>
          <w:bCs/>
          <w:sz w:val="24"/>
          <w:szCs w:val="24"/>
        </w:rPr>
        <w:t>Instructor: Dr. Chenxi Qiu</w:t>
      </w:r>
    </w:p>
    <w:p w14:paraId="66016D84" w14:textId="452C1258" w:rsidR="002A4F7A" w:rsidRPr="00FA2C42" w:rsidRDefault="00000000">
      <w:pPr>
        <w:rPr>
          <w:rFonts w:asciiTheme="majorHAnsi" w:hAnsiTheme="majorHAnsi" w:cstheme="majorHAnsi"/>
        </w:rPr>
      </w:pPr>
      <w:r w:rsidRPr="00FA2C42">
        <w:rPr>
          <w:rFonts w:asciiTheme="majorHAnsi" w:hAnsiTheme="majorHAnsi" w:cstheme="majorHAnsi"/>
        </w:rPr>
        <w:t>Office: NTDP F228</w:t>
      </w:r>
      <w:r w:rsidR="00F15740">
        <w:rPr>
          <w:rFonts w:asciiTheme="majorHAnsi" w:eastAsia="SimSun" w:hAnsiTheme="majorHAnsi" w:cstheme="majorHAnsi" w:hint="eastAsia"/>
          <w:lang w:eastAsia="zh-CN"/>
        </w:rPr>
        <w:t xml:space="preserve">, </w:t>
      </w:r>
      <w:r w:rsidRPr="00FA2C42">
        <w:rPr>
          <w:rFonts w:asciiTheme="majorHAnsi" w:hAnsiTheme="majorHAnsi" w:cstheme="majorHAnsi"/>
        </w:rPr>
        <w:t>Email: chenxi.qiu@unt.edu</w:t>
      </w:r>
    </w:p>
    <w:p w14:paraId="5FD349B4" w14:textId="77777777" w:rsidR="002A4F7A" w:rsidRDefault="00000000">
      <w:pPr>
        <w:rPr>
          <w:rFonts w:asciiTheme="majorHAnsi" w:eastAsia="SimSun" w:hAnsiTheme="majorHAnsi" w:cstheme="majorHAnsi"/>
          <w:lang w:eastAsia="zh-CN"/>
        </w:rPr>
      </w:pPr>
      <w:r w:rsidRPr="00FA2C42">
        <w:rPr>
          <w:rFonts w:asciiTheme="majorHAnsi" w:hAnsiTheme="majorHAnsi" w:cstheme="majorHAnsi"/>
        </w:rPr>
        <w:t>Office Hours (in person): Tue 9:30–11:30 AM, Thu 9:30–11:30 AM (and by appointment)</w:t>
      </w:r>
    </w:p>
    <w:p w14:paraId="4E0763B2" w14:textId="4D4A9E22" w:rsidR="00F15740" w:rsidRPr="00F15740" w:rsidRDefault="00F15740" w:rsidP="00F15740">
      <w:pPr>
        <w:rPr>
          <w:rFonts w:ascii="SimSun" w:eastAsia="SimSun" w:hAnsi="SimSun" w:cstheme="majorHAnsi"/>
          <w:b/>
          <w:bCs/>
          <w:sz w:val="24"/>
          <w:szCs w:val="24"/>
          <w:lang w:eastAsia="zh-CN"/>
        </w:rPr>
      </w:pPr>
      <w:r>
        <w:rPr>
          <w:rFonts w:asciiTheme="majorHAnsi" w:eastAsia="SimSun" w:hAnsiTheme="majorHAnsi" w:cstheme="majorHAnsi" w:hint="eastAsia"/>
          <w:b/>
          <w:bCs/>
          <w:sz w:val="24"/>
          <w:szCs w:val="24"/>
          <w:lang w:eastAsia="zh-CN"/>
        </w:rPr>
        <w:t>Teaching Assistant</w:t>
      </w:r>
      <w:r w:rsidRPr="00F15740">
        <w:rPr>
          <w:rFonts w:asciiTheme="majorHAnsi" w:hAnsiTheme="majorHAnsi" w:cstheme="majorHAnsi"/>
          <w:b/>
          <w:bCs/>
          <w:sz w:val="24"/>
          <w:szCs w:val="24"/>
        </w:rPr>
        <w:t xml:space="preserve">: </w:t>
      </w:r>
      <w:r>
        <w:rPr>
          <w:rFonts w:asciiTheme="majorHAnsi" w:eastAsia="SimSun" w:hAnsiTheme="majorHAnsi" w:cstheme="majorHAnsi" w:hint="eastAsia"/>
          <w:b/>
          <w:bCs/>
          <w:sz w:val="24"/>
          <w:szCs w:val="24"/>
          <w:lang w:eastAsia="zh-CN"/>
        </w:rPr>
        <w:t>Gaoyi Chen</w:t>
      </w:r>
    </w:p>
    <w:p w14:paraId="4184EFB3" w14:textId="75B2B49B" w:rsidR="00F15740" w:rsidRPr="00FA2C42" w:rsidRDefault="00F15740" w:rsidP="00F15740">
      <w:pPr>
        <w:rPr>
          <w:rFonts w:asciiTheme="majorHAnsi" w:hAnsiTheme="majorHAnsi" w:cstheme="majorHAnsi"/>
        </w:rPr>
      </w:pPr>
      <w:r w:rsidRPr="00FA2C42">
        <w:rPr>
          <w:rFonts w:asciiTheme="majorHAnsi" w:hAnsiTheme="majorHAnsi" w:cstheme="majorHAnsi"/>
        </w:rPr>
        <w:t>Office: NTDP F2</w:t>
      </w:r>
      <w:r>
        <w:rPr>
          <w:rFonts w:asciiTheme="majorHAnsi" w:eastAsia="SimSun" w:hAnsiTheme="majorHAnsi" w:cstheme="majorHAnsi" w:hint="eastAsia"/>
          <w:lang w:eastAsia="zh-CN"/>
        </w:rPr>
        <w:t xml:space="preserve">57, </w:t>
      </w:r>
      <w:r w:rsidRPr="00FA2C42">
        <w:rPr>
          <w:rFonts w:asciiTheme="majorHAnsi" w:hAnsiTheme="majorHAnsi" w:cstheme="majorHAnsi"/>
        </w:rPr>
        <w:t xml:space="preserve">Email: </w:t>
      </w:r>
      <w:r>
        <w:rPr>
          <w:rFonts w:asciiTheme="majorHAnsi" w:eastAsia="SimSun" w:hAnsiTheme="majorHAnsi" w:cstheme="majorHAnsi" w:hint="eastAsia"/>
          <w:lang w:eastAsia="zh-CN"/>
        </w:rPr>
        <w:t>g</w:t>
      </w:r>
      <w:r w:rsidRPr="00F15740">
        <w:rPr>
          <w:rFonts w:asciiTheme="majorHAnsi" w:hAnsiTheme="majorHAnsi" w:cstheme="majorHAnsi"/>
        </w:rPr>
        <w:t>aoyi</w:t>
      </w:r>
      <w:r>
        <w:rPr>
          <w:rFonts w:asciiTheme="majorHAnsi" w:eastAsia="SimSun" w:hAnsiTheme="majorHAnsi" w:cstheme="majorHAnsi" w:hint="eastAsia"/>
          <w:lang w:eastAsia="zh-CN"/>
        </w:rPr>
        <w:t>c</w:t>
      </w:r>
      <w:r w:rsidRPr="00F15740">
        <w:rPr>
          <w:rFonts w:asciiTheme="majorHAnsi" w:hAnsiTheme="majorHAnsi" w:cstheme="majorHAnsi"/>
        </w:rPr>
        <w:t>hen@my.unt.edu</w:t>
      </w:r>
    </w:p>
    <w:p w14:paraId="67290BC7" w14:textId="71003731" w:rsidR="00F15740" w:rsidRDefault="00F15740">
      <w:pPr>
        <w:rPr>
          <w:rFonts w:asciiTheme="majorHAnsi" w:eastAsia="SimSun" w:hAnsiTheme="majorHAnsi" w:cstheme="majorHAnsi"/>
          <w:lang w:eastAsia="zh-CN"/>
        </w:rPr>
      </w:pPr>
      <w:r w:rsidRPr="00FA2C42">
        <w:rPr>
          <w:rFonts w:asciiTheme="majorHAnsi" w:hAnsiTheme="majorHAnsi" w:cstheme="majorHAnsi"/>
        </w:rPr>
        <w:t xml:space="preserve">Office Hours (in person): Tue </w:t>
      </w:r>
      <w:r w:rsidR="00B73979">
        <w:rPr>
          <w:rFonts w:asciiTheme="majorHAnsi" w:eastAsia="SimSun" w:hAnsiTheme="majorHAnsi" w:cstheme="majorHAnsi" w:hint="eastAsia"/>
          <w:lang w:eastAsia="zh-CN"/>
        </w:rPr>
        <w:t>9</w:t>
      </w:r>
      <w:r w:rsidRPr="00FA2C42">
        <w:rPr>
          <w:rFonts w:asciiTheme="majorHAnsi" w:hAnsiTheme="majorHAnsi" w:cstheme="majorHAnsi"/>
        </w:rPr>
        <w:t>:</w:t>
      </w:r>
      <w:r w:rsidR="00B73979">
        <w:rPr>
          <w:rFonts w:asciiTheme="majorHAnsi" w:eastAsia="SimSun" w:hAnsiTheme="majorHAnsi" w:cstheme="majorHAnsi" w:hint="eastAsia"/>
          <w:lang w:eastAsia="zh-CN"/>
        </w:rPr>
        <w:t>3</w:t>
      </w:r>
      <w:r>
        <w:rPr>
          <w:rFonts w:asciiTheme="majorHAnsi" w:eastAsia="SimSun" w:hAnsiTheme="majorHAnsi" w:cstheme="majorHAnsi" w:hint="eastAsia"/>
          <w:lang w:eastAsia="zh-CN"/>
        </w:rPr>
        <w:t xml:space="preserve">0 </w:t>
      </w:r>
      <w:r w:rsidR="00B73979">
        <w:rPr>
          <w:rFonts w:asciiTheme="majorHAnsi" w:eastAsia="SimSun" w:hAnsiTheme="majorHAnsi" w:cstheme="majorHAnsi" w:hint="eastAsia"/>
          <w:lang w:eastAsia="zh-CN"/>
        </w:rPr>
        <w:t>A</w:t>
      </w:r>
      <w:r>
        <w:rPr>
          <w:rFonts w:asciiTheme="majorHAnsi" w:eastAsia="SimSun" w:hAnsiTheme="majorHAnsi" w:cstheme="majorHAnsi" w:hint="eastAsia"/>
          <w:lang w:eastAsia="zh-CN"/>
        </w:rPr>
        <w:t xml:space="preserve">M </w:t>
      </w:r>
      <w:r w:rsidRPr="00FA2C42">
        <w:rPr>
          <w:rFonts w:asciiTheme="majorHAnsi" w:hAnsiTheme="majorHAnsi" w:cstheme="majorHAnsi"/>
        </w:rPr>
        <w:t>–</w:t>
      </w:r>
      <w:r>
        <w:rPr>
          <w:rFonts w:asciiTheme="majorHAnsi" w:eastAsia="SimSun" w:hAnsiTheme="majorHAnsi" w:cstheme="majorHAnsi" w:hint="eastAsia"/>
          <w:lang w:eastAsia="zh-CN"/>
        </w:rPr>
        <w:t xml:space="preserve"> </w:t>
      </w:r>
      <w:r w:rsidR="00B73979">
        <w:rPr>
          <w:rFonts w:asciiTheme="majorHAnsi" w:eastAsia="SimSun" w:hAnsiTheme="majorHAnsi" w:cstheme="majorHAnsi" w:hint="eastAsia"/>
          <w:lang w:eastAsia="zh-CN"/>
        </w:rPr>
        <w:t>11</w:t>
      </w:r>
      <w:r w:rsidRPr="00FA2C42">
        <w:rPr>
          <w:rFonts w:asciiTheme="majorHAnsi" w:hAnsiTheme="majorHAnsi" w:cstheme="majorHAnsi"/>
        </w:rPr>
        <w:t>:</w:t>
      </w:r>
      <w:r w:rsidR="00B73979">
        <w:rPr>
          <w:rFonts w:asciiTheme="majorHAnsi" w:eastAsia="SimSun" w:hAnsiTheme="majorHAnsi" w:cstheme="majorHAnsi" w:hint="eastAsia"/>
          <w:lang w:eastAsia="zh-CN"/>
        </w:rPr>
        <w:t>3</w:t>
      </w:r>
      <w:r w:rsidRPr="00FA2C42">
        <w:rPr>
          <w:rFonts w:asciiTheme="majorHAnsi" w:hAnsiTheme="majorHAnsi" w:cstheme="majorHAnsi"/>
        </w:rPr>
        <w:t xml:space="preserve">0 </w:t>
      </w:r>
      <w:r w:rsidR="00B73979">
        <w:rPr>
          <w:rFonts w:asciiTheme="majorHAnsi" w:eastAsia="SimSun" w:hAnsiTheme="majorHAnsi" w:cstheme="majorHAnsi" w:hint="eastAsia"/>
          <w:lang w:eastAsia="zh-CN"/>
        </w:rPr>
        <w:t>A</w:t>
      </w:r>
      <w:r w:rsidRPr="00FA2C42">
        <w:rPr>
          <w:rFonts w:asciiTheme="majorHAnsi" w:hAnsiTheme="majorHAnsi" w:cstheme="majorHAnsi"/>
        </w:rPr>
        <w:t xml:space="preserve">M, Thu </w:t>
      </w:r>
      <w:r>
        <w:rPr>
          <w:rFonts w:asciiTheme="majorHAnsi" w:eastAsia="SimSun" w:hAnsiTheme="majorHAnsi" w:cstheme="majorHAnsi" w:hint="eastAsia"/>
          <w:lang w:eastAsia="zh-CN"/>
        </w:rPr>
        <w:t>3:0</w:t>
      </w:r>
      <w:r w:rsidRPr="00FA2C42">
        <w:rPr>
          <w:rFonts w:asciiTheme="majorHAnsi" w:hAnsiTheme="majorHAnsi" w:cstheme="majorHAnsi"/>
        </w:rPr>
        <w:t>0</w:t>
      </w:r>
      <w:r>
        <w:rPr>
          <w:rFonts w:asciiTheme="majorHAnsi" w:eastAsia="SimSun" w:hAnsiTheme="majorHAnsi" w:cstheme="majorHAnsi" w:hint="eastAsia"/>
          <w:lang w:eastAsia="zh-CN"/>
        </w:rPr>
        <w:t xml:space="preserve"> PM </w:t>
      </w:r>
      <w:r w:rsidRPr="00FA2C42">
        <w:rPr>
          <w:rFonts w:asciiTheme="majorHAnsi" w:hAnsiTheme="majorHAnsi" w:cstheme="majorHAnsi"/>
        </w:rPr>
        <w:t>–</w:t>
      </w:r>
      <w:r>
        <w:rPr>
          <w:rFonts w:asciiTheme="majorHAnsi" w:eastAsia="SimSun" w:hAnsiTheme="majorHAnsi" w:cstheme="majorHAnsi" w:hint="eastAsia"/>
          <w:lang w:eastAsia="zh-CN"/>
        </w:rPr>
        <w:t xml:space="preserve"> 5</w:t>
      </w:r>
      <w:r w:rsidRPr="00FA2C42">
        <w:rPr>
          <w:rFonts w:asciiTheme="majorHAnsi" w:hAnsiTheme="majorHAnsi" w:cstheme="majorHAnsi"/>
        </w:rPr>
        <w:t>:</w:t>
      </w:r>
      <w:r>
        <w:rPr>
          <w:rFonts w:asciiTheme="majorHAnsi" w:eastAsia="SimSun" w:hAnsiTheme="majorHAnsi" w:cstheme="majorHAnsi" w:hint="eastAsia"/>
          <w:lang w:eastAsia="zh-CN"/>
        </w:rPr>
        <w:t>0</w:t>
      </w:r>
      <w:r w:rsidRPr="00FA2C42">
        <w:rPr>
          <w:rFonts w:asciiTheme="majorHAnsi" w:hAnsiTheme="majorHAnsi" w:cstheme="majorHAnsi"/>
        </w:rPr>
        <w:t xml:space="preserve">0 </w:t>
      </w:r>
      <w:r>
        <w:rPr>
          <w:rFonts w:asciiTheme="majorHAnsi" w:eastAsia="SimSun" w:hAnsiTheme="majorHAnsi" w:cstheme="majorHAnsi" w:hint="eastAsia"/>
          <w:lang w:eastAsia="zh-CN"/>
        </w:rPr>
        <w:t>PM</w:t>
      </w:r>
      <w:r w:rsidRPr="00FA2C42">
        <w:rPr>
          <w:rFonts w:asciiTheme="majorHAnsi" w:hAnsiTheme="majorHAnsi" w:cstheme="majorHAnsi"/>
        </w:rPr>
        <w:t xml:space="preserve"> (and by appointment)</w:t>
      </w:r>
    </w:p>
    <w:p w14:paraId="6420AE22" w14:textId="635D502E" w:rsidR="008401EE" w:rsidRDefault="008401EE">
      <w:pPr>
        <w:pStyle w:val="Heading1"/>
        <w:rPr>
          <w:rFonts w:eastAsia="SimSun" w:cstheme="majorHAnsi"/>
          <w:b w:val="0"/>
          <w:bCs w:val="0"/>
          <w:color w:val="auto"/>
          <w:sz w:val="22"/>
          <w:szCs w:val="22"/>
          <w:lang w:eastAsia="zh-CN"/>
        </w:rPr>
      </w:pPr>
      <w:r w:rsidRPr="008401EE">
        <w:rPr>
          <w:rFonts w:eastAsia="SimSun" w:cstheme="majorHAnsi"/>
          <w:b w:val="0"/>
          <w:bCs w:val="0"/>
          <w:color w:val="auto"/>
          <w:sz w:val="22"/>
          <w:szCs w:val="22"/>
          <w:lang w:eastAsia="zh-CN"/>
        </w:rPr>
        <w:t xml:space="preserve">In addition to in-person meetings, students may contact the instructor and TA via Canvas; messages from </w:t>
      </w:r>
      <w:r>
        <w:rPr>
          <w:rFonts w:eastAsia="SimSun" w:cstheme="majorHAnsi"/>
          <w:b w:val="0"/>
          <w:bCs w:val="0"/>
          <w:color w:val="auto"/>
          <w:sz w:val="22"/>
          <w:szCs w:val="22"/>
          <w:lang w:eastAsia="zh-CN"/>
        </w:rPr>
        <w:t>non-UNT</w:t>
      </w:r>
      <w:r w:rsidRPr="008401EE">
        <w:rPr>
          <w:rFonts w:eastAsia="SimSun" w:cstheme="majorHAnsi"/>
          <w:b w:val="0"/>
          <w:bCs w:val="0"/>
          <w:color w:val="auto"/>
          <w:sz w:val="22"/>
          <w:szCs w:val="22"/>
          <w:lang w:eastAsia="zh-CN"/>
        </w:rPr>
        <w:t xml:space="preserve"> email accounts or social media will not be accepted.</w:t>
      </w:r>
    </w:p>
    <w:p w14:paraId="47BF55AF" w14:textId="78DD7D66" w:rsidR="002A4F7A" w:rsidRPr="00FA2C42" w:rsidRDefault="00000000">
      <w:pPr>
        <w:pStyle w:val="Heading1"/>
        <w:rPr>
          <w:rFonts w:cstheme="majorHAnsi"/>
        </w:rPr>
      </w:pPr>
      <w:r w:rsidRPr="00FA2C42">
        <w:rPr>
          <w:rFonts w:cstheme="majorHAnsi"/>
        </w:rPr>
        <w:t>Course Description, Structure, and Objectives</w:t>
      </w:r>
    </w:p>
    <w:p w14:paraId="1246E581" w14:textId="77777777" w:rsidR="002A4F7A" w:rsidRPr="00FA2C42" w:rsidRDefault="00000000">
      <w:pPr>
        <w:rPr>
          <w:rFonts w:asciiTheme="majorHAnsi" w:hAnsiTheme="majorHAnsi" w:cstheme="majorHAnsi"/>
        </w:rPr>
      </w:pPr>
      <w:r w:rsidRPr="00FA2C42">
        <w:rPr>
          <w:rFonts w:asciiTheme="majorHAnsi" w:hAnsiTheme="majorHAnsi" w:cstheme="majorHAnsi"/>
          <w:b/>
        </w:rPr>
        <w:t xml:space="preserve">Catalog Description. </w:t>
      </w:r>
      <w:r w:rsidRPr="00FA2C42">
        <w:rPr>
          <w:rFonts w:asciiTheme="majorHAnsi" w:hAnsiTheme="majorHAnsi" w:cstheme="majorHAnsi"/>
        </w:rPr>
        <w:t>Architecture and elements of a wireless network. Use and process of mobility management. Signaling schemes used in wireless networks; network signaling, protocols and standards (GSM, IS</w:t>
      </w:r>
      <w:r w:rsidRPr="00FA2C42">
        <w:rPr>
          <w:rFonts w:ascii="Cambria Math" w:hAnsi="Cambria Math" w:cs="Cambria Math"/>
        </w:rPr>
        <w:t>‑</w:t>
      </w:r>
      <w:r w:rsidRPr="00FA2C42">
        <w:rPr>
          <w:rFonts w:asciiTheme="majorHAnsi" w:hAnsiTheme="majorHAnsi" w:cstheme="majorHAnsi"/>
        </w:rPr>
        <w:t>95, WAP, MobileIP, CDMA2000, 4G/LTE). Analyze the operation and performance of wireless protocols. Interworking of wireless and wireline networks.</w:t>
      </w:r>
    </w:p>
    <w:p w14:paraId="44DF51EA" w14:textId="77777777" w:rsidR="002A4F7A" w:rsidRPr="00FA2C42" w:rsidRDefault="00000000">
      <w:pPr>
        <w:rPr>
          <w:rFonts w:asciiTheme="majorHAnsi" w:hAnsiTheme="majorHAnsi" w:cstheme="majorHAnsi"/>
        </w:rPr>
      </w:pPr>
      <w:r w:rsidRPr="00FA2C42">
        <w:rPr>
          <w:rFonts w:asciiTheme="majorHAnsi" w:hAnsiTheme="majorHAnsi" w:cstheme="majorHAnsi"/>
        </w:rPr>
        <w:t xml:space="preserve">Credits: </w:t>
      </w:r>
      <w:r w:rsidRPr="00F15740">
        <w:rPr>
          <w:rFonts w:asciiTheme="majorHAnsi" w:hAnsiTheme="majorHAnsi" w:cstheme="majorHAnsi"/>
          <w:b/>
          <w:bCs/>
        </w:rPr>
        <w:t>3 semester credit hours; 3 lecture hours</w:t>
      </w:r>
    </w:p>
    <w:p w14:paraId="465665DC" w14:textId="77777777" w:rsidR="002A4F7A" w:rsidRPr="00FA2C42" w:rsidRDefault="00000000">
      <w:pPr>
        <w:rPr>
          <w:rFonts w:asciiTheme="majorHAnsi" w:hAnsiTheme="majorHAnsi" w:cstheme="majorHAnsi"/>
        </w:rPr>
      </w:pPr>
      <w:r w:rsidRPr="00FA2C42">
        <w:rPr>
          <w:rFonts w:asciiTheme="majorHAnsi" w:hAnsiTheme="majorHAnsi" w:cstheme="majorHAnsi"/>
        </w:rPr>
        <w:lastRenderedPageBreak/>
        <w:t>Prerequisite: CSCE 3600</w:t>
      </w:r>
    </w:p>
    <w:p w14:paraId="7B8E7951" w14:textId="77777777" w:rsidR="002A4F7A" w:rsidRPr="00FA2C42" w:rsidRDefault="00000000">
      <w:pPr>
        <w:rPr>
          <w:rFonts w:asciiTheme="majorHAnsi" w:hAnsiTheme="majorHAnsi" w:cstheme="majorHAnsi"/>
        </w:rPr>
      </w:pPr>
      <w:r w:rsidRPr="00FA2C42">
        <w:rPr>
          <w:rFonts w:asciiTheme="majorHAnsi" w:hAnsiTheme="majorHAnsi" w:cstheme="majorHAnsi"/>
        </w:rPr>
        <w:t>Course Coordinator: Amir Mirzaeinia</w:t>
      </w:r>
    </w:p>
    <w:p w14:paraId="23D114CF" w14:textId="77777777" w:rsidR="002A4F7A" w:rsidRPr="00FA2C42" w:rsidRDefault="00000000">
      <w:pPr>
        <w:rPr>
          <w:rFonts w:asciiTheme="majorHAnsi" w:hAnsiTheme="majorHAnsi" w:cstheme="majorHAnsi"/>
        </w:rPr>
      </w:pPr>
      <w:r w:rsidRPr="00FA2C42">
        <w:rPr>
          <w:rFonts w:asciiTheme="majorHAnsi" w:hAnsiTheme="majorHAnsi" w:cstheme="majorHAnsi"/>
        </w:rPr>
        <w:t>Course Structure. Two 80</w:t>
      </w:r>
      <w:r w:rsidRPr="00FA2C42">
        <w:rPr>
          <w:rFonts w:ascii="Cambria Math" w:hAnsi="Cambria Math" w:cs="Cambria Math"/>
        </w:rPr>
        <w:t>‑</w:t>
      </w:r>
      <w:r w:rsidRPr="00FA2C42">
        <w:rPr>
          <w:rFonts w:asciiTheme="majorHAnsi" w:hAnsiTheme="majorHAnsi" w:cstheme="majorHAnsi"/>
        </w:rPr>
        <w:t>minute meetings weekly; lecture with in</w:t>
      </w:r>
      <w:r w:rsidRPr="00FA2C42">
        <w:rPr>
          <w:rFonts w:ascii="Cambria Math" w:hAnsi="Cambria Math" w:cs="Cambria Math"/>
        </w:rPr>
        <w:t>‑</w:t>
      </w:r>
      <w:r w:rsidRPr="00FA2C42">
        <w:rPr>
          <w:rFonts w:asciiTheme="majorHAnsi" w:hAnsiTheme="majorHAnsi" w:cstheme="majorHAnsi"/>
        </w:rPr>
        <w:t>class activities, problem discussions, and occasional short quizzes. Materials and announcements will be posted on Canvas.</w:t>
      </w:r>
    </w:p>
    <w:p w14:paraId="271810C2" w14:textId="77777777" w:rsidR="002A4F7A" w:rsidRPr="00FA2C42" w:rsidRDefault="00000000">
      <w:pPr>
        <w:pStyle w:val="Heading2"/>
        <w:rPr>
          <w:rFonts w:cstheme="majorHAnsi"/>
        </w:rPr>
      </w:pPr>
      <w:r w:rsidRPr="00FA2C42">
        <w:rPr>
          <w:rFonts w:cstheme="majorHAnsi"/>
        </w:rPr>
        <w:t>Learning Outcomes (upon successful completion)</w:t>
      </w:r>
    </w:p>
    <w:p w14:paraId="6147A7DC"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Explain basic operation of a cellular network.</w:t>
      </w:r>
    </w:p>
    <w:p w14:paraId="14FF8468"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Describe the roles and basic operation of core elements in a cellular network.</w:t>
      </w:r>
    </w:p>
    <w:p w14:paraId="29874952"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Compare soft vs. hard handoff mechanisms.</w:t>
      </w:r>
    </w:p>
    <w:p w14:paraId="4614A9D4"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Explain the functions of interfaces between BTS, BSC, MSC, and PSTN.</w:t>
      </w:r>
    </w:p>
    <w:p w14:paraId="21C3F818"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Discuss fundamental QoS issues for voice and data services in cellular networks.</w:t>
      </w:r>
    </w:p>
    <w:p w14:paraId="76116E88"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Summarize the basic operation of 4G/LTE and interworking of wireless and wireline networks.</w:t>
      </w:r>
    </w:p>
    <w:p w14:paraId="15CA51FE" w14:textId="77777777" w:rsidR="002A4F7A" w:rsidRDefault="00000000">
      <w:pPr>
        <w:pStyle w:val="Heading2"/>
        <w:rPr>
          <w:rFonts w:eastAsia="SimSun" w:cstheme="majorHAnsi"/>
          <w:lang w:eastAsia="zh-CN"/>
        </w:rPr>
      </w:pPr>
      <w:r w:rsidRPr="00FA2C42">
        <w:rPr>
          <w:rFonts w:cstheme="majorHAnsi"/>
        </w:rPr>
        <w:t>Relationship to ABET Student Outcomes (selected)</w:t>
      </w:r>
    </w:p>
    <w:p w14:paraId="62507943" w14:textId="77777777" w:rsidR="00386B21" w:rsidRPr="00386B21" w:rsidRDefault="00386B21" w:rsidP="00386B21">
      <w:pPr>
        <w:rPr>
          <w:rFonts w:eastAsia="SimSun"/>
          <w:lang w:eastAsia="zh-CN"/>
        </w:rPr>
      </w:pPr>
    </w:p>
    <w:tbl>
      <w:tblPr>
        <w:tblW w:w="86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380"/>
      </w:tblGrid>
      <w:tr w:rsidR="00386B21" w:rsidRPr="000F5B59" w14:paraId="37A45672" w14:textId="77777777" w:rsidTr="00386B21">
        <w:trPr>
          <w:trHeight w:val="300"/>
        </w:trPr>
        <w:tc>
          <w:tcPr>
            <w:tcW w:w="1268" w:type="dxa"/>
            <w:tcBorders>
              <w:top w:val="single" w:sz="6" w:space="0" w:color="auto"/>
              <w:left w:val="single" w:sz="6" w:space="0" w:color="auto"/>
              <w:bottom w:val="single" w:sz="6" w:space="0" w:color="auto"/>
              <w:right w:val="single" w:sz="6" w:space="0" w:color="auto"/>
            </w:tcBorders>
            <w:hideMark/>
          </w:tcPr>
          <w:p w14:paraId="64324A26" w14:textId="77777777" w:rsidR="00386B21" w:rsidRPr="000F5B59" w:rsidRDefault="00386B21" w:rsidP="00743D9A">
            <w:pPr>
              <w:rPr>
                <w:rFonts w:ascii="Gill Sans MT" w:hAnsi="Gill Sans MT"/>
              </w:rPr>
            </w:pPr>
            <w:r w:rsidRPr="000F5B59">
              <w:rPr>
                <w:rFonts w:ascii="Gill Sans MT" w:hAnsi="Gill Sans MT"/>
              </w:rPr>
              <w:t>Course Outcome </w:t>
            </w:r>
          </w:p>
        </w:tc>
        <w:tc>
          <w:tcPr>
            <w:tcW w:w="7380" w:type="dxa"/>
            <w:tcBorders>
              <w:top w:val="single" w:sz="6" w:space="0" w:color="auto"/>
              <w:left w:val="single" w:sz="6" w:space="0" w:color="auto"/>
              <w:bottom w:val="single" w:sz="6" w:space="0" w:color="auto"/>
              <w:right w:val="single" w:sz="6" w:space="0" w:color="auto"/>
            </w:tcBorders>
            <w:hideMark/>
          </w:tcPr>
          <w:p w14:paraId="78538864" w14:textId="77777777" w:rsidR="00386B21" w:rsidRPr="000F5B59" w:rsidRDefault="00386B21" w:rsidP="00743D9A">
            <w:pPr>
              <w:rPr>
                <w:rFonts w:ascii="Gill Sans MT" w:hAnsi="Gill Sans MT"/>
              </w:rPr>
            </w:pPr>
            <w:r w:rsidRPr="000F5B59">
              <w:rPr>
                <w:rFonts w:ascii="Gill Sans MT" w:hAnsi="Gill Sans MT"/>
              </w:rPr>
              <w:t>Student Outcomes </w:t>
            </w:r>
          </w:p>
        </w:tc>
      </w:tr>
      <w:tr w:rsidR="00386B21" w:rsidRPr="000F5B59" w14:paraId="1940F608" w14:textId="77777777" w:rsidTr="00386B21">
        <w:trPr>
          <w:trHeight w:val="300"/>
        </w:trPr>
        <w:tc>
          <w:tcPr>
            <w:tcW w:w="1268" w:type="dxa"/>
            <w:tcBorders>
              <w:top w:val="single" w:sz="6" w:space="0" w:color="auto"/>
              <w:left w:val="single" w:sz="6" w:space="0" w:color="auto"/>
              <w:bottom w:val="single" w:sz="6" w:space="0" w:color="auto"/>
              <w:right w:val="single" w:sz="6" w:space="0" w:color="auto"/>
            </w:tcBorders>
            <w:hideMark/>
          </w:tcPr>
          <w:p w14:paraId="36951F78" w14:textId="77777777" w:rsidR="00386B21" w:rsidRPr="000F5B59" w:rsidRDefault="00386B21" w:rsidP="00743D9A">
            <w:pPr>
              <w:rPr>
                <w:rFonts w:ascii="Gill Sans MT" w:hAnsi="Gill Sans MT"/>
              </w:rPr>
            </w:pPr>
            <w:r w:rsidRPr="000F5B59">
              <w:rPr>
                <w:rFonts w:ascii="Gill Sans MT" w:hAnsi="Gill Sans MT"/>
              </w:rPr>
              <w:t>1,2 </w:t>
            </w:r>
          </w:p>
        </w:tc>
        <w:tc>
          <w:tcPr>
            <w:tcW w:w="7380" w:type="dxa"/>
            <w:tcBorders>
              <w:top w:val="single" w:sz="6" w:space="0" w:color="auto"/>
              <w:left w:val="single" w:sz="6" w:space="0" w:color="auto"/>
              <w:bottom w:val="single" w:sz="6" w:space="0" w:color="auto"/>
              <w:right w:val="single" w:sz="6" w:space="0" w:color="auto"/>
            </w:tcBorders>
            <w:hideMark/>
          </w:tcPr>
          <w:p w14:paraId="11E50016" w14:textId="77777777" w:rsidR="00386B21" w:rsidRPr="000F5B59" w:rsidRDefault="00386B21" w:rsidP="00386B21">
            <w:pPr>
              <w:numPr>
                <w:ilvl w:val="0"/>
                <w:numId w:val="10"/>
              </w:numPr>
              <w:spacing w:after="160" w:line="278" w:lineRule="auto"/>
              <w:rPr>
                <w:rFonts w:ascii="Gill Sans MT" w:hAnsi="Gill Sans MT"/>
              </w:rPr>
            </w:pPr>
            <w:r w:rsidRPr="000F5B59">
              <w:rPr>
                <w:rFonts w:ascii="Gill Sans MT" w:hAnsi="Gill Sans MT"/>
              </w:rPr>
              <w:t>an ability to identify, formulate, and solve complex engineering problems by applying principles of engineering, science, and mathematics </w:t>
            </w:r>
          </w:p>
        </w:tc>
      </w:tr>
      <w:tr w:rsidR="00386B21" w:rsidRPr="000F5B59" w14:paraId="2C607F79" w14:textId="77777777" w:rsidTr="00386B21">
        <w:trPr>
          <w:trHeight w:val="300"/>
        </w:trPr>
        <w:tc>
          <w:tcPr>
            <w:tcW w:w="1268" w:type="dxa"/>
            <w:tcBorders>
              <w:top w:val="single" w:sz="6" w:space="0" w:color="auto"/>
              <w:left w:val="single" w:sz="6" w:space="0" w:color="auto"/>
              <w:bottom w:val="single" w:sz="6" w:space="0" w:color="auto"/>
              <w:right w:val="single" w:sz="6" w:space="0" w:color="auto"/>
            </w:tcBorders>
            <w:hideMark/>
          </w:tcPr>
          <w:p w14:paraId="6C2B408F" w14:textId="77777777" w:rsidR="00386B21" w:rsidRPr="000F5B59" w:rsidRDefault="00386B21" w:rsidP="00743D9A">
            <w:pPr>
              <w:rPr>
                <w:rFonts w:ascii="Gill Sans MT" w:hAnsi="Gill Sans MT"/>
              </w:rPr>
            </w:pPr>
            <w:r w:rsidRPr="000F5B59">
              <w:rPr>
                <w:rFonts w:ascii="Gill Sans MT" w:hAnsi="Gill Sans MT"/>
              </w:rPr>
              <w:t>3, 4, 5 </w:t>
            </w:r>
          </w:p>
        </w:tc>
        <w:tc>
          <w:tcPr>
            <w:tcW w:w="7380" w:type="dxa"/>
            <w:tcBorders>
              <w:top w:val="single" w:sz="6" w:space="0" w:color="auto"/>
              <w:left w:val="single" w:sz="6" w:space="0" w:color="auto"/>
              <w:bottom w:val="single" w:sz="6" w:space="0" w:color="auto"/>
              <w:right w:val="single" w:sz="6" w:space="0" w:color="auto"/>
            </w:tcBorders>
            <w:hideMark/>
          </w:tcPr>
          <w:p w14:paraId="52589BDE" w14:textId="77777777" w:rsidR="00386B21" w:rsidRPr="000F5B59" w:rsidRDefault="00386B21" w:rsidP="00386B21">
            <w:pPr>
              <w:numPr>
                <w:ilvl w:val="0"/>
                <w:numId w:val="11"/>
              </w:numPr>
              <w:spacing w:after="160" w:line="278" w:lineRule="auto"/>
              <w:rPr>
                <w:rFonts w:ascii="Gill Sans MT" w:hAnsi="Gill Sans MT"/>
              </w:rPr>
            </w:pPr>
            <w:r w:rsidRPr="000F5B59">
              <w:rPr>
                <w:rFonts w:ascii="Gill Sans MT" w:hAnsi="Gill Sans MT"/>
              </w:rPr>
              <w:t>an ability to apply engineering design to produce solutions that meet specified needs with consideration of public health, safety, and welfare, as well as global, cultural, social, environmental, and economic factors </w:t>
            </w:r>
          </w:p>
        </w:tc>
      </w:tr>
      <w:tr w:rsidR="00386B21" w:rsidRPr="000F5B59" w14:paraId="0404E550" w14:textId="77777777" w:rsidTr="00386B21">
        <w:trPr>
          <w:trHeight w:val="300"/>
        </w:trPr>
        <w:tc>
          <w:tcPr>
            <w:tcW w:w="1268" w:type="dxa"/>
            <w:tcBorders>
              <w:top w:val="single" w:sz="6" w:space="0" w:color="auto"/>
              <w:left w:val="single" w:sz="6" w:space="0" w:color="auto"/>
              <w:bottom w:val="single" w:sz="6" w:space="0" w:color="auto"/>
              <w:right w:val="single" w:sz="6" w:space="0" w:color="auto"/>
            </w:tcBorders>
            <w:hideMark/>
          </w:tcPr>
          <w:p w14:paraId="0D07070C" w14:textId="77777777" w:rsidR="00386B21" w:rsidRPr="000F5B59" w:rsidRDefault="00386B21" w:rsidP="00743D9A">
            <w:pPr>
              <w:rPr>
                <w:rFonts w:ascii="Gill Sans MT" w:hAnsi="Gill Sans MT"/>
              </w:rPr>
            </w:pPr>
            <w:r w:rsidRPr="000F5B59">
              <w:rPr>
                <w:rFonts w:ascii="Gill Sans MT" w:hAnsi="Gill Sans MT"/>
              </w:rPr>
              <w:t>3, 4, 5 </w:t>
            </w:r>
          </w:p>
        </w:tc>
        <w:tc>
          <w:tcPr>
            <w:tcW w:w="7380" w:type="dxa"/>
            <w:tcBorders>
              <w:top w:val="single" w:sz="6" w:space="0" w:color="auto"/>
              <w:left w:val="single" w:sz="6" w:space="0" w:color="auto"/>
              <w:bottom w:val="single" w:sz="6" w:space="0" w:color="auto"/>
              <w:right w:val="single" w:sz="6" w:space="0" w:color="auto"/>
            </w:tcBorders>
            <w:hideMark/>
          </w:tcPr>
          <w:p w14:paraId="3B2B37B5" w14:textId="433AA509" w:rsidR="00386B21" w:rsidRPr="00386B21" w:rsidRDefault="00386B21" w:rsidP="00743D9A">
            <w:pPr>
              <w:numPr>
                <w:ilvl w:val="0"/>
                <w:numId w:val="12"/>
              </w:numPr>
              <w:spacing w:after="160" w:line="278" w:lineRule="auto"/>
              <w:rPr>
                <w:rFonts w:ascii="Gill Sans MT" w:hAnsi="Gill Sans MT"/>
              </w:rPr>
            </w:pPr>
            <w:r w:rsidRPr="000F5B59">
              <w:rPr>
                <w:rFonts w:ascii="Gill Sans MT" w:hAnsi="Gill Sans MT"/>
              </w:rPr>
              <w:t>an ability to communicate effectively with a range of audiences </w:t>
            </w:r>
          </w:p>
        </w:tc>
      </w:tr>
      <w:tr w:rsidR="00386B21" w:rsidRPr="000F5B59" w14:paraId="3D9D8784" w14:textId="77777777" w:rsidTr="00386B21">
        <w:trPr>
          <w:trHeight w:val="300"/>
        </w:trPr>
        <w:tc>
          <w:tcPr>
            <w:tcW w:w="1268" w:type="dxa"/>
            <w:tcBorders>
              <w:top w:val="single" w:sz="6" w:space="0" w:color="auto"/>
              <w:left w:val="single" w:sz="6" w:space="0" w:color="auto"/>
              <w:bottom w:val="single" w:sz="6" w:space="0" w:color="auto"/>
              <w:right w:val="single" w:sz="6" w:space="0" w:color="auto"/>
            </w:tcBorders>
            <w:hideMark/>
          </w:tcPr>
          <w:p w14:paraId="4ADDD746" w14:textId="77777777" w:rsidR="00386B21" w:rsidRPr="000F5B59" w:rsidRDefault="00386B21" w:rsidP="00743D9A">
            <w:pPr>
              <w:rPr>
                <w:rFonts w:ascii="Gill Sans MT" w:hAnsi="Gill Sans MT"/>
              </w:rPr>
            </w:pPr>
            <w:r w:rsidRPr="000F5B59">
              <w:rPr>
                <w:rFonts w:ascii="Gill Sans MT" w:hAnsi="Gill Sans MT"/>
              </w:rPr>
              <w:t>3, 4 </w:t>
            </w:r>
          </w:p>
        </w:tc>
        <w:tc>
          <w:tcPr>
            <w:tcW w:w="7380" w:type="dxa"/>
            <w:tcBorders>
              <w:top w:val="single" w:sz="6" w:space="0" w:color="auto"/>
              <w:left w:val="single" w:sz="6" w:space="0" w:color="auto"/>
              <w:bottom w:val="single" w:sz="6" w:space="0" w:color="auto"/>
              <w:right w:val="single" w:sz="6" w:space="0" w:color="auto"/>
            </w:tcBorders>
            <w:hideMark/>
          </w:tcPr>
          <w:p w14:paraId="61D4D934" w14:textId="3D4AB6B9" w:rsidR="00386B21" w:rsidRPr="000F5B59" w:rsidRDefault="00386B21" w:rsidP="00386B21">
            <w:pPr>
              <w:numPr>
                <w:ilvl w:val="0"/>
                <w:numId w:val="13"/>
              </w:numPr>
              <w:spacing w:after="160" w:line="278" w:lineRule="auto"/>
              <w:rPr>
                <w:rFonts w:ascii="Gill Sans MT" w:hAnsi="Gill Sans MT"/>
              </w:rPr>
            </w:pPr>
            <w:r w:rsidRPr="000F5B59">
              <w:rPr>
                <w:rFonts w:ascii="Gill Sans MT" w:hAnsi="Gill Sans MT"/>
              </w:rPr>
              <w:t>an ability to recognize ethical and professional responsibilities in engineering situations and make informed judgments, which must consider the impact of engineering solutions in global, economic, environmental, and societal contexts  </w:t>
            </w:r>
          </w:p>
        </w:tc>
      </w:tr>
      <w:tr w:rsidR="00386B21" w:rsidRPr="000F5B59" w14:paraId="2A59B943" w14:textId="77777777" w:rsidTr="00386B21">
        <w:trPr>
          <w:trHeight w:val="948"/>
        </w:trPr>
        <w:tc>
          <w:tcPr>
            <w:tcW w:w="1268" w:type="dxa"/>
            <w:tcBorders>
              <w:top w:val="single" w:sz="6" w:space="0" w:color="auto"/>
              <w:left w:val="single" w:sz="6" w:space="0" w:color="auto"/>
              <w:bottom w:val="single" w:sz="6" w:space="0" w:color="auto"/>
              <w:right w:val="single" w:sz="6" w:space="0" w:color="auto"/>
            </w:tcBorders>
            <w:hideMark/>
          </w:tcPr>
          <w:p w14:paraId="5F64B4CF" w14:textId="77777777" w:rsidR="00386B21" w:rsidRPr="000F5B59" w:rsidRDefault="00386B21" w:rsidP="00743D9A">
            <w:pPr>
              <w:rPr>
                <w:rFonts w:ascii="Gill Sans MT" w:hAnsi="Gill Sans MT"/>
              </w:rPr>
            </w:pPr>
            <w:r w:rsidRPr="000F5B59">
              <w:rPr>
                <w:rFonts w:ascii="Gill Sans MT" w:hAnsi="Gill Sans MT"/>
              </w:rPr>
              <w:t>2, </w:t>
            </w:r>
          </w:p>
        </w:tc>
        <w:tc>
          <w:tcPr>
            <w:tcW w:w="7380" w:type="dxa"/>
            <w:tcBorders>
              <w:top w:val="single" w:sz="6" w:space="0" w:color="auto"/>
              <w:left w:val="single" w:sz="6" w:space="0" w:color="auto"/>
              <w:bottom w:val="single" w:sz="6" w:space="0" w:color="auto"/>
              <w:right w:val="single" w:sz="6" w:space="0" w:color="auto"/>
            </w:tcBorders>
            <w:hideMark/>
          </w:tcPr>
          <w:p w14:paraId="09555991" w14:textId="617414B1" w:rsidR="00386B21" w:rsidRPr="000F5B59" w:rsidRDefault="00386B21" w:rsidP="00386B21">
            <w:pPr>
              <w:numPr>
                <w:ilvl w:val="0"/>
                <w:numId w:val="14"/>
              </w:numPr>
              <w:spacing w:after="160" w:line="278" w:lineRule="auto"/>
              <w:rPr>
                <w:rFonts w:ascii="Gill Sans MT" w:hAnsi="Gill Sans MT"/>
              </w:rPr>
            </w:pPr>
            <w:r w:rsidRPr="000F5B59">
              <w:rPr>
                <w:rFonts w:ascii="Gill Sans MT" w:hAnsi="Gill Sans MT"/>
              </w:rPr>
              <w:t>an ability to function effectively on a team whose members together provide leadership, create a collaborative and inclusive environment, establish goals, plan tasks, and meet objectives </w:t>
            </w:r>
          </w:p>
        </w:tc>
      </w:tr>
      <w:tr w:rsidR="00386B21" w:rsidRPr="000F5B59" w14:paraId="069245D6" w14:textId="77777777" w:rsidTr="00386B21">
        <w:trPr>
          <w:trHeight w:val="300"/>
        </w:trPr>
        <w:tc>
          <w:tcPr>
            <w:tcW w:w="1268" w:type="dxa"/>
            <w:tcBorders>
              <w:top w:val="single" w:sz="6" w:space="0" w:color="auto"/>
              <w:left w:val="single" w:sz="6" w:space="0" w:color="auto"/>
              <w:bottom w:val="single" w:sz="6" w:space="0" w:color="auto"/>
              <w:right w:val="single" w:sz="6" w:space="0" w:color="auto"/>
            </w:tcBorders>
            <w:hideMark/>
          </w:tcPr>
          <w:p w14:paraId="4F2511E9" w14:textId="77777777" w:rsidR="00386B21" w:rsidRPr="000F5B59" w:rsidRDefault="00386B21" w:rsidP="00743D9A">
            <w:pPr>
              <w:rPr>
                <w:rFonts w:ascii="Gill Sans MT" w:hAnsi="Gill Sans MT"/>
              </w:rPr>
            </w:pPr>
            <w:r w:rsidRPr="000F5B59">
              <w:rPr>
                <w:rFonts w:ascii="Gill Sans MT" w:hAnsi="Gill Sans MT"/>
              </w:rPr>
              <w:t>1, 3 </w:t>
            </w:r>
          </w:p>
        </w:tc>
        <w:tc>
          <w:tcPr>
            <w:tcW w:w="7380" w:type="dxa"/>
            <w:tcBorders>
              <w:top w:val="single" w:sz="6" w:space="0" w:color="auto"/>
              <w:left w:val="single" w:sz="6" w:space="0" w:color="auto"/>
              <w:bottom w:val="single" w:sz="6" w:space="0" w:color="auto"/>
              <w:right w:val="single" w:sz="6" w:space="0" w:color="auto"/>
            </w:tcBorders>
            <w:hideMark/>
          </w:tcPr>
          <w:p w14:paraId="44302899" w14:textId="7B89869D" w:rsidR="00386B21" w:rsidRPr="00386B21" w:rsidRDefault="00386B21" w:rsidP="00743D9A">
            <w:pPr>
              <w:numPr>
                <w:ilvl w:val="0"/>
                <w:numId w:val="15"/>
              </w:numPr>
              <w:spacing w:after="160" w:line="278" w:lineRule="auto"/>
              <w:rPr>
                <w:rFonts w:ascii="Gill Sans MT" w:hAnsi="Gill Sans MT"/>
              </w:rPr>
            </w:pPr>
            <w:r w:rsidRPr="000F5B59">
              <w:rPr>
                <w:rFonts w:ascii="Gill Sans MT" w:hAnsi="Gill Sans MT"/>
              </w:rPr>
              <w:t>an ability to develop and conduct appropriate experimentation, analyze and interpret data, and use engineering judgment to draw conclusions </w:t>
            </w:r>
          </w:p>
        </w:tc>
      </w:tr>
      <w:tr w:rsidR="00386B21" w:rsidRPr="000F5B59" w14:paraId="24F10EC2" w14:textId="77777777" w:rsidTr="00386B21">
        <w:trPr>
          <w:trHeight w:val="300"/>
        </w:trPr>
        <w:tc>
          <w:tcPr>
            <w:tcW w:w="1268" w:type="dxa"/>
            <w:tcBorders>
              <w:top w:val="single" w:sz="6" w:space="0" w:color="auto"/>
              <w:left w:val="single" w:sz="6" w:space="0" w:color="auto"/>
              <w:bottom w:val="single" w:sz="6" w:space="0" w:color="auto"/>
              <w:right w:val="single" w:sz="6" w:space="0" w:color="auto"/>
            </w:tcBorders>
            <w:hideMark/>
          </w:tcPr>
          <w:p w14:paraId="348DC476" w14:textId="77777777" w:rsidR="00386B21" w:rsidRPr="000F5B59" w:rsidRDefault="00386B21" w:rsidP="00743D9A">
            <w:pPr>
              <w:rPr>
                <w:rFonts w:ascii="Gill Sans MT" w:hAnsi="Gill Sans MT"/>
              </w:rPr>
            </w:pPr>
            <w:r w:rsidRPr="000F5B59">
              <w:rPr>
                <w:rFonts w:ascii="Gill Sans MT" w:hAnsi="Gill Sans MT"/>
              </w:rPr>
              <w:lastRenderedPageBreak/>
              <w:t>5 </w:t>
            </w:r>
          </w:p>
        </w:tc>
        <w:tc>
          <w:tcPr>
            <w:tcW w:w="7380" w:type="dxa"/>
            <w:tcBorders>
              <w:top w:val="single" w:sz="6" w:space="0" w:color="auto"/>
              <w:left w:val="single" w:sz="6" w:space="0" w:color="auto"/>
              <w:bottom w:val="single" w:sz="6" w:space="0" w:color="auto"/>
              <w:right w:val="single" w:sz="6" w:space="0" w:color="auto"/>
            </w:tcBorders>
            <w:hideMark/>
          </w:tcPr>
          <w:p w14:paraId="3DB6B2AB" w14:textId="77777777" w:rsidR="00386B21" w:rsidRPr="000F5B59" w:rsidRDefault="00386B21" w:rsidP="00386B21">
            <w:pPr>
              <w:numPr>
                <w:ilvl w:val="0"/>
                <w:numId w:val="16"/>
              </w:numPr>
              <w:spacing w:after="160" w:line="278" w:lineRule="auto"/>
              <w:rPr>
                <w:rFonts w:ascii="Gill Sans MT" w:hAnsi="Gill Sans MT"/>
              </w:rPr>
            </w:pPr>
            <w:r w:rsidRPr="000F5B59">
              <w:rPr>
                <w:rFonts w:ascii="Gill Sans MT" w:hAnsi="Gill Sans MT"/>
              </w:rPr>
              <w:t>an ability to acquire and apply new knowledge as needed, using appropriate learning strategies. </w:t>
            </w:r>
          </w:p>
        </w:tc>
      </w:tr>
    </w:tbl>
    <w:p w14:paraId="18DD0211" w14:textId="77777777" w:rsidR="002A4F7A" w:rsidRPr="00FA2C42" w:rsidRDefault="00000000">
      <w:pPr>
        <w:pStyle w:val="Heading1"/>
        <w:rPr>
          <w:rFonts w:cstheme="majorHAnsi"/>
        </w:rPr>
      </w:pPr>
      <w:r w:rsidRPr="00FA2C42">
        <w:rPr>
          <w:rFonts w:cstheme="majorHAnsi"/>
        </w:rPr>
        <w:t>Required/Recommended Materials</w:t>
      </w:r>
    </w:p>
    <w:p w14:paraId="71A51718" w14:textId="77777777" w:rsidR="002A4F7A" w:rsidRPr="00FA2C42" w:rsidRDefault="00000000">
      <w:pPr>
        <w:rPr>
          <w:rFonts w:asciiTheme="majorHAnsi" w:hAnsiTheme="majorHAnsi" w:cstheme="majorHAnsi"/>
        </w:rPr>
      </w:pPr>
      <w:r w:rsidRPr="00FA2C42">
        <w:rPr>
          <w:rFonts w:asciiTheme="majorHAnsi" w:hAnsiTheme="majorHAnsi" w:cstheme="majorHAnsi"/>
        </w:rPr>
        <w:t>Textbook: No text required.</w:t>
      </w:r>
    </w:p>
    <w:p w14:paraId="6573FA83" w14:textId="77777777" w:rsidR="002A4F7A" w:rsidRPr="00FA2C42" w:rsidRDefault="00000000">
      <w:pPr>
        <w:rPr>
          <w:rFonts w:asciiTheme="majorHAnsi" w:hAnsiTheme="majorHAnsi" w:cstheme="majorHAnsi"/>
        </w:rPr>
      </w:pPr>
      <w:r w:rsidRPr="00FA2C42">
        <w:rPr>
          <w:rFonts w:asciiTheme="majorHAnsi" w:hAnsiTheme="majorHAnsi" w:cstheme="majorHAnsi"/>
        </w:rPr>
        <w:t>Recommended references (optional):</w:t>
      </w:r>
    </w:p>
    <w:p w14:paraId="2D5E6B1A"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A. Goldsmith, Wireless Communications.</w:t>
      </w:r>
    </w:p>
    <w:p w14:paraId="1A3F936C"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T. Rappaport, Wireless Communications: Principles and Practice.</w:t>
      </w:r>
    </w:p>
    <w:p w14:paraId="14075AF2"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Selected 3GPP/IEEE standards (excerpts provided on Canvas).</w:t>
      </w:r>
    </w:p>
    <w:p w14:paraId="7938BF0A" w14:textId="77777777" w:rsidR="002A4F7A" w:rsidRDefault="00000000">
      <w:pPr>
        <w:rPr>
          <w:rFonts w:asciiTheme="majorHAnsi" w:eastAsia="SimSun" w:hAnsiTheme="majorHAnsi" w:cstheme="majorHAnsi"/>
          <w:lang w:eastAsia="zh-CN"/>
        </w:rPr>
      </w:pPr>
      <w:r w:rsidRPr="00FA2C42">
        <w:rPr>
          <w:rFonts w:asciiTheme="majorHAnsi" w:hAnsiTheme="majorHAnsi" w:cstheme="majorHAnsi"/>
        </w:rPr>
        <w:t>Technology Requirements: Canvas access and ability to submit PDFs of assignments.</w:t>
      </w:r>
    </w:p>
    <w:p w14:paraId="089E9A7A" w14:textId="7BFE0E99" w:rsidR="00C127B9" w:rsidRPr="00C127B9" w:rsidRDefault="00C127B9">
      <w:pPr>
        <w:rPr>
          <w:rFonts w:asciiTheme="majorHAnsi" w:eastAsia="SimSun" w:hAnsiTheme="majorHAnsi" w:cstheme="majorHAnsi"/>
          <w:lang w:eastAsia="zh-CN"/>
        </w:rPr>
      </w:pPr>
      <w:r w:rsidRPr="00C127B9">
        <w:rPr>
          <w:rFonts w:asciiTheme="majorHAnsi" w:eastAsia="SimSun" w:hAnsiTheme="majorHAnsi" w:cstheme="majorHAnsi"/>
          <w:lang w:eastAsia="zh-CN"/>
        </w:rPr>
        <w:t>This course has digital components. 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at </w:t>
      </w:r>
      <w:hyperlink r:id="rId6" w:tgtFrame="_blank" w:tooltip="Original URL: https://online.unt.edu/learn. Click or tap if you trust this link." w:history="1">
        <w:r w:rsidRPr="00C127B9">
          <w:rPr>
            <w:rStyle w:val="Hyperlink"/>
            <w:rFonts w:asciiTheme="majorHAnsi" w:eastAsia="SimSun" w:hAnsiTheme="majorHAnsi" w:cstheme="majorHAnsi"/>
            <w:lang w:eastAsia="zh-CN"/>
          </w:rPr>
          <w:t>Learn Anywhere</w:t>
        </w:r>
      </w:hyperlink>
      <w:r w:rsidRPr="00C127B9">
        <w:rPr>
          <w:rFonts w:asciiTheme="majorHAnsi" w:eastAsia="SimSun" w:hAnsiTheme="majorHAnsi" w:cstheme="majorHAnsi"/>
          <w:lang w:eastAsia="zh-CN"/>
        </w:rPr>
        <w:t> (</w:t>
      </w:r>
      <w:hyperlink r:id="rId7" w:tgtFrame="_blank" w:tooltip="Original URL: https://online.unt.edu/learn. Click or tap if you trust this link." w:history="1">
        <w:r w:rsidRPr="00C127B9">
          <w:rPr>
            <w:rStyle w:val="Hyperlink"/>
            <w:rFonts w:asciiTheme="majorHAnsi" w:eastAsia="SimSun" w:hAnsiTheme="majorHAnsi" w:cstheme="majorHAnsi"/>
            <w:lang w:eastAsia="zh-CN"/>
          </w:rPr>
          <w:t>https://online.unt.edu/learn</w:t>
        </w:r>
      </w:hyperlink>
      <w:r w:rsidRPr="00C127B9">
        <w:rPr>
          <w:rFonts w:asciiTheme="majorHAnsi" w:eastAsia="SimSun" w:hAnsiTheme="majorHAnsi" w:cstheme="majorHAnsi"/>
          <w:lang w:eastAsia="zh-CN"/>
        </w:rPr>
        <w:t>).</w:t>
      </w:r>
    </w:p>
    <w:p w14:paraId="1105EDA1" w14:textId="77777777" w:rsidR="002A4F7A" w:rsidRPr="00FA2C42" w:rsidRDefault="00000000">
      <w:pPr>
        <w:pStyle w:val="Heading1"/>
        <w:rPr>
          <w:rFonts w:cstheme="majorHAnsi"/>
        </w:rPr>
      </w:pPr>
      <w:r w:rsidRPr="00FA2C42">
        <w:rPr>
          <w:rFonts w:cstheme="majorHAnsi"/>
        </w:rPr>
        <w:t>Topics (tentative)</w:t>
      </w:r>
    </w:p>
    <w:p w14:paraId="2B79EADE"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Overview of wireless network operation and architectures</w:t>
      </w:r>
    </w:p>
    <w:p w14:paraId="7F341505"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Cellular generations: 2G, 2.5G, 3G, 4G/LTE (intro to 5G concepts)</w:t>
      </w:r>
    </w:p>
    <w:p w14:paraId="0C1760DF"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GSM/CDMA fundamentals; SS7 transport protocols</w:t>
      </w:r>
    </w:p>
    <w:p w14:paraId="77EC0ED2"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MS–BTS/BSC interfaces and protocol layers (A1–A12)</w:t>
      </w:r>
    </w:p>
    <w:p w14:paraId="360176E4"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Connection management and mobility (handoff, mobility management)</w:t>
      </w:r>
    </w:p>
    <w:p w14:paraId="713AD22E"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BSC–BSC interface; radio resource management</w:t>
      </w:r>
    </w:p>
    <w:p w14:paraId="789E283E"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MSC–MSC interfaces and protocols</w:t>
      </w:r>
    </w:p>
    <w:p w14:paraId="667AC456"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Data over wireless networks; Mobile IP; 4G packet core</w:t>
      </w:r>
    </w:p>
    <w:p w14:paraId="0ECB1427"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Wi</w:t>
      </w:r>
      <w:r w:rsidRPr="00FA2C42">
        <w:rPr>
          <w:rFonts w:ascii="Cambria Math" w:hAnsi="Cambria Math" w:cs="Cambria Math"/>
        </w:rPr>
        <w:t>‑</w:t>
      </w:r>
      <w:r w:rsidRPr="00FA2C42">
        <w:rPr>
          <w:rFonts w:asciiTheme="majorHAnsi" w:hAnsiTheme="majorHAnsi" w:cstheme="majorHAnsi"/>
        </w:rPr>
        <w:t>Fi protocols and interworking with cellular</w:t>
      </w:r>
    </w:p>
    <w:p w14:paraId="1FD0C7C7"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Contemporary topics and student seminar presentations (time permitting)</w:t>
      </w:r>
    </w:p>
    <w:p w14:paraId="278CEC32" w14:textId="77777777" w:rsidR="002A4F7A" w:rsidRPr="00FA2C42" w:rsidRDefault="00000000">
      <w:pPr>
        <w:pStyle w:val="Heading1"/>
        <w:rPr>
          <w:rFonts w:cstheme="majorHAnsi"/>
        </w:rPr>
      </w:pPr>
      <w:r w:rsidRPr="00FA2C42">
        <w:rPr>
          <w:rFonts w:cstheme="majorHAnsi"/>
        </w:rPr>
        <w:t>Course Requirements &amp; Grading</w:t>
      </w:r>
    </w:p>
    <w:p w14:paraId="644DF7E7" w14:textId="77777777" w:rsidR="002A4F7A" w:rsidRPr="00FA2C42" w:rsidRDefault="00000000">
      <w:pPr>
        <w:rPr>
          <w:rFonts w:asciiTheme="majorHAnsi" w:hAnsiTheme="majorHAnsi" w:cstheme="majorHAnsi"/>
        </w:rPr>
      </w:pPr>
      <w:r w:rsidRPr="00FA2C42">
        <w:rPr>
          <w:rFonts w:asciiTheme="majorHAnsi" w:hAnsiTheme="majorHAnsi" w:cstheme="majorHAnsi"/>
          <w:b/>
        </w:rPr>
        <w:t>Assessment Breakdown</w:t>
      </w:r>
    </w:p>
    <w:p w14:paraId="1E2C4C89"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Assignments: 27%</w:t>
      </w:r>
    </w:p>
    <w:p w14:paraId="2480E1AA"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Midterm Exam: 40%</w:t>
      </w:r>
    </w:p>
    <w:p w14:paraId="7F5DEB94"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Final Exam: 30%</w:t>
      </w:r>
    </w:p>
    <w:p w14:paraId="51238F24"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Attendance: 3%</w:t>
      </w:r>
    </w:p>
    <w:p w14:paraId="5C373404" w14:textId="77777777" w:rsidR="002A4F7A" w:rsidRPr="00FA2C42" w:rsidRDefault="00000000">
      <w:pPr>
        <w:rPr>
          <w:rFonts w:asciiTheme="majorHAnsi" w:hAnsiTheme="majorHAnsi" w:cstheme="majorHAnsi"/>
        </w:rPr>
      </w:pPr>
      <w:r w:rsidRPr="00FA2C42">
        <w:rPr>
          <w:rFonts w:asciiTheme="majorHAnsi" w:hAnsiTheme="majorHAnsi" w:cstheme="majorHAnsi"/>
          <w:b/>
        </w:rPr>
        <w:lastRenderedPageBreak/>
        <w:t>Grading Scale</w:t>
      </w:r>
    </w:p>
    <w:p w14:paraId="4CD3526C"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A: 90–100% — Outstanding, excellent work</w:t>
      </w:r>
    </w:p>
    <w:p w14:paraId="620DD253"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B: 80–89% — Good, above minimum criteria</w:t>
      </w:r>
    </w:p>
    <w:p w14:paraId="474A92DE"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C: 70–79% — Solid, meets criteria</w:t>
      </w:r>
    </w:p>
    <w:p w14:paraId="12F12AE3"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D: 60–69% — Below minimum criteria</w:t>
      </w:r>
    </w:p>
    <w:p w14:paraId="490710F1"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F: &lt;60% — Fails to complete requirements</w:t>
      </w:r>
    </w:p>
    <w:p w14:paraId="2F21DC85" w14:textId="77777777" w:rsidR="002A4F7A" w:rsidRPr="00FA2C42" w:rsidRDefault="00000000">
      <w:pPr>
        <w:rPr>
          <w:rFonts w:asciiTheme="majorHAnsi" w:hAnsiTheme="majorHAnsi" w:cstheme="majorHAnsi"/>
        </w:rPr>
      </w:pPr>
      <w:r w:rsidRPr="00FA2C42">
        <w:rPr>
          <w:rFonts w:asciiTheme="majorHAnsi" w:hAnsiTheme="majorHAnsi" w:cstheme="majorHAnsi"/>
        </w:rPr>
        <w:t>Late Work Policy: A 10% per day penalty applies to late assignments unless arranged in advance or covered by a university</w:t>
      </w:r>
      <w:r w:rsidRPr="00FA2C42">
        <w:rPr>
          <w:rFonts w:ascii="Cambria Math" w:hAnsi="Cambria Math" w:cs="Cambria Math"/>
        </w:rPr>
        <w:t>‑</w:t>
      </w:r>
      <w:r w:rsidRPr="00FA2C42">
        <w:rPr>
          <w:rFonts w:asciiTheme="majorHAnsi" w:hAnsiTheme="majorHAnsi" w:cstheme="majorHAnsi"/>
        </w:rPr>
        <w:t>excused absence with documentation.</w:t>
      </w:r>
    </w:p>
    <w:p w14:paraId="4115B488" w14:textId="77777777" w:rsidR="002A4F7A" w:rsidRPr="00FA2C42" w:rsidRDefault="00000000">
      <w:pPr>
        <w:rPr>
          <w:rFonts w:asciiTheme="majorHAnsi" w:hAnsiTheme="majorHAnsi" w:cstheme="majorHAnsi"/>
        </w:rPr>
      </w:pPr>
      <w:r w:rsidRPr="00FA2C42">
        <w:rPr>
          <w:rFonts w:asciiTheme="majorHAnsi" w:hAnsiTheme="majorHAnsi" w:cstheme="majorHAnsi"/>
        </w:rPr>
        <w:t>Use of Generative AI (GenAI): Limited, with attribution and only when permitted on an assignment. Submitting AI</w:t>
      </w:r>
      <w:r w:rsidRPr="00FA2C42">
        <w:rPr>
          <w:rFonts w:ascii="Cambria Math" w:hAnsi="Cambria Math" w:cs="Cambria Math"/>
        </w:rPr>
        <w:t>‑</w:t>
      </w:r>
      <w:r w:rsidRPr="00FA2C42">
        <w:rPr>
          <w:rFonts w:asciiTheme="majorHAnsi" w:hAnsiTheme="majorHAnsi" w:cstheme="majorHAnsi"/>
        </w:rPr>
        <w:t>generated work as your own or using GenAI when prohibited violates the Student Academic Integrity policy.</w:t>
      </w:r>
    </w:p>
    <w:p w14:paraId="78BB938E" w14:textId="77777777" w:rsidR="002A4F7A" w:rsidRPr="00FA2C42" w:rsidRDefault="00000000">
      <w:pPr>
        <w:pStyle w:val="Heading1"/>
        <w:rPr>
          <w:rFonts w:cstheme="majorHAnsi"/>
        </w:rPr>
      </w:pPr>
      <w:r w:rsidRPr="00FA2C42">
        <w:rPr>
          <w:rFonts w:cstheme="majorHAnsi"/>
        </w:rPr>
        <w:t>Schedule &amp; Key Dates (subject to change)</w:t>
      </w:r>
    </w:p>
    <w:p w14:paraId="749700B1" w14:textId="77777777" w:rsidR="008F5F0F" w:rsidRDefault="00000000">
      <w:pPr>
        <w:rPr>
          <w:rFonts w:asciiTheme="majorHAnsi" w:eastAsia="SimSun" w:hAnsiTheme="majorHAnsi" w:cstheme="majorHAnsi"/>
          <w:lang w:eastAsia="zh-CN"/>
        </w:rPr>
      </w:pPr>
      <w:r w:rsidRPr="00FA2C42">
        <w:rPr>
          <w:rFonts w:asciiTheme="majorHAnsi" w:hAnsiTheme="majorHAnsi" w:cstheme="majorHAnsi"/>
        </w:rPr>
        <w:t xml:space="preserve">A detailed weekly schedule and due dates will be posted on Canvas. </w:t>
      </w:r>
    </w:p>
    <w:p w14:paraId="4F1899BC" w14:textId="42FD3AB8" w:rsidR="002A4F7A" w:rsidRPr="00FA2C42" w:rsidRDefault="008F5F0F">
      <w:pPr>
        <w:rPr>
          <w:rFonts w:asciiTheme="majorHAnsi" w:hAnsiTheme="majorHAnsi" w:cstheme="majorHAnsi"/>
        </w:rPr>
      </w:pPr>
      <w:r>
        <w:rPr>
          <w:rFonts w:asciiTheme="majorHAnsi" w:eastAsia="SimSun" w:hAnsiTheme="majorHAnsi" w:cstheme="majorHAnsi" w:hint="eastAsia"/>
          <w:lang w:eastAsia="zh-CN"/>
        </w:rPr>
        <w:t>Final exam is schedule on Tuesday, December 9</w:t>
      </w:r>
      <w:r w:rsidRPr="008F5F0F">
        <w:rPr>
          <w:rFonts w:asciiTheme="majorHAnsi" w:eastAsia="SimSun" w:hAnsiTheme="majorHAnsi" w:cstheme="majorHAnsi" w:hint="eastAsia"/>
          <w:vertAlign w:val="superscript"/>
          <w:lang w:eastAsia="zh-CN"/>
        </w:rPr>
        <w:t>th</w:t>
      </w:r>
      <w:r>
        <w:rPr>
          <w:rFonts w:asciiTheme="majorHAnsi" w:eastAsia="SimSun" w:hAnsiTheme="majorHAnsi" w:cstheme="majorHAnsi" w:hint="eastAsia"/>
          <w:lang w:eastAsia="zh-CN"/>
        </w:rPr>
        <w:t xml:space="preserve">, 2025. </w:t>
      </w:r>
      <w:r w:rsidRPr="00FA2C42">
        <w:rPr>
          <w:rFonts w:asciiTheme="majorHAnsi" w:hAnsiTheme="majorHAnsi" w:cstheme="majorHAnsi"/>
        </w:rPr>
        <w:t>Final Exam details will be announced when posted by the Registrar. Changes due to closures will be communicated via Eagle Alert and Canvas.</w:t>
      </w:r>
    </w:p>
    <w:p w14:paraId="7DCE918B" w14:textId="77777777" w:rsidR="002A4F7A" w:rsidRPr="00FA2C42" w:rsidRDefault="00000000">
      <w:pPr>
        <w:pStyle w:val="Heading1"/>
        <w:rPr>
          <w:rFonts w:cstheme="majorHAnsi"/>
        </w:rPr>
      </w:pPr>
      <w:r w:rsidRPr="00FA2C42">
        <w:rPr>
          <w:rFonts w:cstheme="majorHAnsi"/>
        </w:rPr>
        <w:t>Attendance &amp; Participation</w:t>
      </w:r>
    </w:p>
    <w:p w14:paraId="78B26FF0" w14:textId="77777777" w:rsidR="002A4F7A" w:rsidRPr="00FA2C42" w:rsidRDefault="00000000">
      <w:pPr>
        <w:rPr>
          <w:rFonts w:asciiTheme="majorHAnsi" w:hAnsiTheme="majorHAnsi" w:cstheme="majorHAnsi"/>
        </w:rPr>
      </w:pPr>
      <w:r w:rsidRPr="00FA2C42">
        <w:rPr>
          <w:rFonts w:asciiTheme="majorHAnsi" w:hAnsiTheme="majorHAnsi" w:cstheme="majorHAnsi"/>
        </w:rPr>
        <w:t>Regular attendance and participation are expected. For absences due to illness, emergency, military service, religious holy days, or official university functions, notify the instructor as early as possible and follow university policy.</w:t>
      </w:r>
    </w:p>
    <w:p w14:paraId="707D407F" w14:textId="77777777" w:rsidR="002A4F7A" w:rsidRPr="00FA2C42" w:rsidRDefault="00000000">
      <w:pPr>
        <w:pStyle w:val="Heading1"/>
        <w:rPr>
          <w:rFonts w:cstheme="majorHAnsi"/>
        </w:rPr>
      </w:pPr>
      <w:r w:rsidRPr="00FA2C42">
        <w:rPr>
          <w:rFonts w:cstheme="majorHAnsi"/>
        </w:rPr>
        <w:t>Academic Integrity</w:t>
      </w:r>
    </w:p>
    <w:p w14:paraId="10204126" w14:textId="77777777" w:rsidR="002A4F7A" w:rsidRPr="00FA2C42" w:rsidRDefault="00000000">
      <w:pPr>
        <w:rPr>
          <w:rFonts w:asciiTheme="majorHAnsi" w:hAnsiTheme="majorHAnsi" w:cstheme="majorHAnsi"/>
        </w:rPr>
      </w:pPr>
      <w:r w:rsidRPr="00FA2C42">
        <w:rPr>
          <w:rFonts w:asciiTheme="majorHAnsi" w:hAnsiTheme="majorHAnsi" w:cstheme="majorHAnsi"/>
        </w:rPr>
        <w:t>All students must uphold the UNT Student Academic Integrity Policy (06.003). Work submitted must be your own and created for this course. Unauthorized collaboration, plagiarism, or use of prohibited resources will be addressed per university procedures.</w:t>
      </w:r>
    </w:p>
    <w:p w14:paraId="40700FC5" w14:textId="77777777" w:rsidR="002A4F7A" w:rsidRPr="00FA2C42" w:rsidRDefault="00000000">
      <w:pPr>
        <w:pStyle w:val="Heading1"/>
        <w:rPr>
          <w:rFonts w:cstheme="majorHAnsi"/>
        </w:rPr>
      </w:pPr>
      <w:r w:rsidRPr="00FA2C42">
        <w:rPr>
          <w:rFonts w:cstheme="majorHAnsi"/>
        </w:rPr>
        <w:t>Accessibility (ODA)</w:t>
      </w:r>
    </w:p>
    <w:p w14:paraId="2619BE8D" w14:textId="77777777" w:rsidR="002A4F7A" w:rsidRPr="00FA2C42" w:rsidRDefault="00000000">
      <w:pPr>
        <w:rPr>
          <w:rFonts w:asciiTheme="majorHAnsi" w:hAnsiTheme="majorHAnsi" w:cstheme="majorHAnsi"/>
        </w:rPr>
      </w:pPr>
      <w:r w:rsidRPr="00FA2C42">
        <w:rPr>
          <w:rFonts w:asciiTheme="majorHAnsi" w:hAnsiTheme="majorHAnsi" w:cstheme="majorHAnsi"/>
        </w:rPr>
        <w:t>To request accommodations, register with the Office of Disability Access (ODA) each semester and obtain your letter of accommodation. Discuss your accommodations with the instructor to ensure timely implementation.</w:t>
      </w:r>
    </w:p>
    <w:p w14:paraId="44AFF3B9" w14:textId="77777777" w:rsidR="002A4F7A" w:rsidRPr="00FA2C42" w:rsidRDefault="00000000">
      <w:pPr>
        <w:pStyle w:val="Heading1"/>
        <w:rPr>
          <w:rFonts w:cstheme="majorHAnsi"/>
        </w:rPr>
      </w:pPr>
      <w:r w:rsidRPr="00FA2C42">
        <w:rPr>
          <w:rFonts w:cstheme="majorHAnsi"/>
        </w:rPr>
        <w:lastRenderedPageBreak/>
        <w:t>Student Support Services &amp; Policies</w:t>
      </w:r>
    </w:p>
    <w:p w14:paraId="2D25EB81" w14:textId="77777777" w:rsidR="002A4F7A" w:rsidRPr="00FA2C42" w:rsidRDefault="00000000">
      <w:pPr>
        <w:rPr>
          <w:rFonts w:asciiTheme="majorHAnsi" w:hAnsiTheme="majorHAnsi" w:cstheme="majorHAnsi"/>
        </w:rPr>
      </w:pPr>
      <w:r w:rsidRPr="00FA2C42">
        <w:rPr>
          <w:rFonts w:asciiTheme="majorHAnsi" w:hAnsiTheme="majorHAnsi" w:cstheme="majorHAnsi"/>
        </w:rPr>
        <w:t>UNT provides academic success, mental health, and wellness resources. See the consolidated Student Support Services &amp; Policies page linked on Canvas for details.</w:t>
      </w:r>
    </w:p>
    <w:p w14:paraId="22C891E7" w14:textId="77777777" w:rsidR="002A4F7A" w:rsidRPr="00FA2C42" w:rsidRDefault="00000000">
      <w:pPr>
        <w:pStyle w:val="Heading1"/>
        <w:rPr>
          <w:rFonts w:cstheme="majorHAnsi"/>
        </w:rPr>
      </w:pPr>
      <w:r w:rsidRPr="00FA2C42">
        <w:rPr>
          <w:rFonts w:cstheme="majorHAnsi"/>
        </w:rPr>
        <w:t>Professional Conduct &amp; Inclusive Learning</w:t>
      </w:r>
    </w:p>
    <w:p w14:paraId="409F1174" w14:textId="057DF885" w:rsidR="00F31B1F" w:rsidRDefault="00000000">
      <w:pPr>
        <w:rPr>
          <w:rFonts w:asciiTheme="majorHAnsi" w:eastAsia="SimSun" w:hAnsiTheme="majorHAnsi" w:cstheme="majorHAnsi"/>
          <w:lang w:eastAsia="zh-CN"/>
        </w:rPr>
      </w:pPr>
      <w:r w:rsidRPr="00FA2C42">
        <w:rPr>
          <w:rFonts w:asciiTheme="majorHAnsi" w:hAnsiTheme="majorHAnsi" w:cstheme="majorHAnsi"/>
        </w:rPr>
        <w:t>We value mutual respect and inclusive participation. Disagreement is welcome; personal attacks are not. If you experience barriers to participation, please contact the instructor.</w:t>
      </w:r>
    </w:p>
    <w:p w14:paraId="1D1C8DF3" w14:textId="77777777" w:rsidR="00F31B1F" w:rsidRPr="00F31B1F" w:rsidRDefault="00F31B1F" w:rsidP="00F31B1F">
      <w:pPr>
        <w:pStyle w:val="Heading1"/>
        <w:rPr>
          <w:rFonts w:cstheme="majorHAnsi"/>
        </w:rPr>
      </w:pPr>
      <w:r w:rsidRPr="00F31B1F">
        <w:rPr>
          <w:rFonts w:cstheme="majorHAnsi"/>
        </w:rPr>
        <w:t xml:space="preserve">Eagle alert notice </w:t>
      </w:r>
    </w:p>
    <w:p w14:paraId="4B47AF0A" w14:textId="2AC730A1" w:rsidR="00F31B1F" w:rsidRPr="00F31B1F" w:rsidRDefault="00F31B1F">
      <w:pPr>
        <w:rPr>
          <w:rFonts w:asciiTheme="majorHAnsi" w:eastAsia="SimSun" w:hAnsiTheme="majorHAnsi" w:cstheme="majorHAnsi"/>
          <w:lang w:eastAsia="zh-CN"/>
        </w:rPr>
      </w:pPr>
      <w:r>
        <w:rPr>
          <w:rFonts w:asciiTheme="majorHAnsi" w:eastAsia="SimSun" w:hAnsiTheme="majorHAnsi" w:cstheme="majorHAnsi" w:hint="eastAsia"/>
          <w:lang w:eastAsia="zh-CN"/>
        </w:rPr>
        <w:t>S</w:t>
      </w:r>
      <w:r w:rsidRPr="00F31B1F">
        <w:rPr>
          <w:rFonts w:asciiTheme="majorHAnsi" w:eastAsia="SimSun" w:hAnsiTheme="majorHAnsi" w:cstheme="majorHAnsi"/>
          <w:lang w:eastAsia="zh-CN"/>
        </w:rPr>
        <w:t xml:space="preserve">tudents will be notified by Eagle Alert if there is a campus closing that will impact a class and </w:t>
      </w:r>
      <w:r>
        <w:rPr>
          <w:rFonts w:asciiTheme="majorHAnsi" w:eastAsia="SimSun" w:hAnsiTheme="majorHAnsi" w:cstheme="majorHAnsi" w:hint="eastAsia"/>
          <w:lang w:eastAsia="zh-CN"/>
        </w:rPr>
        <w:t>our</w:t>
      </w:r>
      <w:r w:rsidRPr="00F31B1F">
        <w:rPr>
          <w:rFonts w:asciiTheme="majorHAnsi" w:eastAsia="SimSun" w:hAnsiTheme="majorHAnsi" w:cstheme="majorHAnsi"/>
          <w:lang w:eastAsia="zh-CN"/>
        </w:rPr>
        <w:t xml:space="preserve"> calendar is subject to change</w:t>
      </w:r>
      <w:r>
        <w:rPr>
          <w:rFonts w:asciiTheme="majorHAnsi" w:eastAsia="SimSun" w:hAnsiTheme="majorHAnsi" w:cstheme="majorHAnsi" w:hint="eastAsia"/>
          <w:lang w:eastAsia="zh-CN"/>
        </w:rPr>
        <w:t>.</w:t>
      </w:r>
      <w:r w:rsidRPr="00F31B1F">
        <w:rPr>
          <w:rFonts w:asciiTheme="majorHAnsi" w:eastAsia="SimSun" w:hAnsiTheme="majorHAnsi" w:cstheme="majorHAnsi"/>
          <w:lang w:eastAsia="zh-CN"/>
        </w:rPr>
        <w:t> </w:t>
      </w:r>
      <w:hyperlink r:id="rId8" w:tgtFrame="_blank" w:tooltip="Original URL: https://policy.unt.edu/policy/15-006. Click or tap if you trust this link." w:history="1">
        <w:r w:rsidRPr="00F31B1F">
          <w:rPr>
            <w:rStyle w:val="Hyperlink"/>
            <w:rFonts w:asciiTheme="majorHAnsi" w:eastAsia="SimSun" w:hAnsiTheme="majorHAnsi" w:cstheme="majorHAnsi"/>
            <w:lang w:eastAsia="zh-CN"/>
          </w:rPr>
          <w:t>Campus Closures Policy</w:t>
        </w:r>
      </w:hyperlink>
      <w:r w:rsidRPr="00F31B1F">
        <w:rPr>
          <w:rFonts w:asciiTheme="majorHAnsi" w:eastAsia="SimSun" w:hAnsiTheme="majorHAnsi" w:cstheme="majorHAnsi"/>
          <w:lang w:eastAsia="zh-CN"/>
        </w:rPr>
        <w:t> (</w:t>
      </w:r>
      <w:hyperlink r:id="rId9" w:tgtFrame="_blank" w:tooltip="Original URL: https://policy.unt.edu/policy/15-006. Click or tap if you trust this link." w:history="1">
        <w:r w:rsidRPr="00F31B1F">
          <w:rPr>
            <w:rStyle w:val="Hyperlink"/>
            <w:rFonts w:asciiTheme="majorHAnsi" w:eastAsia="SimSun" w:hAnsiTheme="majorHAnsi" w:cstheme="majorHAnsi"/>
            <w:lang w:eastAsia="zh-CN"/>
          </w:rPr>
          <w:t>https://policy.unt.edu/policy/15-006</w:t>
        </w:r>
      </w:hyperlink>
      <w:r w:rsidRPr="00F31B1F">
        <w:rPr>
          <w:rFonts w:asciiTheme="majorHAnsi" w:eastAsia="SimSun" w:hAnsiTheme="majorHAnsi" w:cstheme="majorHAnsi"/>
          <w:lang w:eastAsia="zh-CN"/>
        </w:rPr>
        <w:t>).</w:t>
      </w:r>
    </w:p>
    <w:p w14:paraId="129CDD15" w14:textId="77777777" w:rsidR="002A4F7A" w:rsidRPr="00FA2C42" w:rsidRDefault="00000000">
      <w:pPr>
        <w:pStyle w:val="Heading1"/>
        <w:rPr>
          <w:rFonts w:cstheme="majorHAnsi"/>
        </w:rPr>
      </w:pPr>
      <w:r w:rsidRPr="00FA2C42">
        <w:rPr>
          <w:rFonts w:cstheme="majorHAnsi"/>
        </w:rPr>
        <w:t>Final Notes</w:t>
      </w:r>
    </w:p>
    <w:p w14:paraId="26DA2B79"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This syllabus may be updated; changes will be announced in class and on Canvas.</w:t>
      </w:r>
    </w:p>
    <w:p w14:paraId="1AC28751"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For emergencies and campus closures, monitor Eagle Alert and Canvas announcements.</w:t>
      </w:r>
    </w:p>
    <w:p w14:paraId="33CDF768" w14:textId="77777777" w:rsidR="002A4F7A" w:rsidRPr="00FA2C42" w:rsidRDefault="00000000">
      <w:pPr>
        <w:pStyle w:val="ListBullet"/>
        <w:rPr>
          <w:rFonts w:asciiTheme="majorHAnsi" w:hAnsiTheme="majorHAnsi" w:cstheme="majorHAnsi"/>
        </w:rPr>
      </w:pPr>
      <w:r w:rsidRPr="00FA2C42">
        <w:rPr>
          <w:rFonts w:asciiTheme="majorHAnsi" w:hAnsiTheme="majorHAnsi" w:cstheme="majorHAnsi"/>
        </w:rPr>
        <w:t>Questions are welcome—use office hours and Canvas discussion forums to stay engaged.</w:t>
      </w:r>
    </w:p>
    <w:sectPr w:rsidR="002A4F7A" w:rsidRPr="00FA2C4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8A7632E"/>
    <w:multiLevelType w:val="multilevel"/>
    <w:tmpl w:val="5D306952"/>
    <w:lvl w:ilvl="0">
      <w:start w:val="3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A3B1D"/>
    <w:multiLevelType w:val="multilevel"/>
    <w:tmpl w:val="FE6866BA"/>
    <w:lvl w:ilvl="0">
      <w:start w:val="3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F10D4E"/>
    <w:multiLevelType w:val="multilevel"/>
    <w:tmpl w:val="20F6F41C"/>
    <w:lvl w:ilvl="0">
      <w:start w:val="3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AB4CFD"/>
    <w:multiLevelType w:val="multilevel"/>
    <w:tmpl w:val="742E9256"/>
    <w:lvl w:ilvl="0">
      <w:start w:val="3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474BCE"/>
    <w:multiLevelType w:val="multilevel"/>
    <w:tmpl w:val="BFF228FE"/>
    <w:lvl w:ilvl="0">
      <w:start w:val="3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B819BD"/>
    <w:multiLevelType w:val="multilevel"/>
    <w:tmpl w:val="526E9774"/>
    <w:lvl w:ilvl="0">
      <w:start w:val="3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037E98"/>
    <w:multiLevelType w:val="multilevel"/>
    <w:tmpl w:val="C3C8775C"/>
    <w:lvl w:ilvl="0">
      <w:start w:val="3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400490">
    <w:abstractNumId w:val="8"/>
  </w:num>
  <w:num w:numId="2" w16cid:durableId="2119445053">
    <w:abstractNumId w:val="6"/>
  </w:num>
  <w:num w:numId="3" w16cid:durableId="2118942305">
    <w:abstractNumId w:val="5"/>
  </w:num>
  <w:num w:numId="4" w16cid:durableId="460921577">
    <w:abstractNumId w:val="4"/>
  </w:num>
  <w:num w:numId="5" w16cid:durableId="1079903910">
    <w:abstractNumId w:val="7"/>
  </w:num>
  <w:num w:numId="6" w16cid:durableId="249824791">
    <w:abstractNumId w:val="3"/>
  </w:num>
  <w:num w:numId="7" w16cid:durableId="1456487788">
    <w:abstractNumId w:val="2"/>
  </w:num>
  <w:num w:numId="8" w16cid:durableId="1883592618">
    <w:abstractNumId w:val="1"/>
  </w:num>
  <w:num w:numId="9" w16cid:durableId="1820688313">
    <w:abstractNumId w:val="0"/>
  </w:num>
  <w:num w:numId="10" w16cid:durableId="959994242">
    <w:abstractNumId w:val="12"/>
  </w:num>
  <w:num w:numId="11" w16cid:durableId="288126187">
    <w:abstractNumId w:val="13"/>
  </w:num>
  <w:num w:numId="12" w16cid:durableId="1133986156">
    <w:abstractNumId w:val="11"/>
  </w:num>
  <w:num w:numId="13" w16cid:durableId="78408541">
    <w:abstractNumId w:val="9"/>
  </w:num>
  <w:num w:numId="14" w16cid:durableId="1070539843">
    <w:abstractNumId w:val="15"/>
  </w:num>
  <w:num w:numId="15" w16cid:durableId="1143887566">
    <w:abstractNumId w:val="10"/>
  </w:num>
  <w:num w:numId="16" w16cid:durableId="1601134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A4F7A"/>
    <w:rsid w:val="00326F90"/>
    <w:rsid w:val="00383E58"/>
    <w:rsid w:val="00386B21"/>
    <w:rsid w:val="004B6821"/>
    <w:rsid w:val="007D1DC2"/>
    <w:rsid w:val="008401EE"/>
    <w:rsid w:val="008F5F0F"/>
    <w:rsid w:val="00AA1D8D"/>
    <w:rsid w:val="00B47730"/>
    <w:rsid w:val="00B73979"/>
    <w:rsid w:val="00C127B9"/>
    <w:rsid w:val="00CB0664"/>
    <w:rsid w:val="00EC6BED"/>
    <w:rsid w:val="00F15740"/>
    <w:rsid w:val="00F31B1F"/>
    <w:rsid w:val="00FA2C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F2031"/>
  <w14:defaultImageDpi w14:val="300"/>
  <w15:docId w15:val="{032BA16C-FC1B-4B72-AEA5-264A09B9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127B9"/>
    <w:rPr>
      <w:color w:val="0000FF" w:themeColor="hyperlink"/>
      <w:u w:val="single"/>
    </w:rPr>
  </w:style>
  <w:style w:type="character" w:styleId="UnresolvedMention">
    <w:name w:val="Unresolved Mention"/>
    <w:basedOn w:val="DefaultParagraphFont"/>
    <w:uiPriority w:val="99"/>
    <w:semiHidden/>
    <w:unhideWhenUsed/>
    <w:rsid w:val="00C127B9"/>
    <w:rPr>
      <w:color w:val="605E5C"/>
      <w:shd w:val="clear" w:color="auto" w:fill="E1DFDD"/>
    </w:rPr>
  </w:style>
  <w:style w:type="character" w:styleId="FollowedHyperlink">
    <w:name w:val="FollowedHyperlink"/>
    <w:basedOn w:val="DefaultParagraphFont"/>
    <w:uiPriority w:val="99"/>
    <w:semiHidden/>
    <w:unhideWhenUsed/>
    <w:rsid w:val="00F31B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policy.unt.edu%2Fpolicy%2F15-006&amp;data=05%7C02%7CChenxi.Qiu%40unt.edu%7Cdd4e7bb3493646e4df2808ddde7d53ac%7C70de199207c6480fa318a1afcba03983%7C0%7C0%7C638911352037165756%7CUnknown%7CTWFpbGZsb3d8eyJFbXB0eU1hcGkiOnRydWUsIlYiOiIwLjAuMDAwMCIsIlAiOiJXaW4zMiIsIkFOIjoiTWFpbCIsIldUIjoyfQ%3D%3D%7C0%7C%7C%7C&amp;sdata=UNmSnSwIVwGN4aGeeI9PM2UUMKC8vfjBHmyEFeju3DY%3D&amp;reserved=0" TargetMode="External"/><Relationship Id="rId3" Type="http://schemas.openxmlformats.org/officeDocument/2006/relationships/styles" Target="styles.xml"/><Relationship Id="rId7" Type="http://schemas.openxmlformats.org/officeDocument/2006/relationships/hyperlink" Target="https://nam04.safelinks.protection.outlook.com/?url=https%3A%2F%2Fonline.unt.edu%2Flearn&amp;data=05%7C02%7CChenxi.Qiu%40unt.edu%7Cdd4e7bb3493646e4df2808ddde7d53ac%7C70de199207c6480fa318a1afcba03983%7C0%7C0%7C638911352037151489%7CUnknown%7CTWFpbGZsb3d8eyJFbXB0eU1hcGkiOnRydWUsIlYiOiIwLjAuMDAwMCIsIlAiOiJXaW4zMiIsIkFOIjoiTWFpbCIsIldUIjoyfQ%3D%3D%7C0%7C%7C%7C&amp;sdata=i1gim1a8zRrXGXA5JevGmDZ9KBGhHODVCmQG3Xsu0K4%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04.safelinks.protection.outlook.com/?url=https%3A%2F%2Fonline.unt.edu%2Flearn&amp;data=05%7C02%7CChenxi.Qiu%40unt.edu%7Cdd4e7bb3493646e4df2808ddde7d53ac%7C70de199207c6480fa318a1afcba03983%7C0%7C0%7C638911352037137323%7CUnknown%7CTWFpbGZsb3d8eyJFbXB0eU1hcGkiOnRydWUsIlYiOiIwLjAuMDAwMCIsIlAiOiJXaW4zMiIsIkFOIjoiTWFpbCIsIldUIjoyfQ%3D%3D%7C0%7C%7C%7C&amp;sdata=sJyzXQyACWxJgM8Q97P5SMJYLYncELYkFnDRvMNNdg8%3D&amp;reserve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04.safelinks.protection.outlook.com/?url=https%3A%2F%2Fpolicy.unt.edu%2Fpolicy%2F15-006&amp;data=05%7C02%7CChenxi.Qiu%40unt.edu%7Cdd4e7bb3493646e4df2808ddde7d53ac%7C70de199207c6480fa318a1afcba03983%7C0%7C0%7C638911352037179626%7CUnknown%7CTWFpbGZsb3d8eyJFbXB0eU1hcGkiOnRydWUsIlYiOiIwLjAuMDAwMCIsIlAiOiJXaW4zMiIsIkFOIjoiTWFpbCIsIldUIjoyfQ%3D%3D%7C0%7C%7C%7C&amp;sdata=ut92N%2BxKXkMqNil6GthqAip5SZYbOv%2FzP8Twjhzj2G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32</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Qiu, Chenxi</cp:lastModifiedBy>
  <cp:revision>8</cp:revision>
  <dcterms:created xsi:type="dcterms:W3CDTF">2013-12-23T23:15:00Z</dcterms:created>
  <dcterms:modified xsi:type="dcterms:W3CDTF">2025-08-27T20:35:00Z</dcterms:modified>
  <cp:category/>
</cp:coreProperties>
</file>