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EB7B8" w14:textId="6BD4516E" w:rsidR="00E80750" w:rsidRDefault="7236A82A" w:rsidP="7236A82A">
      <w:pPr>
        <w:spacing w:after="40"/>
        <w:jc w:val="center"/>
        <w:rPr>
          <w:b/>
          <w:bCs/>
          <w:color w:val="006633"/>
          <w:sz w:val="36"/>
          <w:szCs w:val="36"/>
        </w:rPr>
      </w:pPr>
      <w:r w:rsidRPr="6FE51C23">
        <w:rPr>
          <w:b/>
          <w:bCs/>
          <w:color w:val="006633"/>
          <w:sz w:val="36"/>
          <w:szCs w:val="36"/>
        </w:rPr>
        <w:t>UNIVERSITY OF NORTH TEXAS</w:t>
      </w:r>
    </w:p>
    <w:p w14:paraId="22363BEB" w14:textId="77777777" w:rsidR="00E80750" w:rsidRDefault="009D0843">
      <w:pPr>
        <w:spacing w:after="360"/>
        <w:jc w:val="center"/>
      </w:pPr>
      <w:r>
        <w:rPr>
          <w:i/>
          <w:sz w:val="26"/>
        </w:rPr>
        <w:t>Practicum &amp; Internship in the Field Study</w:t>
      </w:r>
      <w:r>
        <w:rPr>
          <w:i/>
          <w:sz w:val="26"/>
        </w:rPr>
        <w:br/>
        <w:t>Summer 2026</w:t>
      </w:r>
    </w:p>
    <w:p w14:paraId="1B7930B1" w14:textId="77777777" w:rsidR="00E80750" w:rsidRDefault="009D0843">
      <w:pPr>
        <w:keepNext/>
        <w:spacing w:after="80"/>
      </w:pPr>
      <w:r>
        <w:rPr>
          <w:b/>
          <w:color w:val="006633"/>
          <w:sz w:val="32"/>
        </w:rPr>
        <w:t>Welcome to Practicum!</w:t>
      </w:r>
    </w:p>
    <w:p w14:paraId="3F5C029C" w14:textId="77777777" w:rsidR="00E80750" w:rsidRDefault="009D0843">
      <w:pPr>
        <w:spacing w:after="240"/>
      </w:pPr>
      <w:r>
        <w:t>In this course, you will complete 120 hours of Practicum and Internship in your field of study. This course and its instructions are delivered entirely via the Canvas course management system. This syllabus describes the format, learning outcomes, dual-level grading structures, requirements, and university policies. You are encouraged to maintain a professional journal of your work activities to reflect on how your academic training prepares you for industry challenges.</w:t>
      </w:r>
    </w:p>
    <w:p w14:paraId="6FC58897" w14:textId="77777777" w:rsidR="00E80750" w:rsidRDefault="009D0843">
      <w:pPr>
        <w:keepNext/>
        <w:spacing w:before="240" w:after="80"/>
      </w:pPr>
      <w:r>
        <w:rPr>
          <w:b/>
          <w:color w:val="2F4F4F"/>
          <w:sz w:val="26"/>
        </w:rPr>
        <w:t>Instructor &amp; Communication</w:t>
      </w:r>
    </w:p>
    <w:p w14:paraId="1F73D472" w14:textId="4955AE73" w:rsidR="00E80750" w:rsidRDefault="009D0843">
      <w:pPr>
        <w:spacing w:after="120"/>
      </w:pPr>
      <w:r w:rsidRPr="6FE51C23">
        <w:rPr>
          <w:b/>
          <w:bCs/>
        </w:rPr>
        <w:t>Dr. Cliff Whitworth</w:t>
      </w:r>
      <w:r>
        <w:br/>
        <w:t xml:space="preserve">Email: </w:t>
      </w:r>
      <w:r w:rsidRPr="6FE51C23">
        <w:rPr>
          <w:i/>
          <w:iCs/>
        </w:rPr>
        <w:t>Cliff.Whitworth@unt.edu</w:t>
      </w:r>
      <w:r>
        <w:br/>
      </w:r>
      <w:r>
        <w:br/>
        <w:t>Communication through Microsoft Teams is preferred and generally yields the fastest response. Please reach out whenever you have questions regarding course requirements or encounter obstacles in your internship work environment. Do not hesitate to ask questions. You are also encouraged to network and collaboratively discuss general professional concepts with your peers in this class.</w:t>
      </w:r>
      <w:r>
        <w:br/>
      </w:r>
      <w:r>
        <w:br/>
        <w:t>When using Teams, ensure you receive a confirmation response. If you do not hear back within 24 hours, please double-check the contact details and feel free to follow up via email.</w:t>
      </w:r>
    </w:p>
    <w:p w14:paraId="7BA12F9B" w14:textId="77777777" w:rsidR="00E80750" w:rsidRDefault="009D0843">
      <w:pPr>
        <w:keepNext/>
        <w:spacing w:before="240" w:after="80"/>
      </w:pPr>
      <w:r>
        <w:rPr>
          <w:b/>
          <w:color w:val="006633"/>
          <w:sz w:val="32"/>
        </w:rPr>
        <w:t>Course Description</w:t>
      </w:r>
    </w:p>
    <w:p w14:paraId="431A29F2" w14:textId="77777777" w:rsidR="00E80750" w:rsidRDefault="009D0843">
      <w:pPr>
        <w:spacing w:after="240"/>
      </w:pPr>
      <w:r>
        <w:t>The internship/practicum course provides students with practical, field-based training experiences in areas related to their core discipline (Information Science, Data Science, or related technological sectors). The course is designed to give students an direct opportunity to apply theoretical knowledge to industry practices, expand and enhance operational skills, and build professional documentation. Requirements enable students to connect concepts with practical execution, while further refining analytical, organizational, and interpersonal skill sets. For students working with an outside organization, the primary framework consists of accumulating 120 hours of documented experience under the active guidance of an approved workplace supervisor.</w:t>
      </w:r>
    </w:p>
    <w:p w14:paraId="0799489B" w14:textId="77777777" w:rsidR="00E80750" w:rsidRDefault="009D0843">
      <w:pPr>
        <w:keepNext/>
        <w:spacing w:before="240" w:after="80"/>
      </w:pPr>
      <w:r>
        <w:rPr>
          <w:b/>
          <w:color w:val="006633"/>
          <w:sz w:val="32"/>
        </w:rPr>
        <w:t>Learning Outcomes</w:t>
      </w:r>
    </w:p>
    <w:p w14:paraId="1074661B" w14:textId="13493EDA" w:rsidR="00E80750" w:rsidRDefault="009D0843">
      <w:pPr>
        <w:spacing w:after="80"/>
      </w:pPr>
      <w:r>
        <w:t>By the end of the course, students will be able to:</w:t>
      </w:r>
    </w:p>
    <w:p w14:paraId="63E9E0A7" w14:textId="77777777" w:rsidR="00E80750" w:rsidRDefault="009D0843">
      <w:pPr>
        <w:pStyle w:val="ListBullet"/>
        <w:spacing w:after="60"/>
      </w:pPr>
      <w:r>
        <w:t>Analyze and describe the institutional, structural, and cultural environment of the specific agency or industrial organization where the student is embedded.</w:t>
      </w:r>
    </w:p>
    <w:p w14:paraId="4EA85D9C" w14:textId="77777777" w:rsidR="00E80750" w:rsidRDefault="009D0843">
      <w:pPr>
        <w:pStyle w:val="ListBullet"/>
        <w:spacing w:after="60"/>
      </w:pPr>
      <w:r>
        <w:lastRenderedPageBreak/>
        <w:t>Successfully document, execute, and verify a minimum of 120 context-specific hours of professional fieldwork aligned with career path trajectories.</w:t>
      </w:r>
    </w:p>
    <w:p w14:paraId="1589C5B5" w14:textId="77777777" w:rsidR="00E80750" w:rsidRDefault="009D0843">
      <w:pPr>
        <w:pStyle w:val="ListBullet"/>
        <w:spacing w:after="60"/>
      </w:pPr>
      <w:r>
        <w:t>Synthesize experiential milestones, problem-solving activities, and systemic workplace observations into professional summaries for academic evaluation.</w:t>
      </w:r>
    </w:p>
    <w:p w14:paraId="5979630A" w14:textId="77777777" w:rsidR="00E80750" w:rsidRDefault="009D0843">
      <w:pPr>
        <w:keepNext/>
        <w:spacing w:before="240" w:after="80"/>
      </w:pPr>
      <w:r>
        <w:rPr>
          <w:b/>
          <w:color w:val="006633"/>
          <w:sz w:val="32"/>
        </w:rPr>
        <w:t>Course Assessments &amp; Grading Information</w:t>
      </w:r>
    </w:p>
    <w:p w14:paraId="5D6F13CF" w14:textId="77777777" w:rsidR="00E80750" w:rsidRDefault="009D0843">
      <w:pPr>
        <w:spacing w:after="160"/>
      </w:pPr>
      <w:r>
        <w:t>To satisfy the academic parameters of this practicum, students must complete exactly two primary grade checkpoints. All intermediate requirements, hour tracking sheets, and supervisor reviews are compiled exclusively into these two major submissions. Specific due dates are maintained dynamically within the Canvas course calendar.</w:t>
      </w:r>
    </w:p>
    <w:tbl>
      <w:tblPr>
        <w:tblW w:w="5904" w:type="dxa"/>
        <w:jc w:val="center"/>
        <w:tblLayout w:type="fixed"/>
        <w:tblLook w:val="04A0" w:firstRow="1" w:lastRow="0" w:firstColumn="1" w:lastColumn="0" w:noHBand="0" w:noVBand="1"/>
      </w:tblPr>
      <w:tblGrid>
        <w:gridCol w:w="2592"/>
        <w:gridCol w:w="3312"/>
      </w:tblGrid>
      <w:tr w:rsidR="00E80750" w14:paraId="30732E08" w14:textId="77777777" w:rsidTr="6FE51C23">
        <w:trPr>
          <w:jc w:val="center"/>
        </w:trPr>
        <w:tc>
          <w:tcPr>
            <w:tcW w:w="2592" w:type="dxa"/>
            <w:shd w:val="clear" w:color="auto" w:fill="006633"/>
            <w:tcMar>
              <w:top w:w="120" w:type="dxa"/>
              <w:left w:w="150" w:type="dxa"/>
              <w:bottom w:w="120" w:type="dxa"/>
              <w:right w:w="150" w:type="dxa"/>
            </w:tcMar>
          </w:tcPr>
          <w:p w14:paraId="3C8F35C8" w14:textId="77777777" w:rsidR="00E80750" w:rsidRDefault="009D0843">
            <w:pPr>
              <w:jc w:val="center"/>
            </w:pPr>
            <w:r>
              <w:rPr>
                <w:b/>
                <w:color w:val="FFFFFF"/>
                <w:sz w:val="21"/>
              </w:rPr>
              <w:t>Assessment Element</w:t>
            </w:r>
          </w:p>
        </w:tc>
        <w:tc>
          <w:tcPr>
            <w:tcW w:w="3312" w:type="dxa"/>
            <w:shd w:val="clear" w:color="auto" w:fill="006633"/>
            <w:tcMar>
              <w:top w:w="120" w:type="dxa"/>
              <w:left w:w="150" w:type="dxa"/>
              <w:bottom w:w="120" w:type="dxa"/>
              <w:right w:w="150" w:type="dxa"/>
            </w:tcMar>
          </w:tcPr>
          <w:p w14:paraId="4CA006D8" w14:textId="77777777" w:rsidR="00E80750" w:rsidRDefault="009D0843">
            <w:pPr>
              <w:jc w:val="center"/>
            </w:pPr>
            <w:r>
              <w:rPr>
                <w:b/>
                <w:color w:val="FFFFFF"/>
                <w:sz w:val="21"/>
              </w:rPr>
              <w:t>Submission Framework</w:t>
            </w:r>
          </w:p>
        </w:tc>
      </w:tr>
      <w:tr w:rsidR="00E80750" w14:paraId="726BF602" w14:textId="77777777" w:rsidTr="6FE51C23">
        <w:trPr>
          <w:jc w:val="center"/>
        </w:trPr>
        <w:tc>
          <w:tcPr>
            <w:tcW w:w="2592" w:type="dxa"/>
            <w:shd w:val="clear" w:color="auto" w:fill="F4F9F5"/>
            <w:tcMar>
              <w:top w:w="100" w:type="dxa"/>
              <w:left w:w="150" w:type="dxa"/>
              <w:bottom w:w="100" w:type="dxa"/>
              <w:right w:w="150" w:type="dxa"/>
            </w:tcMar>
          </w:tcPr>
          <w:p w14:paraId="0AE579FC" w14:textId="77777777" w:rsidR="00E80750" w:rsidRDefault="009D0843">
            <w:r>
              <w:rPr>
                <w:sz w:val="20"/>
              </w:rPr>
              <w:t>Midterm Check</w:t>
            </w:r>
          </w:p>
        </w:tc>
        <w:tc>
          <w:tcPr>
            <w:tcW w:w="3312" w:type="dxa"/>
            <w:shd w:val="clear" w:color="auto" w:fill="F4F9F5"/>
            <w:tcMar>
              <w:top w:w="100" w:type="dxa"/>
              <w:left w:w="150" w:type="dxa"/>
              <w:bottom w:w="100" w:type="dxa"/>
              <w:right w:w="150" w:type="dxa"/>
            </w:tcMar>
          </w:tcPr>
          <w:p w14:paraId="21189B85" w14:textId="77777777" w:rsidR="00E80750" w:rsidRDefault="009D0843">
            <w:r>
              <w:rPr>
                <w:sz w:val="20"/>
              </w:rPr>
              <w:t>Verification of initial 60 hours, supervisor progress acknowledgment, and foundational application report.</w:t>
            </w:r>
          </w:p>
        </w:tc>
      </w:tr>
      <w:tr w:rsidR="00E80750" w14:paraId="64717DC1" w14:textId="77777777" w:rsidTr="6FE51C23">
        <w:trPr>
          <w:jc w:val="center"/>
        </w:trPr>
        <w:tc>
          <w:tcPr>
            <w:tcW w:w="2592" w:type="dxa"/>
            <w:shd w:val="clear" w:color="auto" w:fill="FFFFFF" w:themeFill="background1"/>
            <w:tcMar>
              <w:top w:w="100" w:type="dxa"/>
              <w:left w:w="150" w:type="dxa"/>
              <w:bottom w:w="100" w:type="dxa"/>
              <w:right w:w="150" w:type="dxa"/>
            </w:tcMar>
          </w:tcPr>
          <w:p w14:paraId="040C2AF6" w14:textId="77777777" w:rsidR="00E80750" w:rsidRDefault="009D0843">
            <w:r>
              <w:rPr>
                <w:sz w:val="20"/>
              </w:rPr>
              <w:t>Final Practicum Log</w:t>
            </w:r>
          </w:p>
        </w:tc>
        <w:tc>
          <w:tcPr>
            <w:tcW w:w="3312" w:type="dxa"/>
            <w:shd w:val="clear" w:color="auto" w:fill="FFFFFF" w:themeFill="background1"/>
            <w:tcMar>
              <w:top w:w="100" w:type="dxa"/>
              <w:left w:w="150" w:type="dxa"/>
              <w:bottom w:w="100" w:type="dxa"/>
              <w:right w:w="150" w:type="dxa"/>
            </w:tcMar>
          </w:tcPr>
          <w:p w14:paraId="694F41D8" w14:textId="77777777" w:rsidR="00E80750" w:rsidRDefault="009D0843">
            <w:r>
              <w:rPr>
                <w:sz w:val="20"/>
              </w:rPr>
              <w:t>Completion of remaining 60 hours (120 total), comprehensive supervisor sign-off, and final field analysis report.</w:t>
            </w:r>
          </w:p>
        </w:tc>
      </w:tr>
    </w:tbl>
    <w:p w14:paraId="672A6659" w14:textId="77777777" w:rsidR="00E80750" w:rsidRDefault="00E80750">
      <w:pPr>
        <w:spacing w:before="160" w:after="240"/>
      </w:pPr>
    </w:p>
    <w:p w14:paraId="107955DA" w14:textId="63F56693" w:rsidR="00E80750" w:rsidRDefault="009D0843">
      <w:pPr>
        <w:spacing w:after="240"/>
      </w:pPr>
      <w:r>
        <w:t xml:space="preserve">Grading Scale: The course is fully graded on a standard 100-point system based on the cumulative scores of the Midterm and Final checks. To pass the class, all components of the logs and associated supervisor reviews must be completed thoroughly, demonstrating an excellent level of competence reflective of professional institutional standards. </w:t>
      </w:r>
    </w:p>
    <w:p w14:paraId="15E46924" w14:textId="77777777" w:rsidR="00E80750" w:rsidRDefault="009D0843">
      <w:pPr>
        <w:keepNext/>
        <w:spacing w:before="240" w:after="80"/>
      </w:pPr>
      <w:r>
        <w:rPr>
          <w:b/>
          <w:color w:val="006633"/>
          <w:sz w:val="32"/>
        </w:rPr>
        <w:t>Technical Requirements &amp; Support</w:t>
      </w:r>
    </w:p>
    <w:p w14:paraId="319DC0B4" w14:textId="77777777" w:rsidR="00E80750" w:rsidRDefault="009D0843">
      <w:pPr>
        <w:spacing w:after="240"/>
      </w:pPr>
      <w:r>
        <w:t>Students will utilize Canvas, standard browser software, institutional library resources, and relevant workspace technologies for assignments and independent learning. Hardware/software items required include a computer with stable internet access and text processing software. The University of North Texas provides robust student technical support for Canvas and institutional resources via the UIT Help Desk:</w:t>
      </w:r>
      <w:r>
        <w:br/>
      </w:r>
      <w:r>
        <w:br/>
        <w:t>• Email: helpdesk@unt.edu</w:t>
      </w:r>
      <w:r>
        <w:br/>
        <w:t>• Phone: 940-565-2324</w:t>
      </w:r>
      <w:r>
        <w:br/>
        <w:t>• In Person: Sage Hall, Room 130</w:t>
      </w:r>
      <w:r>
        <w:br/>
        <w:t>• Hours: Monday–Thursday 8:00 AM–Midnight; Friday 8:00 AM–8:00 PM; Saturday 9:00 AM–5:00 PM; Sunday 8:00 AM–Midnight</w:t>
      </w:r>
    </w:p>
    <w:p w14:paraId="0DD5EB06" w14:textId="77777777" w:rsidR="00E80750" w:rsidRDefault="009D0843">
      <w:pPr>
        <w:keepNext/>
        <w:spacing w:before="240" w:after="80"/>
      </w:pPr>
      <w:r>
        <w:rPr>
          <w:b/>
          <w:color w:val="006633"/>
          <w:sz w:val="32"/>
        </w:rPr>
        <w:t>Student Academic Support Services</w:t>
      </w:r>
    </w:p>
    <w:p w14:paraId="1102D3F7" w14:textId="1C4B7F86" w:rsidR="00E80750" w:rsidRDefault="009D0843">
      <w:pPr>
        <w:spacing w:after="240"/>
      </w:pPr>
      <w:r>
        <w:t>UNT provides several institutional academic resources to optimize your student experience:</w:t>
      </w:r>
      <w:r>
        <w:br/>
        <w:t>• Academic Resources: Registration, catalogs, and textbook information.</w:t>
      </w:r>
      <w:r>
        <w:br/>
        <w:t>• Code of Student Conduct: Outlines university behavioral and citizenship guidelines.</w:t>
      </w:r>
      <w:r>
        <w:br/>
        <w:t>• Office of Disability Accommodation (ODA): Ensures equal access and prevents discrimination.</w:t>
      </w:r>
      <w:r>
        <w:br/>
        <w:t>• Counseling and Testing Services: Confidential mental health counseling and formal testing resources.</w:t>
      </w:r>
      <w:r>
        <w:br/>
        <w:t>• UNT Libraries: Access to comprehensive research collections, databases, and library support.</w:t>
      </w:r>
      <w:r>
        <w:br/>
        <w:t>• UNT Learning Center: Specialized tutoring, academic coaching, and success workshops.</w:t>
      </w:r>
      <w:r>
        <w:br/>
        <w:t>• UNT Writing Center: Free writing consultation and tutoring.</w:t>
      </w:r>
      <w:r>
        <w:br/>
        <w:t>• Succeed at UNT: Essential framework strategies for academic progression and success.</w:t>
      </w:r>
    </w:p>
    <w:p w14:paraId="4A5E6BDB" w14:textId="77777777" w:rsidR="00E80750" w:rsidRDefault="009D0843">
      <w:pPr>
        <w:keepNext/>
        <w:spacing w:before="240" w:after="80"/>
      </w:pPr>
      <w:r>
        <w:rPr>
          <w:b/>
          <w:color w:val="006633"/>
          <w:sz w:val="32"/>
        </w:rPr>
        <w:t>Course Policies</w:t>
      </w:r>
    </w:p>
    <w:p w14:paraId="56F9C1CB" w14:textId="77777777" w:rsidR="00E80750" w:rsidRDefault="009D0843">
      <w:pPr>
        <w:spacing w:after="120"/>
      </w:pPr>
      <w:r>
        <w:rPr>
          <w:b/>
        </w:rPr>
        <w:t xml:space="preserve">Assignment &amp; Late Work Policy: </w:t>
      </w:r>
      <w:r>
        <w:t>Due dates are strictly managed within Canvas. Late work is not accepted unless prior arrangements have been established with the instructor or in the case of a verified, sudden emergency. If an emergency arises, contact the instructor immediately by text or phone at 682-249-6714 so that a reasonable alternative accommodation plan can be established.</w:t>
      </w:r>
    </w:p>
    <w:p w14:paraId="134EEE54" w14:textId="77777777" w:rsidR="00E80750" w:rsidRDefault="009D0843">
      <w:pPr>
        <w:spacing w:after="120"/>
      </w:pPr>
      <w:r>
        <w:rPr>
          <w:b/>
        </w:rPr>
        <w:t xml:space="preserve">Course Management System &amp; Outages: </w:t>
      </w:r>
      <w:r>
        <w:t>In the event of an unexpected UNT server outage or severe technical failure that impacts assignment submission, the instructor will extend submission windows appropriately. Please do not panic; if Canvas is down globally, you will not be penalized. Report technical issues promptly to the instructor and the UIT Help Desk.</w:t>
      </w:r>
    </w:p>
    <w:p w14:paraId="0F747E78" w14:textId="77777777" w:rsidR="00E80750" w:rsidRDefault="009D0843">
      <w:pPr>
        <w:spacing w:after="120"/>
      </w:pPr>
      <w:r>
        <w:rPr>
          <w:b/>
        </w:rPr>
        <w:t xml:space="preserve">Instructor Responsibilities: </w:t>
      </w:r>
      <w:r>
        <w:t>You can rely on your instructor to provide detailed guidelines, respond to electronic correspondence within 24 hours, evaluate major checks within one week of the deadline, and continually incorporate student feedback to refine the curriculum.</w:t>
      </w:r>
    </w:p>
    <w:p w14:paraId="558128FF" w14:textId="77777777" w:rsidR="00E80750" w:rsidRDefault="009D0843">
      <w:pPr>
        <w:spacing w:after="240"/>
      </w:pPr>
      <w:r>
        <w:rPr>
          <w:b/>
        </w:rPr>
        <w:t xml:space="preserve">Netiquette &amp; Participation: </w:t>
      </w:r>
      <w:r>
        <w:t>Active engagement with course notifications is essential. Students must maintain professional, respectful, and courteous language in all digital communications, discussions, and group peer feedback spaces.</w:t>
      </w:r>
    </w:p>
    <w:p w14:paraId="05B03CA4" w14:textId="77777777" w:rsidR="00E80750" w:rsidRDefault="009D0843">
      <w:pPr>
        <w:keepNext/>
        <w:spacing w:before="240" w:after="80"/>
      </w:pPr>
      <w:r>
        <w:rPr>
          <w:b/>
          <w:color w:val="006633"/>
          <w:sz w:val="32"/>
        </w:rPr>
        <w:t>University of North Texas Institutional Policies</w:t>
      </w:r>
    </w:p>
    <w:p w14:paraId="1EFE4713" w14:textId="77777777" w:rsidR="00E80750" w:rsidRDefault="009D0843">
      <w:pPr>
        <w:spacing w:after="120"/>
      </w:pPr>
      <w:r>
        <w:rPr>
          <w:b/>
        </w:rPr>
        <w:t xml:space="preserve">Academic Integrity Standards (UNT Policy 06.003): </w:t>
      </w:r>
      <w:r>
        <w:t>Academic dishonesty includes cheating, fabrication, facilitating academic dishonesty, forgery, plagiarism, and sabotage. Within this professional practicum, submitting falsified hours, backdating supervisor sign-offs, or plagiarizing final narrative reports will result in an automatic grade of 'F' for the course and immediate referral to the Office of Academic Integrity for official sanctions up to expulsion from the university.</w:t>
      </w:r>
    </w:p>
    <w:p w14:paraId="09200A71" w14:textId="77777777" w:rsidR="00E80750" w:rsidRDefault="009D0843">
      <w:pPr>
        <w:spacing w:after="120"/>
      </w:pPr>
      <w:r>
        <w:rPr>
          <w:b/>
        </w:rPr>
        <w:t xml:space="preserve">ADA Policy &amp; Accommodations: </w:t>
      </w:r>
      <w:r>
        <w:t>UNT makes reasonable academic accommodations for students with disabilities. Students must register with the Office of Disability Accommodation (ODA) to verify eligibility and deliver their formal letter of accommodation to the faculty member as early in the term as possible to ensure accommodations are successfully implemented.</w:t>
      </w:r>
    </w:p>
    <w:p w14:paraId="02FF2E43" w14:textId="77777777" w:rsidR="00E80750" w:rsidRDefault="009D0843">
      <w:pPr>
        <w:spacing w:after="120"/>
      </w:pPr>
      <w:r>
        <w:rPr>
          <w:b/>
        </w:rPr>
        <w:t xml:space="preserve">Emergency Notification &amp; Closure (Eagle Alert): </w:t>
      </w:r>
      <w:r>
        <w:t>In the event of campus closures, severe weather, or public safety emergencies, UNT utilizes Eagle Alert notifications. Course progression will continue via Canvas during operational disruptions.</w:t>
      </w:r>
    </w:p>
    <w:p w14:paraId="46459E64" w14:textId="77777777" w:rsidR="00E80750" w:rsidRDefault="009D0843">
      <w:pPr>
        <w:spacing w:after="120"/>
      </w:pPr>
      <w:r>
        <w:rPr>
          <w:b/>
        </w:rPr>
        <w:t xml:space="preserve">Retention of Student Records &amp; Privacy: </w:t>
      </w:r>
      <w:r>
        <w:t>Records and submitted documents are securely stored for at least one calendar year following course completion in compliance with UNT Policy 10.10 and FERPA laws. Student grades and work are private and will not be shared without written consent.</w:t>
      </w:r>
    </w:p>
    <w:p w14:paraId="6C76C6DD" w14:textId="77777777" w:rsidR="00E80750" w:rsidRDefault="009D0843">
      <w:pPr>
        <w:spacing w:after="120"/>
      </w:pPr>
      <w:r>
        <w:rPr>
          <w:b/>
        </w:rPr>
        <w:t xml:space="preserve">Acceptable Student Behavior: </w:t>
      </w:r>
      <w:r>
        <w:t>Disruptive behavior that interferes with instructional environments or peer learning will not be tolerated. Violations will result in removal from electronic forums and immediate referral to the Dean of Students.</w:t>
      </w:r>
    </w:p>
    <w:p w14:paraId="3952C4EB" w14:textId="77777777" w:rsidR="00E80750" w:rsidRDefault="009D0843">
      <w:pPr>
        <w:spacing w:after="120"/>
      </w:pPr>
      <w:r>
        <w:rPr>
          <w:b/>
        </w:rPr>
        <w:t xml:space="preserve">Sexual Assault Prevention &amp; Title IX: </w:t>
      </w:r>
      <w:r>
        <w:t>UNT prohibits sexual harassment, sexual assault, domestic violence, dating violence, and stalking. Survivor Advocates are available confidentially to provide assistance (SurvivorAdvocate@unt.edu, 940-565-2648). Non-confidential disclosures can be submitted directly to the Title IX Coordinator (oeo@unt.edu, 940-565-2759).</w:t>
      </w:r>
    </w:p>
    <w:p w14:paraId="48BC0E36" w14:textId="77777777" w:rsidR="00E80750" w:rsidRDefault="009D0843">
      <w:pPr>
        <w:spacing w:after="120"/>
      </w:pPr>
      <w:r>
        <w:rPr>
          <w:b/>
        </w:rPr>
        <w:t xml:space="preserve">F-1 Visa Distance Education Compliance: </w:t>
      </w:r>
      <w:r>
        <w:t>To comply with federal immigration rules (8 CFR 214.2(f)(6)(i)(G)), international F-1 students enrolled in distance education may need to execute an approved on-campus experiential component. It is the student's responsibility to coordinate with the instructor within week one and ensure confirmation is transmitted to the International Student and Scholar Services Office (ISSS).</w:t>
      </w:r>
    </w:p>
    <w:p w14:paraId="27AF77D1" w14:textId="77777777" w:rsidR="00E80750" w:rsidRDefault="009D0843">
      <w:pPr>
        <w:spacing w:after="0"/>
      </w:pPr>
      <w:r>
        <w:rPr>
          <w:b/>
        </w:rPr>
        <w:t xml:space="preserve">Intellectual Property &amp; Student Work: </w:t>
      </w:r>
      <w:r>
        <w:t>Students retain copyright for all technical solutions, logs, or documentation generated during the class. The university will not utilize or display student-created work publicly without obtaining express written permission.</w:t>
      </w:r>
    </w:p>
    <w:sectPr w:rsidR="00E80750"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1515011">
    <w:abstractNumId w:val="8"/>
  </w:num>
  <w:num w:numId="2" w16cid:durableId="763452487">
    <w:abstractNumId w:val="6"/>
  </w:num>
  <w:num w:numId="3" w16cid:durableId="1315135878">
    <w:abstractNumId w:val="5"/>
  </w:num>
  <w:num w:numId="4" w16cid:durableId="1133446422">
    <w:abstractNumId w:val="4"/>
  </w:num>
  <w:num w:numId="5" w16cid:durableId="1923249896">
    <w:abstractNumId w:val="7"/>
  </w:num>
  <w:num w:numId="6" w16cid:durableId="2025209651">
    <w:abstractNumId w:val="3"/>
  </w:num>
  <w:num w:numId="7" w16cid:durableId="477038665">
    <w:abstractNumId w:val="2"/>
  </w:num>
  <w:num w:numId="8" w16cid:durableId="1431705843">
    <w:abstractNumId w:val="1"/>
  </w:num>
  <w:num w:numId="9" w16cid:durableId="5131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10A3"/>
    <w:rsid w:val="0015074B"/>
    <w:rsid w:val="0029639D"/>
    <w:rsid w:val="00326F90"/>
    <w:rsid w:val="009D0843"/>
    <w:rsid w:val="00AA1D8D"/>
    <w:rsid w:val="00B47730"/>
    <w:rsid w:val="00CB0664"/>
    <w:rsid w:val="00E80750"/>
    <w:rsid w:val="00E8763B"/>
    <w:rsid w:val="00FC693F"/>
    <w:rsid w:val="57174A5D"/>
    <w:rsid w:val="6E74FD9F"/>
    <w:rsid w:val="6FE51C23"/>
    <w:rsid w:val="7236A8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ABEEE494-AC3C-4F5B-A0CD-73D2BBF8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color w:val="333333"/>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1340</Words>
  <Characters>7638</Characters>
  <Application>Microsoft Office Word</Application>
  <DocSecurity>0</DocSecurity>
  <Lines>63</Lines>
  <Paragraphs>17</Paragraphs>
  <ScaleCrop>false</ScaleCrop>
  <Manager/>
  <Company/>
  <LinksUpToDate>false</LinksUpToDate>
  <CharactersWithSpaces>8961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Whitworth, Clifford</cp:lastModifiedBy>
  <cp:revision>4</cp:revision>
  <dcterms:created xsi:type="dcterms:W3CDTF">2026-07-01T12:58:00Z</dcterms:created>
  <dcterms:modified xsi:type="dcterms:W3CDTF">2026-07-01T12:58:00Z</dcterms:modified>
  <cp:category/>
</cp:coreProperties>
</file>