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604396">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Calibri" w:hAnsi="Calibri" w:cs="Calibri"/>
          <w:sz w:val="36"/>
          <w:szCs w:val="36"/>
        </w:rPr>
      </w:pPr>
      <w:r>
        <w:rPr>
          <w:rFonts w:hint="default" w:ascii="Calibri" w:hAnsi="Calibri" w:cs="Calibri"/>
          <w:b/>
          <w:sz w:val="36"/>
          <w:szCs w:val="36"/>
        </w:rPr>
        <w:t>ART 1301.00</w:t>
      </w:r>
      <w:r>
        <w:rPr>
          <w:rFonts w:hint="default" w:ascii="Calibri" w:hAnsi="Calibri" w:eastAsia="宋体" w:cs="Calibri"/>
          <w:b/>
          <w:sz w:val="36"/>
          <w:szCs w:val="36"/>
          <w:lang w:val="en-US" w:eastAsia="zh-CN"/>
        </w:rPr>
        <w:t>3</w:t>
      </w:r>
      <w:r>
        <w:rPr>
          <w:rFonts w:hint="default" w:ascii="Calibri" w:hAnsi="Calibri" w:cs="Calibri"/>
          <w:b/>
          <w:sz w:val="36"/>
          <w:szCs w:val="36"/>
        </w:rPr>
        <w:t>: Honors Art Appreciation</w:t>
      </w:r>
    </w:p>
    <w:p w14:paraId="35FDDC73">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Calibri" w:hAnsi="Calibri" w:cs="Calibri"/>
          <w:sz w:val="36"/>
          <w:szCs w:val="36"/>
        </w:rPr>
      </w:pPr>
      <w:r>
        <w:rPr>
          <w:rFonts w:hint="default" w:ascii="Calibri" w:hAnsi="Calibri" w:cs="Calibri"/>
          <w:b/>
          <w:sz w:val="36"/>
          <w:szCs w:val="36"/>
        </w:rPr>
        <w:t xml:space="preserve"> Course Syllabus</w:t>
      </w:r>
    </w:p>
    <w:p w14:paraId="1DFDF765">
      <w:pPr>
        <w:keepNext w:val="0"/>
        <w:keepLines w:val="0"/>
        <w:pageBreakBefore w:val="0"/>
        <w:widowControl/>
        <w:suppressLineNumbers w:val="0"/>
        <w:kinsoku/>
        <w:wordWrap/>
        <w:overflowPunct/>
        <w:topLinePunct w:val="0"/>
        <w:autoSpaceDE/>
        <w:autoSpaceDN/>
        <w:bidi w:val="0"/>
        <w:adjustRightInd/>
        <w:snapToGrid/>
        <w:spacing w:after="0" w:line="360" w:lineRule="auto"/>
        <w:jc w:val="left"/>
        <w:textAlignment w:val="auto"/>
        <w:rPr>
          <w:rFonts w:hint="default" w:ascii="Calibri" w:hAnsi="Calibri" w:cs="Calibri"/>
          <w:sz w:val="24"/>
          <w:szCs w:val="24"/>
        </w:rPr>
      </w:pPr>
      <w:r>
        <w:rPr>
          <w:rFonts w:hint="default" w:ascii="Calibri" w:hAnsi="Calibri" w:eastAsia="Calibri Light" w:cs="Calibri"/>
          <w:color w:val="2F5496"/>
          <w:kern w:val="0"/>
          <w:sz w:val="24"/>
          <w:szCs w:val="24"/>
          <w:lang w:val="en-US" w:eastAsia="zh-CN" w:bidi="ar"/>
        </w:rPr>
        <w:t xml:space="preserve">Course Information </w:t>
      </w:r>
    </w:p>
    <w:p w14:paraId="63AD0AE1">
      <w:pPr>
        <w:keepNext w:val="0"/>
        <w:keepLines w:val="0"/>
        <w:pageBreakBefore w:val="0"/>
        <w:widowControl/>
        <w:suppressLineNumbers w:val="0"/>
        <w:kinsoku/>
        <w:wordWrap/>
        <w:overflowPunct/>
        <w:topLinePunct w:val="0"/>
        <w:autoSpaceDE/>
        <w:autoSpaceDN/>
        <w:bidi w:val="0"/>
        <w:adjustRightInd/>
        <w:snapToGrid/>
        <w:spacing w:after="0" w:line="360" w:lineRule="auto"/>
        <w:jc w:val="left"/>
        <w:textAlignment w:val="auto"/>
        <w:rPr>
          <w:rFonts w:hint="default" w:ascii="Calibri" w:hAnsi="Calibri" w:cs="Calibri"/>
          <w:sz w:val="24"/>
          <w:szCs w:val="24"/>
          <w:lang w:val="en-US"/>
        </w:rPr>
      </w:pPr>
      <w:r>
        <w:rPr>
          <w:rFonts w:hint="default" w:ascii="Calibri" w:hAnsi="Calibri" w:eastAsia="宋体" w:cs="Calibri"/>
          <w:color w:val="000000"/>
          <w:kern w:val="0"/>
          <w:sz w:val="24"/>
          <w:szCs w:val="24"/>
          <w:lang w:val="en-US" w:eastAsia="zh-CN" w:bidi="ar"/>
        </w:rPr>
        <w:t>Semester: fall 2026</w:t>
      </w:r>
    </w:p>
    <w:p w14:paraId="3520AC81">
      <w:pPr>
        <w:keepNext w:val="0"/>
        <w:keepLines w:val="0"/>
        <w:pageBreakBefore w:val="0"/>
        <w:widowControl/>
        <w:suppressLineNumbers w:val="0"/>
        <w:kinsoku/>
        <w:wordWrap/>
        <w:overflowPunct/>
        <w:topLinePunct w:val="0"/>
        <w:autoSpaceDE/>
        <w:autoSpaceDN/>
        <w:bidi w:val="0"/>
        <w:adjustRightInd/>
        <w:snapToGrid/>
        <w:spacing w:after="0" w:line="360" w:lineRule="auto"/>
        <w:jc w:val="left"/>
        <w:textAlignment w:val="auto"/>
        <w:rPr>
          <w:rFonts w:hint="default" w:ascii="Calibri" w:hAnsi="Calibri" w:cs="Calibri"/>
          <w:sz w:val="24"/>
          <w:szCs w:val="24"/>
        </w:rPr>
      </w:pPr>
      <w:r>
        <w:rPr>
          <w:rFonts w:hint="default" w:ascii="Calibri" w:hAnsi="Calibri" w:eastAsia="宋体" w:cs="Calibri"/>
          <w:color w:val="000000"/>
          <w:kern w:val="0"/>
          <w:sz w:val="24"/>
          <w:szCs w:val="24"/>
          <w:lang w:val="en-US" w:eastAsia="zh-CN" w:bidi="ar"/>
        </w:rPr>
        <w:t xml:space="preserve">Course: ART 1301.003, Honors Art Appreciation </w:t>
      </w:r>
    </w:p>
    <w:p w14:paraId="713E973D">
      <w:pPr>
        <w:keepNext w:val="0"/>
        <w:keepLines w:val="0"/>
        <w:pageBreakBefore w:val="0"/>
        <w:widowControl/>
        <w:suppressLineNumbers w:val="0"/>
        <w:kinsoku/>
        <w:wordWrap/>
        <w:overflowPunct/>
        <w:topLinePunct w:val="0"/>
        <w:autoSpaceDE/>
        <w:autoSpaceDN/>
        <w:bidi w:val="0"/>
        <w:adjustRightInd/>
        <w:snapToGrid/>
        <w:spacing w:after="0" w:line="360" w:lineRule="auto"/>
        <w:jc w:val="left"/>
        <w:textAlignment w:val="auto"/>
        <w:rPr>
          <w:rFonts w:hint="default" w:ascii="Calibri" w:hAnsi="Calibri" w:cs="Calibri"/>
          <w:sz w:val="24"/>
          <w:szCs w:val="24"/>
        </w:rPr>
      </w:pPr>
      <w:r>
        <w:rPr>
          <w:rFonts w:hint="default" w:ascii="Calibri" w:hAnsi="Calibri" w:eastAsia="宋体" w:cs="Calibri"/>
          <w:color w:val="000000"/>
          <w:kern w:val="0"/>
          <w:sz w:val="24"/>
          <w:szCs w:val="24"/>
          <w:lang w:val="en-US" w:eastAsia="zh-CN" w:bidi="ar"/>
        </w:rPr>
        <w:t>Location: ART Building 280</w:t>
      </w:r>
      <w:r>
        <w:rPr>
          <w:rFonts w:hint="default" w:ascii="Calibri" w:hAnsi="Calibri" w:eastAsia="Minion Pro" w:cs="Calibri"/>
          <w:color w:val="000000"/>
          <w:kern w:val="0"/>
          <w:sz w:val="24"/>
          <w:szCs w:val="24"/>
          <w:lang w:val="en-US" w:eastAsia="zh-CN" w:bidi="ar"/>
        </w:rPr>
        <w:t xml:space="preserve"> </w:t>
      </w:r>
    </w:p>
    <w:p w14:paraId="5E322269">
      <w:pPr>
        <w:keepNext w:val="0"/>
        <w:keepLines w:val="0"/>
        <w:pageBreakBefore w:val="0"/>
        <w:widowControl/>
        <w:suppressLineNumbers w:val="0"/>
        <w:kinsoku/>
        <w:wordWrap/>
        <w:overflowPunct/>
        <w:topLinePunct w:val="0"/>
        <w:autoSpaceDE/>
        <w:autoSpaceDN/>
        <w:bidi w:val="0"/>
        <w:adjustRightInd/>
        <w:snapToGrid/>
        <w:spacing w:after="0" w:line="360" w:lineRule="auto"/>
        <w:jc w:val="left"/>
        <w:textAlignment w:val="auto"/>
        <w:rPr>
          <w:rFonts w:hint="default" w:ascii="Calibri" w:hAnsi="Calibri" w:eastAsia="宋体" w:cs="Calibri"/>
          <w:sz w:val="24"/>
          <w:szCs w:val="24"/>
          <w:lang w:val="en-US" w:eastAsia="zh-CN"/>
        </w:rPr>
      </w:pPr>
      <w:r>
        <w:rPr>
          <w:rFonts w:hint="default" w:ascii="Calibri" w:hAnsi="Calibri" w:eastAsia="宋体" w:cs="Calibri"/>
          <w:sz w:val="24"/>
          <w:szCs w:val="24"/>
        </w:rPr>
        <w:t>Time: Tuesday &amp; Thursday, 09:35</w:t>
      </w:r>
      <w:r>
        <w:rPr>
          <w:rFonts w:hint="eastAsia" w:ascii="Calibri" w:hAnsi="Calibri" w:eastAsia="宋体" w:cs="Calibri"/>
          <w:sz w:val="24"/>
          <w:szCs w:val="24"/>
          <w:lang w:val="en-US" w:eastAsia="zh-CN"/>
        </w:rPr>
        <w:t>-</w:t>
      </w:r>
      <w:r>
        <w:rPr>
          <w:rFonts w:hint="default" w:ascii="Calibri" w:hAnsi="Calibri" w:eastAsia="宋体" w:cs="Calibri"/>
          <w:sz w:val="24"/>
          <w:szCs w:val="24"/>
        </w:rPr>
        <w:t>10:55</w:t>
      </w:r>
      <w:r>
        <w:rPr>
          <w:rFonts w:hint="default" w:ascii="Calibri" w:hAnsi="Calibri" w:eastAsia="宋体" w:cs="Calibri"/>
          <w:sz w:val="24"/>
          <w:szCs w:val="24"/>
          <w:lang w:val="en-US" w:eastAsia="zh-CN"/>
        </w:rPr>
        <w:t xml:space="preserve"> AM</w:t>
      </w:r>
    </w:p>
    <w:p w14:paraId="49EA643F">
      <w:pPr>
        <w:keepNext w:val="0"/>
        <w:keepLines w:val="0"/>
        <w:pageBreakBefore w:val="0"/>
        <w:widowControl/>
        <w:suppressLineNumbers w:val="0"/>
        <w:kinsoku/>
        <w:wordWrap/>
        <w:overflowPunct/>
        <w:topLinePunct w:val="0"/>
        <w:autoSpaceDE/>
        <w:autoSpaceDN/>
        <w:bidi w:val="0"/>
        <w:adjustRightInd/>
        <w:snapToGrid/>
        <w:spacing w:after="0" w:line="360" w:lineRule="auto"/>
        <w:jc w:val="left"/>
        <w:textAlignment w:val="auto"/>
        <w:rPr>
          <w:rFonts w:hint="default" w:ascii="Calibri" w:hAnsi="Calibri" w:eastAsia="宋体" w:cs="Calibri"/>
          <w:sz w:val="24"/>
          <w:szCs w:val="24"/>
          <w:lang w:val="en-US" w:eastAsia="zh-CN"/>
        </w:rPr>
      </w:pPr>
    </w:p>
    <w:p w14:paraId="07887182">
      <w:pPr>
        <w:keepNext w:val="0"/>
        <w:keepLines w:val="0"/>
        <w:pageBreakBefore w:val="0"/>
        <w:widowControl/>
        <w:suppressLineNumbers w:val="0"/>
        <w:kinsoku/>
        <w:wordWrap/>
        <w:overflowPunct/>
        <w:topLinePunct w:val="0"/>
        <w:autoSpaceDE/>
        <w:autoSpaceDN/>
        <w:bidi w:val="0"/>
        <w:adjustRightInd/>
        <w:snapToGrid/>
        <w:spacing w:after="0" w:line="360" w:lineRule="auto"/>
        <w:jc w:val="left"/>
        <w:textAlignment w:val="auto"/>
        <w:rPr>
          <w:rFonts w:hint="default" w:ascii="Calibri" w:hAnsi="Calibri" w:cs="Calibri"/>
          <w:sz w:val="24"/>
          <w:szCs w:val="24"/>
        </w:rPr>
      </w:pPr>
      <w:r>
        <w:rPr>
          <w:rFonts w:hint="default" w:ascii="Calibri" w:hAnsi="Calibri" w:eastAsia="Calibri Light" w:cs="Calibri"/>
          <w:color w:val="2F5496"/>
          <w:kern w:val="0"/>
          <w:sz w:val="24"/>
          <w:szCs w:val="24"/>
          <w:lang w:val="en-US" w:eastAsia="zh-CN" w:bidi="ar"/>
        </w:rPr>
        <w:t xml:space="preserve">Instructor Contact Information </w:t>
      </w:r>
    </w:p>
    <w:p w14:paraId="11B6551B">
      <w:pPr>
        <w:keepNext w:val="0"/>
        <w:keepLines w:val="0"/>
        <w:pageBreakBefore w:val="0"/>
        <w:widowControl/>
        <w:suppressLineNumbers w:val="0"/>
        <w:kinsoku/>
        <w:wordWrap/>
        <w:overflowPunct/>
        <w:topLinePunct w:val="0"/>
        <w:autoSpaceDE/>
        <w:autoSpaceDN/>
        <w:bidi w:val="0"/>
        <w:adjustRightInd/>
        <w:snapToGrid/>
        <w:spacing w:after="0" w:line="360" w:lineRule="auto"/>
        <w:jc w:val="left"/>
        <w:textAlignment w:val="auto"/>
        <w:rPr>
          <w:rFonts w:hint="default" w:ascii="Calibri" w:hAnsi="Calibri" w:cs="Calibri"/>
          <w:sz w:val="24"/>
          <w:szCs w:val="24"/>
        </w:rPr>
      </w:pPr>
      <w:r>
        <w:rPr>
          <w:rFonts w:hint="default" w:ascii="Calibri" w:hAnsi="Calibri" w:eastAsia="宋体" w:cs="Calibri"/>
          <w:color w:val="000000"/>
          <w:kern w:val="0"/>
          <w:sz w:val="24"/>
          <w:szCs w:val="24"/>
          <w:lang w:val="en-US" w:eastAsia="zh-CN" w:bidi="ar"/>
        </w:rPr>
        <w:t>Instructor: Boxin Peng</w:t>
      </w:r>
      <w:r>
        <w:rPr>
          <w:rFonts w:hint="default" w:ascii="Calibri" w:hAnsi="Calibri" w:eastAsia="Minion Pro" w:cs="Calibri"/>
          <w:color w:val="000000"/>
          <w:kern w:val="0"/>
          <w:sz w:val="24"/>
          <w:szCs w:val="24"/>
          <w:lang w:val="en-US" w:eastAsia="zh-CN" w:bidi="ar"/>
        </w:rPr>
        <w:t xml:space="preserve"> </w:t>
      </w:r>
    </w:p>
    <w:p w14:paraId="245507C1">
      <w:pPr>
        <w:keepNext w:val="0"/>
        <w:keepLines w:val="0"/>
        <w:pageBreakBefore w:val="0"/>
        <w:widowControl/>
        <w:suppressLineNumbers w:val="0"/>
        <w:kinsoku/>
        <w:wordWrap/>
        <w:overflowPunct/>
        <w:topLinePunct w:val="0"/>
        <w:autoSpaceDE/>
        <w:autoSpaceDN/>
        <w:bidi w:val="0"/>
        <w:adjustRightInd/>
        <w:snapToGrid/>
        <w:spacing w:after="0" w:line="360" w:lineRule="auto"/>
        <w:jc w:val="left"/>
        <w:textAlignment w:val="auto"/>
        <w:rPr>
          <w:rFonts w:hint="default" w:ascii="Calibri" w:hAnsi="Calibri" w:eastAsia="Minion Pro" w:cs="Calibri"/>
          <w:color w:val="000000"/>
          <w:kern w:val="0"/>
          <w:sz w:val="24"/>
          <w:szCs w:val="24"/>
          <w:lang w:val="en-US" w:eastAsia="zh-CN" w:bidi="ar"/>
        </w:rPr>
      </w:pPr>
      <w:r>
        <w:rPr>
          <w:rFonts w:hint="default" w:ascii="Calibri" w:hAnsi="Calibri" w:eastAsia="宋体" w:cs="Calibri"/>
          <w:color w:val="000000"/>
          <w:kern w:val="0"/>
          <w:sz w:val="24"/>
          <w:szCs w:val="24"/>
          <w:lang w:val="en-US" w:eastAsia="zh-CN" w:bidi="ar"/>
        </w:rPr>
        <w:t>Email:</w:t>
      </w:r>
      <w:r>
        <w:rPr>
          <w:rFonts w:hint="default" w:ascii="Calibri" w:hAnsi="Calibri" w:eastAsia="Minion Pro" w:cs="Calibri"/>
          <w:color w:val="000000"/>
          <w:kern w:val="0"/>
          <w:sz w:val="24"/>
          <w:szCs w:val="24"/>
          <w:lang w:val="en-US" w:eastAsia="zh-CN" w:bidi="ar"/>
        </w:rPr>
        <w:t xml:space="preserve"> BoxinPeng@my.unt.edu</w:t>
      </w:r>
    </w:p>
    <w:p w14:paraId="6665BB8D">
      <w:pPr>
        <w:keepNext w:val="0"/>
        <w:keepLines w:val="0"/>
        <w:pageBreakBefore w:val="0"/>
        <w:widowControl/>
        <w:suppressLineNumbers w:val="0"/>
        <w:kinsoku/>
        <w:wordWrap/>
        <w:overflowPunct/>
        <w:topLinePunct w:val="0"/>
        <w:autoSpaceDE/>
        <w:autoSpaceDN/>
        <w:bidi w:val="0"/>
        <w:adjustRightInd/>
        <w:snapToGrid/>
        <w:spacing w:after="0" w:line="360" w:lineRule="auto"/>
        <w:jc w:val="left"/>
        <w:textAlignment w:val="auto"/>
        <w:rPr>
          <w:rFonts w:hint="default" w:ascii="Calibri" w:hAnsi="Calibri" w:cs="Calibri"/>
          <w:sz w:val="24"/>
          <w:szCs w:val="24"/>
          <w:lang w:val="en-US"/>
        </w:rPr>
      </w:pPr>
      <w:r>
        <w:rPr>
          <w:rFonts w:hint="default" w:ascii="Calibri" w:hAnsi="Calibri" w:eastAsia="宋体" w:cs="Calibri"/>
          <w:color w:val="000000"/>
          <w:kern w:val="0"/>
          <w:sz w:val="24"/>
          <w:szCs w:val="24"/>
          <w:lang w:val="en-US" w:eastAsia="zh-CN" w:bidi="ar"/>
        </w:rPr>
        <w:t>Office: ART Building 221</w:t>
      </w:r>
    </w:p>
    <w:p w14:paraId="0B83B6A5">
      <w:pPr>
        <w:keepNext w:val="0"/>
        <w:keepLines w:val="0"/>
        <w:pageBreakBefore w:val="0"/>
        <w:widowControl/>
        <w:suppressLineNumbers w:val="0"/>
        <w:kinsoku/>
        <w:wordWrap/>
        <w:overflowPunct/>
        <w:topLinePunct w:val="0"/>
        <w:autoSpaceDE/>
        <w:autoSpaceDN/>
        <w:bidi w:val="0"/>
        <w:adjustRightInd/>
        <w:snapToGrid/>
        <w:spacing w:after="0" w:line="360" w:lineRule="auto"/>
        <w:jc w:val="left"/>
        <w:textAlignment w:val="auto"/>
        <w:rPr>
          <w:rFonts w:hint="default" w:ascii="Calibri" w:hAnsi="Calibri" w:eastAsia="宋体" w:cs="Calibri"/>
          <w:sz w:val="24"/>
          <w:szCs w:val="24"/>
        </w:rPr>
      </w:pPr>
      <w:r>
        <w:rPr>
          <w:rFonts w:hint="default" w:ascii="Calibri" w:hAnsi="Calibri" w:eastAsia="Calibri-Bold" w:cs="Calibri"/>
          <w:b w:val="0"/>
          <w:bCs w:val="0"/>
          <w:color w:val="000000"/>
          <w:kern w:val="0"/>
          <w:sz w:val="24"/>
          <w:szCs w:val="24"/>
          <w:lang w:val="en-US" w:eastAsia="zh-CN" w:bidi="ar"/>
        </w:rPr>
        <w:t>Office Hours: Tuesday, 2:30 – 3:30 PM</w:t>
      </w:r>
      <w:r>
        <w:rPr>
          <w:rFonts w:hint="default" w:ascii="Calibri" w:hAnsi="Calibri" w:eastAsia="宋体" w:cs="Calibri"/>
          <w:sz w:val="24"/>
          <w:szCs w:val="24"/>
        </w:rPr>
      </w:r>
      <w:bookmarkStart w:id="0" w:name="_GoBack"/>
      <w:bookmarkEnd w:id="0"/>
      <w:r>
        <w:rPr>
          <w:rFonts w:hint="default" w:ascii="Calibri" w:hAnsi="Calibri" w:eastAsia="宋体" w:cs="Calibri"/>
          <w:sz w:val="24"/>
          <w:szCs w:val="24"/>
        </w:rPr>
      </w:r>
    </w:p>
    <w:p w14:paraId="067F62DC">
      <w:pPr>
        <w:keepNext w:val="0"/>
        <w:keepLines w:val="0"/>
        <w:pageBreakBefore w:val="0"/>
        <w:widowControl/>
        <w:suppressLineNumbers w:val="0"/>
        <w:kinsoku/>
        <w:wordWrap/>
        <w:overflowPunct/>
        <w:topLinePunct w:val="0"/>
        <w:autoSpaceDE/>
        <w:autoSpaceDN/>
        <w:bidi w:val="0"/>
        <w:adjustRightInd/>
        <w:snapToGrid/>
        <w:spacing w:after="0" w:line="360" w:lineRule="auto"/>
        <w:jc w:val="left"/>
        <w:textAlignment w:val="auto"/>
        <w:rPr>
          <w:rFonts w:hint="default" w:ascii="Calibri" w:hAnsi="Calibri" w:eastAsia="宋体" w:cs="Calibri"/>
          <w:sz w:val="24"/>
          <w:szCs w:val="24"/>
        </w:rPr>
      </w:pPr>
    </w:p>
    <w:p w14:paraId="143D2CCB">
      <w:pPr>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i w:val="0"/>
          <w:iCs/>
          <w:sz w:val="24"/>
          <w:szCs w:val="24"/>
        </w:rPr>
      </w:pPr>
      <w:r>
        <w:rPr>
          <w:rFonts w:hint="default" w:ascii="Calibri" w:hAnsi="Calibri" w:cs="Calibri"/>
          <w:b w:val="0"/>
          <w:i/>
          <w:iCs w:val="0"/>
          <w:sz w:val="21"/>
          <w:szCs w:val="21"/>
        </w:rPr>
        <w:t>This syllabus follows the department ART 1301 course framework and is adapted for this section. Canvas is the primary location for current assignment instructions, due dates, announcements, and course materials</w:t>
      </w:r>
      <w:r>
        <w:rPr>
          <w:rFonts w:hint="default" w:ascii="Calibri" w:hAnsi="Calibri" w:cs="Calibri"/>
          <w:b w:val="0"/>
          <w:i w:val="0"/>
          <w:iCs/>
          <w:sz w:val="24"/>
          <w:szCs w:val="24"/>
        </w:rPr>
        <w:t>.</w:t>
      </w:r>
    </w:p>
    <w:p w14:paraId="17254051">
      <w:pPr>
        <w:pStyle w:val="3"/>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Communication</w:t>
      </w:r>
    </w:p>
    <w:p w14:paraId="40D8BFE4">
      <w:pPr>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b w:val="0"/>
          <w:i w:val="0"/>
          <w:sz w:val="24"/>
          <w:szCs w:val="24"/>
        </w:rPr>
        <w:t>Please use your official UNT email address or Canvas for course communication. I will normally respond within two business days. When emailing, include “ART 1301.00</w:t>
      </w:r>
      <w:r>
        <w:rPr>
          <w:rFonts w:hint="eastAsia" w:ascii="Calibri" w:hAnsi="Calibri" w:eastAsia="宋体" w:cs="Calibri"/>
          <w:b w:val="0"/>
          <w:i w:val="0"/>
          <w:sz w:val="24"/>
          <w:szCs w:val="24"/>
          <w:lang w:val="en-US" w:eastAsia="zh-CN"/>
        </w:rPr>
        <w:t>3</w:t>
      </w:r>
      <w:r>
        <w:rPr>
          <w:rFonts w:hint="default" w:ascii="Calibri" w:hAnsi="Calibri" w:cs="Calibri"/>
          <w:b w:val="0"/>
          <w:i w:val="0"/>
          <w:sz w:val="24"/>
          <w:szCs w:val="24"/>
        </w:rPr>
        <w:t>” and a brief topic in the subject line. Please use clear and professional language and include a greeting and closing.</w:t>
      </w:r>
    </w:p>
    <w:p w14:paraId="1EB23DA8">
      <w:pPr>
        <w:pStyle w:val="3"/>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Course Prerequisite</w:t>
      </w:r>
    </w:p>
    <w:p w14:paraId="4E8538FE">
      <w:pPr>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b w:val="0"/>
          <w:i w:val="0"/>
          <w:sz w:val="24"/>
          <w:szCs w:val="24"/>
        </w:rPr>
        <w:t>Must be a member of the Honors College to take this course.</w:t>
      </w:r>
    </w:p>
    <w:p w14:paraId="47B27C52">
      <w:pPr>
        <w:pStyle w:val="3"/>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Course Description</w:t>
      </w:r>
    </w:p>
    <w:p w14:paraId="6F594AD1">
      <w:pPr>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b w:val="0"/>
          <w:i w:val="0"/>
          <w:sz w:val="24"/>
          <w:szCs w:val="24"/>
        </w:rPr>
        <w:t>CORE Creative Arts – Component Area Option A. Honors Course. ART 1301. Honors Art Appreciation. 3 hours. History and analysis of Western art with reference to non-Western cultures.</w:t>
      </w:r>
    </w:p>
    <w:p w14:paraId="53475370">
      <w:pPr>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b w:val="0"/>
          <w:i w:val="0"/>
          <w:sz w:val="24"/>
          <w:szCs w:val="24"/>
        </w:rPr>
        <w:t>The course explores art through a thematic and global perspective. Art is considered through social, cultural, and historical contexts rather than through a strictly chronological survey. The major themes are Food and Shelter; Social Protest and Affirmation; Race, Gender, and Class; Nature, Knowledge, and Technology; and Art in Your Life.</w:t>
      </w:r>
    </w:p>
    <w:p w14:paraId="06214F07">
      <w:pPr>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b w:val="0"/>
          <w:i w:val="0"/>
          <w:sz w:val="24"/>
          <w:szCs w:val="24"/>
        </w:rPr>
        <w:t>In this section, Chinese art will serve as an important recurring point of reference within the global framework. Chinese calligraphy and landscape painting will be used to examine visual language, artistic practice, nature, culture, and interpretation. These examples will be placed in focused comparison with artworks from other cultures when comparison helps us ask a specific question. The course is not a survey of Chinese art.</w:t>
      </w:r>
    </w:p>
    <w:p w14:paraId="0AA32303">
      <w:pPr>
        <w:pStyle w:val="3"/>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Core Objectives</w:t>
      </w:r>
    </w:p>
    <w:p w14:paraId="6E469B73">
      <w:pPr>
        <w:pStyle w:val="16"/>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Critical Thinking: creative thinking, inquiry, analysis, evaluation, and synthesis of information.</w:t>
      </w:r>
    </w:p>
    <w:p w14:paraId="7DF26B25">
      <w:pPr>
        <w:pStyle w:val="16"/>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Communication Skills: effective development, interpretation, and expression of ideas through written, oral, and visual communication.</w:t>
      </w:r>
    </w:p>
    <w:p w14:paraId="0920918A">
      <w:pPr>
        <w:pStyle w:val="16"/>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Teamwork: consideration of different points of view and effective collaboration toward a shared purpose or goal.</w:t>
      </w:r>
    </w:p>
    <w:p w14:paraId="03E667DC">
      <w:pPr>
        <w:pStyle w:val="16"/>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Social Responsibility: intercultural competence and the ability to engage effectively with regional, national, and global communities.</w:t>
      </w:r>
    </w:p>
    <w:p w14:paraId="6E8C21EB">
      <w:pPr>
        <w:pStyle w:val="3"/>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Course Learning Objectives</w:t>
      </w:r>
    </w:p>
    <w:p w14:paraId="27A4EC90">
      <w:pPr>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b w:val="0"/>
          <w:i w:val="0"/>
          <w:sz w:val="24"/>
          <w:szCs w:val="24"/>
        </w:rPr>
        <w:t>By the end of the course, students should be able to:</w:t>
      </w:r>
    </w:p>
    <w:p w14:paraId="792A2AD0">
      <w:pPr>
        <w:pStyle w:val="16"/>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Identify and describe major visual elements, principles of design, media, and artistic processes.</w:t>
      </w:r>
    </w:p>
    <w:p w14:paraId="796A776C">
      <w:pPr>
        <w:pStyle w:val="16"/>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Analyze artworks using visual evidence and appropriate art vocabulary.</w:t>
      </w:r>
    </w:p>
    <w:p w14:paraId="01CC3FC6">
      <w:pPr>
        <w:pStyle w:val="16"/>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Interpret artworks in relation to social, cultural, and historical contexts.</w:t>
      </w:r>
    </w:p>
    <w:p w14:paraId="3EEB5998">
      <w:pPr>
        <w:pStyle w:val="16"/>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Compare artworks from different cultural or historical contexts using focused visual and contextual evidence.</w:t>
      </w:r>
    </w:p>
    <w:p w14:paraId="325C0B39">
      <w:pPr>
        <w:pStyle w:val="16"/>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Communicate ideas about art through written, oral, visual, and collaborative work.</w:t>
      </w:r>
    </w:p>
    <w:p w14:paraId="24500E4F">
      <w:pPr>
        <w:pStyle w:val="16"/>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Participate effectively in group discussions and collaborative projects.</w:t>
      </w:r>
    </w:p>
    <w:p w14:paraId="6040208B">
      <w:pPr>
        <w:pStyle w:val="16"/>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Reflect on how cultural experience influences the ways people understand and value art.</w:t>
      </w:r>
    </w:p>
    <w:p w14:paraId="0073DB95">
      <w:pPr>
        <w:pStyle w:val="16"/>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Demonstrate familiarity with a range of artistic traditions, including selected examples of Chinese art.</w:t>
      </w:r>
    </w:p>
    <w:p w14:paraId="6E83935B">
      <w:pPr>
        <w:pStyle w:val="3"/>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Required Materials</w:t>
      </w:r>
    </w:p>
    <w:p w14:paraId="1BC15ECF">
      <w:pPr>
        <w:pStyle w:val="16"/>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No textbook purchase is required for this course. All required readings, videos, images, and other course materials will be provided through Canvas.</w:t>
      </w:r>
    </w:p>
    <w:p w14:paraId="082C1C7B">
      <w:pPr>
        <w:pStyle w:val="16"/>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Canvas for course materials, announcements, assignments, discussions, presentations, and submissions.</w:t>
      </w:r>
    </w:p>
    <w:p w14:paraId="0851311A">
      <w:pPr>
        <w:pStyle w:val="16"/>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Reliable internet access and a computer/laptop capable of using Canvas, Microsoft Word, and presentation software.</w:t>
      </w:r>
    </w:p>
    <w:p w14:paraId="6A293489">
      <w:pPr>
        <w:pStyle w:val="16"/>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Basic drawing materials for in-class activities: pencil and paper. No specialized Chinese painting materials are required for students.</w:t>
      </w:r>
    </w:p>
    <w:p w14:paraId="79EAC601">
      <w:pPr>
        <w:pStyle w:val="3"/>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Course Structure</w:t>
      </w:r>
    </w:p>
    <w:p w14:paraId="00EF7ED9">
      <w:pPr>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b w:val="0"/>
          <w:i w:val="0"/>
          <w:sz w:val="24"/>
          <w:szCs w:val="24"/>
        </w:rPr>
        <w:t>This section meets twice each week, on Tuesdays and Thursdays. Each week includes approximately three hours of class time. Assigned readings and preparation activities posted in Canvas should be completed before the class meeting for which they are assigned.</w:t>
      </w:r>
    </w:p>
    <w:p w14:paraId="57DB67F2">
      <w:pPr>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b w:val="0"/>
          <w:i w:val="0"/>
          <w:sz w:val="24"/>
          <w:szCs w:val="24"/>
        </w:rPr>
        <w:t>Tuesday meetings generally introduce concepts, readings, artworks, and visual-analysis methods. Thursday meetings generally emphasize application through discussion, group work, short presentations, demonstrations, workshops, and reflection. The structure may change when an assignment or assessment requires a different format.</w:t>
      </w:r>
    </w:p>
    <w:p w14:paraId="61852A0F">
      <w:pPr>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b w:val="0"/>
          <w:i w:val="0"/>
          <w:sz w:val="24"/>
          <w:szCs w:val="24"/>
        </w:rPr>
        <w:t>A recurring learning cycle is LOOK → THINK → DISCUSS → MAKE → REFLECT. In-class making activities are low-stakes opportunities to experience artistic decisions. Students are not expected to have prior art-making skills.</w:t>
      </w:r>
    </w:p>
    <w:p w14:paraId="0E17586B">
      <w:pPr>
        <w:pStyle w:val="3"/>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eastAsia="宋体" w:cs="Calibri"/>
          <w:sz w:val="24"/>
          <w:szCs w:val="24"/>
        </w:rPr>
        <w:t>Course Approach</w:t>
      </w:r>
    </w:p>
    <w:p w14:paraId="4849ED8D">
      <w:pPr>
        <w:pStyle w:val="30"/>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360" w:lineRule="auto"/>
        <w:ind w:left="0" w:right="0"/>
        <w:textAlignment w:val="auto"/>
        <w:rPr>
          <w:rFonts w:hint="default" w:ascii="Calibri" w:hAnsi="Calibri" w:cs="Calibri"/>
          <w:sz w:val="24"/>
          <w:szCs w:val="24"/>
        </w:rPr>
      </w:pPr>
      <w:r>
        <w:rPr>
          <w:rFonts w:hint="default" w:ascii="Calibri" w:hAnsi="Calibri" w:cs="Calibri"/>
          <w:sz w:val="24"/>
          <w:szCs w:val="24"/>
        </w:rPr>
        <w:t>This course explores art through a thematic and global perspective. Students will engage with artworks from a variety of cultural and historical contexts through visual analysis, discussion, comparison, and in-class activities.</w:t>
      </w:r>
    </w:p>
    <w:p w14:paraId="271C0E70">
      <w:pPr>
        <w:pStyle w:val="30"/>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The course will also include selected examples and demonstrations drawn from the instructor's background in traditional Chinese art, including Chinese calligraphy and landscape painting. These examples will be introduced in connection with relevant course themes and concepts.</w:t>
      </w:r>
    </w:p>
    <w:p w14:paraId="48339899">
      <w:pPr>
        <w:pStyle w:val="30"/>
        <w:keepNext w:val="0"/>
        <w:keepLines w:val="0"/>
        <w:pageBreakBefore w:val="0"/>
        <w:widowControl/>
        <w:suppressLineNumbers w:val="0"/>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In-class activities may include close looking, discussion, short presentations, demonstrations, and hands-on art-making exercises. When appropriate, students may use simple materials such as pencil and paper to explore visual elements, artistic processes, and compositional ideas. No prior art-making experience is required.</w:t>
      </w:r>
    </w:p>
    <w:p w14:paraId="74AA3FC6">
      <w:pPr>
        <w:pStyle w:val="3"/>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Course Assessment</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08"/>
        <w:gridCol w:w="3408"/>
        <w:gridCol w:w="3408"/>
      </w:tblGrid>
      <w:tr w14:paraId="19913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val="true"/>
          <w:cantSplit/>
        </w:trPr>
        <w:tc>
          <w:tcPr>
            <w:tcW w:w="3408" w:type="dxa"/>
          </w:tcPr>
          <w:p w14:paraId="77CDF1DB">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Assessment</w:t>
            </w:r>
          </w:p>
        </w:tc>
        <w:tc>
          <w:tcPr>
            <w:tcW w:w="3408" w:type="dxa"/>
          </w:tcPr>
          <w:p w14:paraId="35D7D9A7">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Points</w:t>
            </w:r>
          </w:p>
        </w:tc>
        <w:tc>
          <w:tcPr>
            <w:tcW w:w="3408" w:type="dxa"/>
          </w:tcPr>
          <w:p w14:paraId="50E4D306">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Percentage</w:t>
            </w:r>
          </w:p>
        </w:tc>
      </w:tr>
      <w:tr w14:paraId="5F9D7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408" w:type="dxa"/>
          </w:tcPr>
          <w:p w14:paraId="1424A353">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Attendance &amp; Participation</w:t>
            </w:r>
          </w:p>
        </w:tc>
        <w:tc>
          <w:tcPr>
            <w:tcW w:w="3408" w:type="dxa"/>
          </w:tcPr>
          <w:p w14:paraId="468E95DC">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100</w:t>
            </w:r>
          </w:p>
        </w:tc>
        <w:tc>
          <w:tcPr>
            <w:tcW w:w="3408" w:type="dxa"/>
          </w:tcPr>
          <w:p w14:paraId="558CFFF6">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10%</w:t>
            </w:r>
          </w:p>
        </w:tc>
      </w:tr>
      <w:tr w14:paraId="2231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408" w:type="dxa"/>
          </w:tcPr>
          <w:p w14:paraId="487A2292">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Weekly Preparation Activities</w:t>
            </w:r>
          </w:p>
        </w:tc>
        <w:tc>
          <w:tcPr>
            <w:tcW w:w="3408" w:type="dxa"/>
          </w:tcPr>
          <w:p w14:paraId="44DC72FB">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50</w:t>
            </w:r>
          </w:p>
        </w:tc>
        <w:tc>
          <w:tcPr>
            <w:tcW w:w="3408" w:type="dxa"/>
          </w:tcPr>
          <w:p w14:paraId="4C399BE4">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5%</w:t>
            </w:r>
          </w:p>
        </w:tc>
      </w:tr>
      <w:tr w14:paraId="7B0F4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408" w:type="dxa"/>
          </w:tcPr>
          <w:p w14:paraId="27F4240B">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Module Quizzes</w:t>
            </w:r>
          </w:p>
        </w:tc>
        <w:tc>
          <w:tcPr>
            <w:tcW w:w="3408" w:type="dxa"/>
          </w:tcPr>
          <w:p w14:paraId="444476F3">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200</w:t>
            </w:r>
          </w:p>
        </w:tc>
        <w:tc>
          <w:tcPr>
            <w:tcW w:w="3408" w:type="dxa"/>
          </w:tcPr>
          <w:p w14:paraId="5FFD218E">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20%</w:t>
            </w:r>
          </w:p>
        </w:tc>
      </w:tr>
      <w:tr w14:paraId="1E64D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408" w:type="dxa"/>
          </w:tcPr>
          <w:p w14:paraId="19053BD5">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Art Analysis</w:t>
            </w:r>
          </w:p>
        </w:tc>
        <w:tc>
          <w:tcPr>
            <w:tcW w:w="3408" w:type="dxa"/>
          </w:tcPr>
          <w:p w14:paraId="2580BA9C">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150</w:t>
            </w:r>
          </w:p>
        </w:tc>
        <w:tc>
          <w:tcPr>
            <w:tcW w:w="3408" w:type="dxa"/>
          </w:tcPr>
          <w:p w14:paraId="798A5B92">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15%</w:t>
            </w:r>
          </w:p>
        </w:tc>
      </w:tr>
      <w:tr w14:paraId="1BCB3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408" w:type="dxa"/>
          </w:tcPr>
          <w:p w14:paraId="0A772034">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Group Discussion</w:t>
            </w:r>
          </w:p>
        </w:tc>
        <w:tc>
          <w:tcPr>
            <w:tcW w:w="3408" w:type="dxa"/>
          </w:tcPr>
          <w:p w14:paraId="5BC75240">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150</w:t>
            </w:r>
          </w:p>
        </w:tc>
        <w:tc>
          <w:tcPr>
            <w:tcW w:w="3408" w:type="dxa"/>
          </w:tcPr>
          <w:p w14:paraId="60DA86A2">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15%</w:t>
            </w:r>
          </w:p>
        </w:tc>
      </w:tr>
      <w:tr w14:paraId="7D4D5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408" w:type="dxa"/>
          </w:tcPr>
          <w:p w14:paraId="18AFF61C">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Group Exhibition Project Presentation</w:t>
            </w:r>
          </w:p>
        </w:tc>
        <w:tc>
          <w:tcPr>
            <w:tcW w:w="3408" w:type="dxa"/>
          </w:tcPr>
          <w:p w14:paraId="44E11D23">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150</w:t>
            </w:r>
          </w:p>
        </w:tc>
        <w:tc>
          <w:tcPr>
            <w:tcW w:w="3408" w:type="dxa"/>
          </w:tcPr>
          <w:p w14:paraId="67188F58">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15%</w:t>
            </w:r>
          </w:p>
        </w:tc>
      </w:tr>
      <w:tr w14:paraId="239D6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408" w:type="dxa"/>
          </w:tcPr>
          <w:p w14:paraId="400E2CD6">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Exams 1 &amp; 2</w:t>
            </w:r>
          </w:p>
        </w:tc>
        <w:tc>
          <w:tcPr>
            <w:tcW w:w="3408" w:type="dxa"/>
          </w:tcPr>
          <w:p w14:paraId="0C35D10D">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200</w:t>
            </w:r>
          </w:p>
        </w:tc>
        <w:tc>
          <w:tcPr>
            <w:tcW w:w="3408" w:type="dxa"/>
          </w:tcPr>
          <w:p w14:paraId="14E1DC7A">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20%</w:t>
            </w:r>
          </w:p>
        </w:tc>
      </w:tr>
      <w:tr w14:paraId="64308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408" w:type="dxa"/>
          </w:tcPr>
          <w:p w14:paraId="1ED63F4A">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Total</w:t>
            </w:r>
          </w:p>
        </w:tc>
        <w:tc>
          <w:tcPr>
            <w:tcW w:w="3408" w:type="dxa"/>
          </w:tcPr>
          <w:p w14:paraId="30D98250">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1000</w:t>
            </w:r>
          </w:p>
        </w:tc>
        <w:tc>
          <w:tcPr>
            <w:tcW w:w="3408" w:type="dxa"/>
          </w:tcPr>
          <w:p w14:paraId="707E8972">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100%</w:t>
            </w:r>
          </w:p>
        </w:tc>
      </w:tr>
    </w:tbl>
    <w:p w14:paraId="616120F9">
      <w:pPr>
        <w:keepNext w:val="0"/>
        <w:keepLines w:val="0"/>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b w:val="0"/>
          <w:bCs/>
          <w:sz w:val="24"/>
          <w:szCs w:val="24"/>
        </w:rPr>
      </w:pPr>
      <w:r>
        <w:rPr>
          <w:rFonts w:hint="default" w:ascii="Calibri" w:hAnsi="Calibri" w:cs="Calibri"/>
          <w:b w:val="0"/>
          <w:bCs/>
          <w:i w:val="0"/>
          <w:sz w:val="24"/>
          <w:szCs w:val="24"/>
        </w:rPr>
        <w:t>Grading scale: A = 900–1000; B = 800–899; C = 700–799; D = 600–699; F = below 600.</w:t>
      </w:r>
    </w:p>
    <w:p w14:paraId="66F0E99F">
      <w:pPr>
        <w:pStyle w:val="3"/>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Course Components</w:t>
      </w:r>
    </w:p>
    <w:p w14:paraId="552474FB">
      <w:pPr>
        <w:pStyle w:val="4"/>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Attendance &amp; Participation — 10%</w:t>
      </w:r>
    </w:p>
    <w:p w14:paraId="4EBD541A">
      <w:pPr>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b w:val="0"/>
          <w:i w:val="0"/>
          <w:sz w:val="24"/>
          <w:szCs w:val="24"/>
        </w:rPr>
        <w:t>Students are expected to attend every scheduled class, arrive on time, come prepared, and participate thoughtfully in discussions and activities. Participation includes close looking, discussion, group work, workshops, and preparation for assignments. Personal messaging, entertainment, sleeping, or unrelated work during class may reduce participation credit. Students should consult the instructor as soon as possible about an absence.</w:t>
      </w:r>
    </w:p>
    <w:p w14:paraId="513BC6AF">
      <w:pPr>
        <w:pStyle w:val="4"/>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Weekly Preparation Activities — 5%</w:t>
      </w:r>
    </w:p>
    <w:p w14:paraId="06130130">
      <w:pPr>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b w:val="0"/>
          <w:i w:val="0"/>
          <w:sz w:val="24"/>
          <w:szCs w:val="24"/>
        </w:rPr>
        <w:t>Short preparation activities will be posted in Canvas throughout the semester. These may include videos, short readings, artwork-viewing activities, or questions. They should be completed before the class meeting for which they are assigned. One lowest score will be dropped at the end of the semester.</w:t>
      </w:r>
    </w:p>
    <w:p w14:paraId="3B6160FE">
      <w:pPr>
        <w:pStyle w:val="4"/>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Module Quizzes — 20%</w:t>
      </w:r>
    </w:p>
    <w:p w14:paraId="31DD8B63">
      <w:pPr>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b w:val="0"/>
          <w:i w:val="0"/>
          <w:sz w:val="24"/>
          <w:szCs w:val="24"/>
        </w:rPr>
        <w:t>Module quizzes are completed on Canvas and are based on assigned course materials, lectures, artworks, videos, and class discussions. Quizzes are intended to check understanding and prepare students for the exams. The current course calendar will list each quiz and its covered material.</w:t>
      </w:r>
    </w:p>
    <w:p w14:paraId="211D499D">
      <w:pPr>
        <w:pStyle w:val="4"/>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Art Analysis — 15%</w:t>
      </w:r>
    </w:p>
    <w:p w14:paraId="034CD03D">
      <w:pPr>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b w:val="0"/>
          <w:i w:val="0"/>
          <w:sz w:val="24"/>
          <w:szCs w:val="24"/>
        </w:rPr>
        <w:t>Students will complete one detailed artwork analysis. The assignment asks students to analyze an artwork using materials/media, visual elements, principles of design, and relevant context, and to compare the work with appropriate examples from course materials. The assignment will include an in-person artwork component when feasible; an approved alternative will be available for students with documented access or mobility accommodations.</w:t>
      </w:r>
    </w:p>
    <w:p w14:paraId="21E7E66E">
      <w:pPr>
        <w:pStyle w:val="4"/>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Group Discussion — 15%</w:t>
      </w:r>
    </w:p>
    <w:p w14:paraId="55E30ACC">
      <w:pPr>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b w:val="0"/>
          <w:i w:val="0"/>
          <w:sz w:val="24"/>
          <w:szCs w:val="24"/>
        </w:rPr>
        <w:t>Students will participate in a structured group discussion centered on art collecting, museum practices, cultural heritage, and the ethical question of repatriation. Students will prepare evidence-based responses, contribute to the group discussion, and respond constructively to other viewpoints. Specific instructions and the Canvas discussion format will be provided in the relevant module.</w:t>
      </w:r>
    </w:p>
    <w:p w14:paraId="3FC32C6C">
      <w:pPr>
        <w:pStyle w:val="4"/>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Group Exhibition Project Presentation — 15%</w:t>
      </w:r>
    </w:p>
    <w:p w14:paraId="0412F5CC">
      <w:pPr>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b w:val="0"/>
          <w:i w:val="0"/>
          <w:sz w:val="24"/>
          <w:szCs w:val="24"/>
        </w:rPr>
        <w:t>Students will be assigned to groups. Each group will develop a proposed art exhibition, including a title, theme, location, date, and plan for reaching its target audience. Each member will select one artwork and research its content or meaning. The group will create a cohesive PowerPoint presentation and present the proposed exhibition and individual artworks to the class.</w:t>
      </w:r>
    </w:p>
    <w:p w14:paraId="52297ADB">
      <w:pPr>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b w:val="0"/>
          <w:i w:val="0"/>
          <w:sz w:val="24"/>
          <w:szCs w:val="24"/>
        </w:rPr>
        <w:t>The project will include both individual and group components. Each student will also be expected to ask at least one informed question about an in-class presentation. Presentation dates are assigned in advance and should be treated as required class commitments.</w:t>
      </w:r>
    </w:p>
    <w:p w14:paraId="28FE8E54">
      <w:pPr>
        <w:pStyle w:val="4"/>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Exams — 20%</w:t>
      </w:r>
    </w:p>
    <w:p w14:paraId="54219F5A">
      <w:pPr>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b w:val="0"/>
          <w:i w:val="0"/>
          <w:sz w:val="24"/>
          <w:szCs w:val="24"/>
        </w:rPr>
        <w:t>There will be two individual online exams on Canvas. Each exam will cover the course topics and materials identified in the current Canvas modules and review guide. Exams may include vocabulary, concepts, artists, artworks, readings, lectures, videos, assignments, and class discussions. The official Canvas calendar will provide the final exam dates and availability windows.</w:t>
      </w:r>
    </w:p>
    <w:p w14:paraId="61BF19F7">
      <w:pPr>
        <w:pStyle w:val="3"/>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Extra Credit</w:t>
      </w:r>
    </w:p>
    <w:p w14:paraId="2459275F">
      <w:pPr>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b w:val="0"/>
          <w:i w:val="0"/>
          <w:sz w:val="24"/>
          <w:szCs w:val="24"/>
        </w:rPr>
        <w:t>If offered in the course, selected Canvas review or image-analysis activities may provide extra credit. Each opportunity and its point value will be announced in Canvas. Additional extra credit, if offered, will be explained in class and posted in Canvas.</w:t>
      </w:r>
    </w:p>
    <w:p w14:paraId="0FBADAE6">
      <w:pPr>
        <w:pStyle w:val="3"/>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Late Work and Make-Up Work</w:t>
      </w:r>
    </w:p>
    <w:p w14:paraId="3808BAD1">
      <w:pPr>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b w:val="0"/>
          <w:i w:val="0"/>
          <w:sz w:val="24"/>
          <w:szCs w:val="24"/>
        </w:rPr>
        <w:t>This course follows the department syllabus framework: late submissions are generally not accepted. Make-up work for assignments, quizzes, and exams is allowed only in approved circumstances, such as a documented excused absence, and should be discussed with the instructor as early as possible. Specific emergency or university-approved situations will be handled according to applicable UNT policy.</w:t>
      </w:r>
    </w:p>
    <w:p w14:paraId="598E1DD2">
      <w:pPr>
        <w:pStyle w:val="3"/>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Artificial Intelligence</w:t>
      </w:r>
    </w:p>
    <w:p w14:paraId="4C491EDF">
      <w:pPr>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b w:val="0"/>
          <w:i w:val="0"/>
          <w:sz w:val="24"/>
          <w:szCs w:val="24"/>
        </w:rPr>
        <w:t>AI tools are not authorized for course assignments unless the instructor explicitly states otherwise in the assignment instructions. This course asks students to develop their own observations, interpretations, discussions, and arguments. Submitting AI-generated work as one's own does not fulfill the requirements of the assignment and may be treated as an academic integrity concern.</w:t>
      </w:r>
    </w:p>
    <w:p w14:paraId="2F05A622">
      <w:pPr>
        <w:pStyle w:val="3"/>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Classroom Environment and Discussion</w:t>
      </w:r>
    </w:p>
    <w:p w14:paraId="2DE50A47">
      <w:pPr>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b w:val="0"/>
          <w:i w:val="0"/>
          <w:sz w:val="24"/>
          <w:szCs w:val="24"/>
        </w:rPr>
        <w:t>Art can involve subjects, images, situations, and language that some students may find challenging or uncomfortable. The course values freedom of expression and encourages thoughtful engagement with difficult material.</w:t>
      </w:r>
    </w:p>
    <w:p w14:paraId="2F040147">
      <w:pPr>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b w:val="0"/>
          <w:i w:val="0"/>
          <w:sz w:val="24"/>
          <w:szCs w:val="24"/>
        </w:rPr>
        <w:t>Students are welcome to disagree with one another and challenge interpretations. Debate is encouraged when it is respectful and supported by evidence, facts, and logic. Students should listen to others, avoid personal attacks, and make room for different perspectives and experiences.</w:t>
      </w:r>
    </w:p>
    <w:p w14:paraId="534E3DE0">
      <w:pPr>
        <w:pStyle w:val="3"/>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Technology and Recording</w:t>
      </w:r>
    </w:p>
    <w:p w14:paraId="74DA129E">
      <w:pPr>
        <w:pStyle w:val="16"/>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Students are expected to have access to Canvas, reliable internet, and standard document/presentation software.</w:t>
      </w:r>
    </w:p>
    <w:p w14:paraId="34F9A816">
      <w:pPr>
        <w:pStyle w:val="16"/>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Assignments submitted to Canvas should follow the file-format requirements stated in each assignment.</w:t>
      </w:r>
    </w:p>
    <w:p w14:paraId="6D2A467C">
      <w:pPr>
        <w:pStyle w:val="16"/>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Class recording is not permitted unless the student has an ODA accommodation and has received the required permission.</w:t>
      </w:r>
    </w:p>
    <w:p w14:paraId="0665971C">
      <w:pPr>
        <w:pStyle w:val="3"/>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Academic Integrity</w:t>
      </w:r>
    </w:p>
    <w:p w14:paraId="16437EC2">
      <w:pPr>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b w:val="0"/>
          <w:i w:val="0"/>
          <w:sz w:val="24"/>
          <w:szCs w:val="24"/>
        </w:rPr>
        <w:t>Students are expected to follow UNT academic integrity standards. Academic dishonesty includes, but is not limited to, cheating, fabrication, facilitating academic dishonesty, forgery, plagiarism, and sabotage. Findings of academic dishonesty may result in academic penalties or other university sanctions.</w:t>
      </w:r>
    </w:p>
    <w:p w14:paraId="4A2A02AC">
      <w:pPr>
        <w:pStyle w:val="3"/>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ADA / Accessibility Accommodations</w:t>
      </w:r>
    </w:p>
    <w:p w14:paraId="5B46CD77">
      <w:pPr>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b w:val="0"/>
          <w:i w:val="0"/>
          <w:sz w:val="24"/>
          <w:szCs w:val="24"/>
        </w:rPr>
        <w:t>UNT makes reasonable academic accommodations for students with disabilities. Students seeking accommodations should register with the Office of Disability Accommodation (ODA). Once an accommodation letter is provided, the student and instructor should discuss how approved accommodations will be implemented in this course as early as possible.</w:t>
      </w:r>
    </w:p>
    <w:p w14:paraId="6C7A9E17">
      <w:pPr>
        <w:pStyle w:val="3"/>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Emergency Notification and Procedures</w:t>
      </w:r>
    </w:p>
    <w:p w14:paraId="3D504FA8">
      <w:pPr>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b w:val="0"/>
          <w:i w:val="0"/>
          <w:sz w:val="24"/>
          <w:szCs w:val="24"/>
        </w:rPr>
        <w:t>UNT uses Eagle Alert to communicate critical information such as severe weather, campus closures, and public safety emergencies. If the university closes or class must move online, students should check Canvas for instructions about course continuity.</w:t>
      </w:r>
    </w:p>
    <w:p w14:paraId="12A17B75">
      <w:pPr>
        <w:pStyle w:val="3"/>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Student Support and Academic Resources</w:t>
      </w:r>
    </w:p>
    <w:p w14:paraId="70A6FF41">
      <w:pPr>
        <w:pStyle w:val="16"/>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UNT Student Help Desk for Canvas and technical assistance.</w:t>
      </w:r>
    </w:p>
    <w:p w14:paraId="4C7592C6">
      <w:pPr>
        <w:pStyle w:val="16"/>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UNT Libraries and the Academic Success Center for research and academic support.</w:t>
      </w:r>
    </w:p>
    <w:p w14:paraId="079F4907">
      <w:pPr>
        <w:pStyle w:val="16"/>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Office of Disability Accommodation for approved accommodations.</w:t>
      </w:r>
    </w:p>
    <w:p w14:paraId="7770509E">
      <w:pPr>
        <w:pStyle w:val="16"/>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Student Health and Wellness Center and Counseling and Testing Services for student support.</w:t>
      </w:r>
    </w:p>
    <w:p w14:paraId="5088B049">
      <w:pPr>
        <w:pStyle w:val="16"/>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Dean of Students and other university support services as appropriate.</w:t>
      </w:r>
    </w:p>
    <w:p w14:paraId="7A60C8F7">
      <w:pPr>
        <w:pStyle w:val="3"/>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Course Calendar</w:t>
      </w:r>
    </w:p>
    <w:p w14:paraId="0DD09439">
      <w:pPr>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b w:val="0"/>
          <w:i w:val="0"/>
          <w:sz w:val="24"/>
          <w:szCs w:val="24"/>
        </w:rPr>
        <w:t>The calendar below follows the department's ART 1301 sequence and adapts it to this Tuesday/Thursday Fall 2026 section. Canvas will contain the current due dates for individual assignments. If the department, university, or Canvas course shell provides a different date or required activity, the official Canvas information takes priority.</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08"/>
        <w:gridCol w:w="3408"/>
        <w:gridCol w:w="3408"/>
      </w:tblGrid>
      <w:tr w14:paraId="39091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blHeader w:val="true"/>
          <w:cantSplit/>
        </w:trPr>
        <w:tc>
          <w:tcPr>
            <w:tcW w:w="3408" w:type="dxa"/>
          </w:tcPr>
          <w:p w14:paraId="24FCD667">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Week / Dates</w:t>
            </w:r>
          </w:p>
        </w:tc>
        <w:tc>
          <w:tcPr>
            <w:tcW w:w="3408" w:type="dxa"/>
          </w:tcPr>
          <w:p w14:paraId="7589C0A0">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Topic</w:t>
            </w:r>
          </w:p>
        </w:tc>
        <w:tc>
          <w:tcPr>
            <w:tcW w:w="3408" w:type="dxa"/>
          </w:tcPr>
          <w:p w14:paraId="527199E3">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Activities / Assessments</w:t>
            </w:r>
          </w:p>
        </w:tc>
      </w:tr>
      <w:tr w14:paraId="05383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cantSplit/>
        </w:trPr>
        <w:tc>
          <w:tcPr>
            <w:tcW w:w="3408" w:type="dxa"/>
            <w:vAlign w:val="top"/>
          </w:tcPr>
          <w:p w14:paraId="4082FFE8">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Week 1 | Aug. 18 &amp; 20</w:t>
            </w:r>
          </w:p>
        </w:tc>
        <w:tc>
          <w:tcPr>
            <w:tcW w:w="3408" w:type="dxa"/>
            <w:vAlign w:val="top"/>
          </w:tcPr>
          <w:p w14:paraId="10AAB4E6">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Class Introduction / Art and Art Making</w:t>
            </w:r>
          </w:p>
        </w:tc>
        <w:tc>
          <w:tcPr>
            <w:tcW w:w="3408" w:type="dxa"/>
            <w:vAlign w:val="top"/>
          </w:tcPr>
          <w:p w14:paraId="78AB7B34">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Tue: course introduction, syllabus, introductions, What Is Art?, close looking. Thu: art and art making, Chinese calligraphy as an artistic practice, instructor demonstration, and pencil structure activity. Syllabus Quiz; begin course materials.</w:t>
            </w:r>
          </w:p>
        </w:tc>
      </w:tr>
      <w:tr w14:paraId="378CD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cantSplit/>
        </w:trPr>
        <w:tc>
          <w:tcPr>
            <w:tcW w:w="3408" w:type="dxa"/>
            <w:vAlign w:val="top"/>
          </w:tcPr>
          <w:p w14:paraId="071CF924">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Week 2 | Aug. 25 &amp; 27</w:t>
            </w:r>
          </w:p>
        </w:tc>
        <w:tc>
          <w:tcPr>
            <w:tcW w:w="3408" w:type="dxa"/>
            <w:vAlign w:val="top"/>
          </w:tcPr>
          <w:p w14:paraId="51E8A491">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Art and Art Making</w:t>
            </w:r>
          </w:p>
        </w:tc>
        <w:tc>
          <w:tcPr>
            <w:tcW w:w="3408" w:type="dxa"/>
            <w:vAlign w:val="top"/>
          </w:tcPr>
          <w:p w14:paraId="167B3CE1">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Art and art making continued; art within visual culture; creativity and artists across cultures; discussion and in-class application. Weekly Preparation Activity; Quiz 1.</w:t>
            </w:r>
          </w:p>
        </w:tc>
      </w:tr>
      <w:tr w14:paraId="3806A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cantSplit/>
        </w:trPr>
        <w:tc>
          <w:tcPr>
            <w:tcW w:w="3408" w:type="dxa"/>
            <w:vAlign w:val="top"/>
          </w:tcPr>
          <w:p w14:paraId="14E56F05">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Week 3 | Sept. 1 &amp; 3</w:t>
            </w:r>
          </w:p>
        </w:tc>
        <w:tc>
          <w:tcPr>
            <w:tcW w:w="3408" w:type="dxa"/>
            <w:vAlign w:val="top"/>
          </w:tcPr>
          <w:p w14:paraId="0749167E">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The Language of Art and Architecture</w:t>
            </w:r>
          </w:p>
        </w:tc>
        <w:tc>
          <w:tcPr>
            <w:tcW w:w="3408" w:type="dxa"/>
            <w:vAlign w:val="top"/>
          </w:tcPr>
          <w:p w14:paraId="0EFF19D7">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Visual elements and principles; line, shape, space, unity and variety; focused calligraphy comparison. Weekly Preparation Activity; selected in-class practice.</w:t>
            </w:r>
          </w:p>
        </w:tc>
      </w:tr>
      <w:tr w14:paraId="7EFEA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cantSplit/>
        </w:trPr>
        <w:tc>
          <w:tcPr>
            <w:tcW w:w="3408" w:type="dxa"/>
            <w:vAlign w:val="top"/>
          </w:tcPr>
          <w:p w14:paraId="3C844303">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Week 4 | Sept. 8 &amp; 10</w:t>
            </w:r>
          </w:p>
        </w:tc>
        <w:tc>
          <w:tcPr>
            <w:tcW w:w="3408" w:type="dxa"/>
            <w:vAlign w:val="top"/>
          </w:tcPr>
          <w:p w14:paraId="09C45469">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Media</w:t>
            </w:r>
          </w:p>
        </w:tc>
        <w:tc>
          <w:tcPr>
            <w:tcW w:w="3408" w:type="dxa"/>
            <w:vAlign w:val="top"/>
          </w:tcPr>
          <w:p w14:paraId="1C73FCD3">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Two-dimensional and three-dimensional media; materials and processes; Chinese ink practice as a focused example. Weekly Preparation Activity; Quiz 2.</w:t>
            </w:r>
          </w:p>
        </w:tc>
      </w:tr>
      <w:tr w14:paraId="60498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cantSplit/>
        </w:trPr>
        <w:tc>
          <w:tcPr>
            <w:tcW w:w="3408" w:type="dxa"/>
            <w:vAlign w:val="top"/>
          </w:tcPr>
          <w:p w14:paraId="1A5FD476">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Week 5 | Sept. 15 &amp; 17</w:t>
            </w:r>
          </w:p>
        </w:tc>
        <w:tc>
          <w:tcPr>
            <w:tcW w:w="3408" w:type="dxa"/>
            <w:vAlign w:val="top"/>
          </w:tcPr>
          <w:p w14:paraId="031ECBFE">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Deriving Meaning</w:t>
            </w:r>
          </w:p>
        </w:tc>
        <w:tc>
          <w:tcPr>
            <w:tcW w:w="3408" w:type="dxa"/>
            <w:vAlign w:val="top"/>
          </w:tcPr>
          <w:p w14:paraId="2D32ABEC">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Symbolism, iconography, context, and interpretation; guided artwork analysis. Weekly Preparation Activity; museum/gallery visit preparation.</w:t>
            </w:r>
          </w:p>
        </w:tc>
      </w:tr>
      <w:tr w14:paraId="40311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cantSplit/>
        </w:trPr>
        <w:tc>
          <w:tcPr>
            <w:tcW w:w="3408" w:type="dxa"/>
            <w:vAlign w:val="top"/>
          </w:tcPr>
          <w:p w14:paraId="1E6687CF">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Week 6 | Sept. 22 &amp; 24</w:t>
            </w:r>
          </w:p>
        </w:tc>
        <w:tc>
          <w:tcPr>
            <w:tcW w:w="3408" w:type="dxa"/>
            <w:vAlign w:val="top"/>
          </w:tcPr>
          <w:p w14:paraId="44C88DFD">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Food and Shelter</w:t>
            </w:r>
          </w:p>
        </w:tc>
        <w:tc>
          <w:tcPr>
            <w:tcW w:w="3408" w:type="dxa"/>
            <w:vAlign w:val="top"/>
          </w:tcPr>
          <w:p w14:paraId="2A56AB3F">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Food, eating, domestic life, architecture, and shelter; Chinese examples and focused global comparisons. Weekly Preparation Activity; Quiz 3.</w:t>
            </w:r>
          </w:p>
        </w:tc>
      </w:tr>
      <w:tr w14:paraId="7B558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cantSplit/>
        </w:trPr>
        <w:tc>
          <w:tcPr>
            <w:tcW w:w="3408" w:type="dxa"/>
            <w:vAlign w:val="top"/>
          </w:tcPr>
          <w:p w14:paraId="7FFB80EF">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Week 7 | Sept. 29 &amp; Oct. 1</w:t>
            </w:r>
          </w:p>
        </w:tc>
        <w:tc>
          <w:tcPr>
            <w:tcW w:w="3408" w:type="dxa"/>
            <w:vAlign w:val="top"/>
          </w:tcPr>
          <w:p w14:paraId="42912B0C">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Art Analysis Workshop</w:t>
            </w:r>
          </w:p>
        </w:tc>
        <w:tc>
          <w:tcPr>
            <w:tcW w:w="3408" w:type="dxa"/>
            <w:vAlign w:val="top"/>
          </w:tcPr>
          <w:p w14:paraId="2F7FC3C7">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Library/research lesson; review of visual elements and principles of design; guided practice for the Art Analysis. Art Analysis preparation/submission according to Canvas.</w:t>
            </w:r>
          </w:p>
        </w:tc>
      </w:tr>
      <w:tr w14:paraId="64ED1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cantSplit/>
        </w:trPr>
        <w:tc>
          <w:tcPr>
            <w:tcW w:w="3408" w:type="dxa"/>
            <w:vAlign w:val="top"/>
          </w:tcPr>
          <w:p w14:paraId="3CD64A59">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Week 8 | Oct. 6 &amp; 8</w:t>
            </w:r>
          </w:p>
        </w:tc>
        <w:tc>
          <w:tcPr>
            <w:tcW w:w="3408" w:type="dxa"/>
            <w:vAlign w:val="top"/>
          </w:tcPr>
          <w:p w14:paraId="4432FBB1">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Review and Exam 1</w:t>
            </w:r>
          </w:p>
        </w:tc>
        <w:tc>
          <w:tcPr>
            <w:tcW w:w="3408" w:type="dxa"/>
            <w:vAlign w:val="top"/>
          </w:tcPr>
          <w:p w14:paraId="600919D1">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Review of course topics and materials covered to date; Exam 1 completed online on Canvas during the announced window. Exam 1; Art Analysis due according to Canvas.</w:t>
            </w:r>
          </w:p>
        </w:tc>
      </w:tr>
      <w:tr w14:paraId="5DF37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cantSplit/>
        </w:trPr>
        <w:tc>
          <w:tcPr>
            <w:tcW w:w="3408" w:type="dxa"/>
            <w:vAlign w:val="top"/>
          </w:tcPr>
          <w:p w14:paraId="0207348A">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Week 9 | Oct. 13 &amp; 15</w:t>
            </w:r>
          </w:p>
        </w:tc>
        <w:tc>
          <w:tcPr>
            <w:tcW w:w="3408" w:type="dxa"/>
            <w:vAlign w:val="top"/>
          </w:tcPr>
          <w:p w14:paraId="2FB88A27">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Art Collecting, Repatriation, and Social Protest</w:t>
            </w:r>
          </w:p>
        </w:tc>
        <w:tc>
          <w:tcPr>
            <w:tcW w:w="3408" w:type="dxa"/>
            <w:vAlign w:val="top"/>
          </w:tcPr>
          <w:p w14:paraId="76BDEF7E">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Art collecting and cultural heritage; introduction to Social Protest and Affirmation; ethical questions around museums and repatriation. Weekly Preparation Activity; discussion preparation.</w:t>
            </w:r>
          </w:p>
        </w:tc>
      </w:tr>
      <w:tr w14:paraId="1D85C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cantSplit/>
        </w:trPr>
        <w:tc>
          <w:tcPr>
            <w:tcW w:w="3408" w:type="dxa"/>
            <w:vAlign w:val="top"/>
          </w:tcPr>
          <w:p w14:paraId="13161A1C">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Week 10 | Oct. 20 &amp; 22</w:t>
            </w:r>
          </w:p>
        </w:tc>
        <w:tc>
          <w:tcPr>
            <w:tcW w:w="3408" w:type="dxa"/>
            <w:vAlign w:val="top"/>
          </w:tcPr>
          <w:p w14:paraId="671785C8">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Social Protest and Affirmation</w:t>
            </w:r>
          </w:p>
        </w:tc>
        <w:tc>
          <w:tcPr>
            <w:tcW w:w="3408" w:type="dxa"/>
            <w:vAlign w:val="top"/>
          </w:tcPr>
          <w:p w14:paraId="1A964620">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Social Protest and Affirmation continued; protest, affirmation, oppression, politics, and art; structured group discussion. Optional image-review activity if offered; Group Discussion assignment and response/comment.</w:t>
            </w:r>
          </w:p>
        </w:tc>
      </w:tr>
      <w:tr w14:paraId="6624E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cantSplit/>
        </w:trPr>
        <w:tc>
          <w:tcPr>
            <w:tcW w:w="3408" w:type="dxa"/>
            <w:vAlign w:val="top"/>
          </w:tcPr>
          <w:p w14:paraId="6E9B7837">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Week 11 | Oct. 27 &amp; 29</w:t>
            </w:r>
          </w:p>
        </w:tc>
        <w:tc>
          <w:tcPr>
            <w:tcW w:w="3408" w:type="dxa"/>
            <w:vAlign w:val="top"/>
          </w:tcPr>
          <w:p w14:paraId="5CFB2D9F">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Race, Gender, and Class</w:t>
            </w:r>
          </w:p>
        </w:tc>
        <w:tc>
          <w:tcPr>
            <w:tcW w:w="3408" w:type="dxa"/>
            <w:vAlign w:val="top"/>
          </w:tcPr>
          <w:p w14:paraId="61C0B83C">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Representation, gender, identity, class, and visual culture; introduction to Group Exhibition Project. Weekly Preparation Activity; Quiz 4.</w:t>
            </w:r>
          </w:p>
        </w:tc>
      </w:tr>
      <w:tr w14:paraId="210E5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cantSplit/>
        </w:trPr>
        <w:tc>
          <w:tcPr>
            <w:tcW w:w="3408" w:type="dxa"/>
            <w:vAlign w:val="top"/>
          </w:tcPr>
          <w:p w14:paraId="0308481D">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Week 12 | Nov. 3 &amp; 5</w:t>
            </w:r>
          </w:p>
        </w:tc>
        <w:tc>
          <w:tcPr>
            <w:tcW w:w="3408" w:type="dxa"/>
            <w:vAlign w:val="top"/>
          </w:tcPr>
          <w:p w14:paraId="6D0C4931">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Nature, Knowledge, and Technology</w:t>
            </w:r>
          </w:p>
        </w:tc>
        <w:tc>
          <w:tcPr>
            <w:tcW w:w="3408" w:type="dxa"/>
            <w:vAlign w:val="top"/>
          </w:tcPr>
          <w:p w14:paraId="46006400">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Nature, gardens, environmental art, and constructed environments. Chinese landscape painting workshop: teacher brush-and-ink demonstration and pencil-based landscape study. Weekly Preparation Activity; landscape workshop.</w:t>
            </w:r>
          </w:p>
        </w:tc>
      </w:tr>
      <w:tr w14:paraId="1FA33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cantSplit/>
        </w:trPr>
        <w:tc>
          <w:tcPr>
            <w:tcW w:w="3408" w:type="dxa"/>
            <w:vAlign w:val="top"/>
          </w:tcPr>
          <w:p w14:paraId="7D437078">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Week 13 | Nov. 10 &amp; 12</w:t>
            </w:r>
          </w:p>
        </w:tc>
        <w:tc>
          <w:tcPr>
            <w:tcW w:w="3408" w:type="dxa"/>
            <w:vAlign w:val="top"/>
          </w:tcPr>
          <w:p w14:paraId="1CA21435">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Art in Your Life / Banksy</w:t>
            </w:r>
          </w:p>
        </w:tc>
        <w:tc>
          <w:tcPr>
            <w:tcW w:w="3408" w:type="dxa"/>
            <w:vAlign w:val="top"/>
          </w:tcPr>
          <w:p w14:paraId="0B8FE622">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Art in everyday life, public/street art, Banksy, and the relationship between art and audience; exhibition planning workshop. Weekly Preparation Activity; Quiz 5.</w:t>
            </w:r>
          </w:p>
        </w:tc>
      </w:tr>
      <w:tr w14:paraId="28454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cantSplit/>
        </w:trPr>
        <w:tc>
          <w:tcPr>
            <w:tcW w:w="3408" w:type="dxa"/>
            <w:vAlign w:val="top"/>
          </w:tcPr>
          <w:p w14:paraId="7B62F25D">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Week 14 | Nov. 17 &amp; 19</w:t>
            </w:r>
          </w:p>
        </w:tc>
        <w:tc>
          <w:tcPr>
            <w:tcW w:w="3408" w:type="dxa"/>
            <w:vAlign w:val="top"/>
          </w:tcPr>
          <w:p w14:paraId="20DB6878">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Group Exhibition Project Workshop</w:t>
            </w:r>
          </w:p>
        </w:tc>
        <w:tc>
          <w:tcPr>
            <w:tcW w:w="3408" w:type="dxa"/>
            <w:vAlign w:val="top"/>
          </w:tcPr>
          <w:p w14:paraId="0EFD8E23">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Develop exhibition theme, select artworks, research content/meaning, organize PowerPoint, and rehearse presentations. Group Exhibition PowerPoint preparation.</w:t>
            </w:r>
          </w:p>
        </w:tc>
      </w:tr>
      <w:tr w14:paraId="29A59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cantSplit/>
        </w:trPr>
        <w:tc>
          <w:tcPr>
            <w:tcW w:w="3408" w:type="dxa"/>
            <w:vAlign w:val="top"/>
          </w:tcPr>
          <w:p w14:paraId="14D85B14">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Week 15 | Nov. 24 &amp; 26</w:t>
            </w:r>
          </w:p>
        </w:tc>
        <w:tc>
          <w:tcPr>
            <w:tcW w:w="3408" w:type="dxa"/>
            <w:vAlign w:val="top"/>
          </w:tcPr>
          <w:p w14:paraId="4D6B6FC0">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Group Exhibition Presentations</w:t>
            </w:r>
          </w:p>
        </w:tc>
        <w:tc>
          <w:tcPr>
            <w:tcW w:w="3408" w:type="dxa"/>
            <w:vAlign w:val="top"/>
          </w:tcPr>
          <w:p w14:paraId="5C352EE3">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Tue: presentation preparation/check-in. Thu: Thanksgiving — no class. Group Exhibition presentations continue in Week 16 as scheduled.</w:t>
            </w:r>
          </w:p>
        </w:tc>
      </w:tr>
      <w:tr w14:paraId="0E03D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cantSplit/>
        </w:trPr>
        <w:tc>
          <w:tcPr>
            <w:tcW w:w="3408" w:type="dxa"/>
            <w:vAlign w:val="top"/>
          </w:tcPr>
          <w:p w14:paraId="0A392DE0">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Week 16 | Dec. 1 &amp; 3</w:t>
            </w:r>
          </w:p>
        </w:tc>
        <w:tc>
          <w:tcPr>
            <w:tcW w:w="3408" w:type="dxa"/>
            <w:vAlign w:val="top"/>
          </w:tcPr>
          <w:p w14:paraId="286C768B">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Group Exhibition Presentations / Course Synthesis</w:t>
            </w:r>
          </w:p>
        </w:tc>
        <w:tc>
          <w:tcPr>
            <w:tcW w:w="3408" w:type="dxa"/>
            <w:vAlign w:val="top"/>
          </w:tcPr>
          <w:p w14:paraId="3C6AFF64">
            <w:pPr>
              <w:pageBreakBefore w:val="0"/>
              <w:widowControl/>
              <w:kinsoku/>
              <w:wordWrap/>
              <w:overflowPunct/>
              <w:topLinePunct w:val="0"/>
              <w:autoSpaceDE/>
              <w:autoSpaceDN/>
              <w:bidi w:val="0"/>
              <w:adjustRightInd/>
              <w:snapToGrid/>
              <w:spacing w:after="0" w:line="360" w:lineRule="auto"/>
              <w:textAlignment w:val="auto"/>
              <w:rPr>
                <w:rFonts w:hint="default" w:ascii="Calibri" w:hAnsi="Calibri" w:cs="Calibri"/>
                <w:sz w:val="24"/>
                <w:szCs w:val="24"/>
              </w:rPr>
            </w:pPr>
            <w:r>
              <w:rPr>
                <w:rFonts w:hint="default" w:ascii="Calibri" w:hAnsi="Calibri" w:cs="Calibri"/>
                <w:sz w:val="24"/>
                <w:szCs w:val="24"/>
              </w:rPr>
              <w:t>Student group presentations; informed peer questions; course synthesis and reflection on how students' understanding of art has changed. Group Exhibition Project Presentation; final course reflection. Exam 2 follows the official Canvas/final-exam schedule.</w:t>
            </w:r>
          </w:p>
        </w:tc>
      </w:tr>
    </w:tbl>
    <w:p w14:paraId="7F4429D7">
      <w:pPr>
        <w:pStyle w:val="3"/>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Canvas Course Organization</w:t>
      </w:r>
    </w:p>
    <w:p w14:paraId="6D8F60E1">
      <w:pPr>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b w:val="0"/>
          <w:i w:val="0"/>
          <w:sz w:val="24"/>
          <w:szCs w:val="24"/>
        </w:rPr>
        <w:t>Canvas is organized by weekly modules. Students should use Modules as the primary route to course materials. Each module will normally contain: an overview, assigned preparation, Tuesday materials, Thursday materials/activities, assignments or quizzes due that week, and any reflection or discussion activity.</w:t>
      </w:r>
    </w:p>
    <w:p w14:paraId="21486081">
      <w:pPr>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b w:val="0"/>
          <w:i w:val="0"/>
          <w:sz w:val="24"/>
          <w:szCs w:val="24"/>
        </w:rPr>
        <w:t>The module sequence may be updated as assignments are released. Students should always check the current module and Canvas calendar for the latest due dates.</w:t>
      </w:r>
    </w:p>
    <w:p w14:paraId="66120C96">
      <w:pPr>
        <w:pStyle w:val="3"/>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Syllabus Change Policy</w:t>
      </w:r>
    </w:p>
    <w:p w14:paraId="51A737F3">
      <w:pPr>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b w:val="0"/>
          <w:i w:val="0"/>
          <w:sz w:val="24"/>
          <w:szCs w:val="24"/>
        </w:rPr>
        <w:t>This syllabus and course calendar are subject to reasonable changes at the instructor's discretion and may be revised to respond to department or university requirements, class needs, or scheduling changes. Substantive changes will be communicated through Canvas.</w:t>
      </w:r>
    </w:p>
    <w:p w14:paraId="3FE50D71">
      <w:pPr>
        <w:pStyle w:val="3"/>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sz w:val="24"/>
          <w:szCs w:val="24"/>
        </w:rPr>
        <w:t>Important Notice</w:t>
      </w:r>
    </w:p>
    <w:p w14:paraId="71A10A4C">
      <w:pPr>
        <w:pageBreakBefore w:val="0"/>
        <w:widowControl/>
        <w:kinsoku/>
        <w:wordWrap/>
        <w:overflowPunct/>
        <w:topLinePunct w:val="0"/>
        <w:autoSpaceDE/>
        <w:autoSpaceDN/>
        <w:bidi w:val="0"/>
        <w:adjustRightInd/>
        <w:snapToGrid/>
        <w:spacing w:line="360" w:lineRule="auto"/>
        <w:textAlignment w:val="auto"/>
        <w:rPr>
          <w:rFonts w:hint="default" w:ascii="Calibri" w:hAnsi="Calibri" w:cs="Calibri"/>
          <w:sz w:val="24"/>
          <w:szCs w:val="24"/>
        </w:rPr>
      </w:pPr>
      <w:r>
        <w:rPr>
          <w:rFonts w:hint="default" w:ascii="Calibri" w:hAnsi="Calibri" w:cs="Calibri"/>
          <w:b w:val="0"/>
          <w:i w:val="0"/>
          <w:sz w:val="24"/>
          <w:szCs w:val="24"/>
        </w:rPr>
        <w:t>This syllabus is the section-specific course plan. Department and University policies take precedence where applicable. Canvas is the authoritative source for current assignment instructions, due dates, and announcements.</w:t>
      </w:r>
    </w:p>
    <w:sectPr>
      <w:pgSz w:w="12240" w:h="15840"/>
      <w:pgMar w:top="936" w:right="1008" w:bottom="936" w:left="1008"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Cambria">
    <w:panose1 w:val="02040503050406030204"/>
    <w:charset w:val="00"/>
    <w:family w:val="auto"/>
    <w:pitch w:val="default"/>
    <w:sig w:usb0="E00006FF" w:usb1="420024FF" w:usb2="02000000" w:usb3="00000000" w:csb0="2000019F" w:csb1="00000000"/>
  </w:font>
  <w:font w:name="Calibri Light">
    <w:panose1 w:val="020F0302020204030204"/>
    <w:charset w:val="00"/>
    <w:family w:val="auto"/>
    <w:pitch w:val="default"/>
    <w:sig w:usb0="E4002EFF" w:usb1="C200247B" w:usb2="00000009" w:usb3="00000000" w:csb0="200001FF" w:csb1="00000000"/>
  </w:font>
  <w:font w:name="Minion Pr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libri-Bold">
    <w:altName w:val="Segoe Print"/>
    <w:panose1 w:val="00000000000000000000"/>
    <w:charset w:val="00"/>
    <w:family w:val="auto"/>
    <w:pitch w:val="default"/>
    <w:sig w:usb0="00000000" w:usb1="00000000" w:usb2="00000000" w:usb3="00000000" w:csb0="00000000" w:csb1="00000000"/>
  </w:font>
  <w:font w:name="ＭＳ 明朝">
    <w:altName w:val="Segoe Print"/>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17D6042A"/>
    <w:rsid w:val="50E53551"/>
    <w:rsid w:val="6D266F73"/>
    <w:rsid w:val="731A365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unhideWhenUsed="0" w:uiPriority="67" w:semiHidden="0" w:name="Medium Grid 1 Accent 2"/>
    <w:lsdException w:qFormat="1"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qFormat="1" w:unhideWhenUsed="0" w:uiPriority="70" w:semiHidden="0" w:name="Dark List Accent 3"/>
    <w:lsdException w:unhideWhenUsed="0" w:uiPriority="71" w:semiHidden="0" w:name="Colorful Shading Accent 3"/>
    <w:lsdException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qFormat="1"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unhideWhenUsed="0" w:uiPriority="67" w:semiHidden="0" w:name="Medium Grid 1 Accent 5"/>
    <w:lsdException w:unhideWhenUsed="0" w:uiPriority="68" w:semiHidden="0" w:name="Medium Grid 2 Accent 5"/>
    <w:lsdException w:qFormat="1" w:unhideWhenUsed="0" w:uiPriority="69" w:semiHidden="0" w:name="Medium Grid 3 Accent 5"/>
    <w:lsdException w:unhideWhenUsed="0" w:uiPriority="70" w:semiHidden="0" w:name="Dark List Accent 5"/>
    <w:lsdException w:unhideWhenUsed="0" w:uiPriority="71" w:semiHidden="0" w:name="Colorful Shading Accent 5"/>
    <w:lsdException w:qFormat="1" w:unhideWhenUsed="0" w:uiPriority="72" w:semiHidden="0" w:name="Colorful List Accent 5"/>
    <w:lsdException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Arial" w:hAnsi="Arial" w:eastAsiaTheme="minorEastAsia" w:cstheme="minorBidi"/>
      <w:sz w:val="20"/>
      <w:szCs w:val="22"/>
      <w:lang w:val="en-US" w:eastAsia="en-US" w:bidi="ar-SA"/>
    </w:rPr>
  </w:style>
  <w:style w:type="paragraph" w:styleId="3">
    <w:name w:val="heading 1"/>
    <w:basedOn w:val="1"/>
    <w:next w:val="1"/>
    <w:link w:val="13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0"/>
    <w:unhideWhenUsed/>
    <w:qFormat/>
    <w:uiPriority w:val="9"/>
    <w:pPr>
      <w:keepNext/>
      <w:keepLines/>
      <w:spacing w:before="200" w:after="0"/>
      <w:outlineLvl w:val="1"/>
    </w:pPr>
    <w:rPr>
      <w:rFonts w:asciiTheme="majorHAnsi" w:hAnsiTheme="majorHAnsi" w:eastAsiaTheme="majorEastAsia" w:cstheme="majorBidi"/>
      <w:b/>
      <w:bCs/>
      <w:color w:val="4F81BD" w:themeColor="accent1"/>
      <w:sz w:val="23"/>
      <w:szCs w:val="26"/>
      <w14:textFill>
        <w14:solidFill>
          <w14:schemeClr w14:val="accent1"/>
        </w14:solidFill>
      </w14:textFill>
    </w:rPr>
  </w:style>
  <w:style w:type="paragraph" w:styleId="5">
    <w:name w:val="heading 3"/>
    <w:basedOn w:val="1"/>
    <w:next w:val="1"/>
    <w:link w:val="141"/>
    <w:unhideWhenUsed/>
    <w:qFormat/>
    <w:uiPriority w:val="9"/>
    <w:pPr>
      <w:keepNext/>
      <w:keepLines/>
      <w:spacing w:before="200" w:after="0"/>
      <w:outlineLvl w:val="2"/>
    </w:pPr>
    <w:rPr>
      <w:rFonts w:asciiTheme="majorHAnsi" w:hAnsiTheme="majorHAnsi" w:eastAsiaTheme="majorEastAsia" w:cstheme="majorBidi"/>
      <w:b/>
      <w:bCs/>
      <w:color w:val="4F81BD" w:themeColor="accent1"/>
      <w:sz w:val="21"/>
      <w14:textFill>
        <w14:solidFill>
          <w14:schemeClr w14:val="accent1"/>
        </w14:solidFill>
      </w14:textFill>
    </w:rPr>
  </w:style>
  <w:style w:type="paragraph" w:styleId="6">
    <w:name w:val="heading 4"/>
    <w:basedOn w:val="1"/>
    <w:next w:val="1"/>
    <w:link w:val="15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3">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macro"/>
    <w:link w:val="148"/>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7"/>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5"/>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7"/>
    <w:unhideWhenUsed/>
    <w:qFormat/>
    <w:uiPriority w:val="99"/>
    <w:pPr>
      <w:tabs>
        <w:tab w:val="center" w:pos="4680"/>
        <w:tab w:val="right" w:pos="9360"/>
      </w:tabs>
      <w:spacing w:after="0" w:line="240" w:lineRule="auto"/>
    </w:pPr>
  </w:style>
  <w:style w:type="paragraph" w:styleId="25">
    <w:name w:val="header"/>
    <w:basedOn w:val="1"/>
    <w:link w:val="136"/>
    <w:unhideWhenUsed/>
    <w:qFormat/>
    <w:uiPriority w:val="99"/>
    <w:pPr>
      <w:tabs>
        <w:tab w:val="center" w:pos="4680"/>
        <w:tab w:val="right" w:pos="9360"/>
      </w:tabs>
      <w:spacing w:after="0" w:line="240" w:lineRule="auto"/>
    </w:pPr>
  </w:style>
  <w:style w:type="paragraph" w:styleId="26">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6"/>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31">
    <w:name w:val="List Continue 3"/>
    <w:basedOn w:val="1"/>
    <w:unhideWhenUsed/>
    <w:qFormat/>
    <w:uiPriority w:val="99"/>
    <w:pPr>
      <w:spacing w:after="120"/>
      <w:ind w:left="1080"/>
      <w:contextualSpacing/>
    </w:pPr>
  </w:style>
  <w:style w:type="paragraph" w:styleId="32">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4">
    <w:name w:val="Table Grid"/>
    <w:basedOn w:val="3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5">
    <w:name w:val="Light Shading"/>
    <w:basedOn w:val="33"/>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6">
    <w:name w:val="Light Shading Accent 1"/>
    <w:basedOn w:val="33"/>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7">
    <w:name w:val="Light Shading Accent 2"/>
    <w:basedOn w:val="33"/>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8">
    <w:name w:val="Light Shading Accent 3"/>
    <w:basedOn w:val="33"/>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9">
    <w:name w:val="Light Shading Accent 4"/>
    <w:basedOn w:val="33"/>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Shading Accent 5"/>
    <w:basedOn w:val="33"/>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1">
    <w:name w:val="Light Shading Accent 6"/>
    <w:basedOn w:val="33"/>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2">
    <w:name w:val="Light List"/>
    <w:basedOn w:val="33"/>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3">
    <w:name w:val="Light List Accent 1"/>
    <w:basedOn w:val="33"/>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4">
    <w:name w:val="Light List Accent 2"/>
    <w:basedOn w:val="33"/>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5">
    <w:name w:val="Light List Accent 3"/>
    <w:basedOn w:val="33"/>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6">
    <w:name w:val="Light List Accent 4"/>
    <w:basedOn w:val="33"/>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7">
    <w:name w:val="Light List Accent 5"/>
    <w:basedOn w:val="33"/>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8">
    <w:name w:val="Light List Accent 6"/>
    <w:basedOn w:val="33"/>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9">
    <w:name w:val="Light Grid"/>
    <w:basedOn w:val="33"/>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0">
    <w:name w:val="Light Grid Accent 1"/>
    <w:basedOn w:val="33"/>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1">
    <w:name w:val="Light Grid Accent 2"/>
    <w:basedOn w:val="33"/>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2">
    <w:name w:val="Light Grid Accent 3"/>
    <w:basedOn w:val="33"/>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3">
    <w:name w:val="Light Grid Accent 4"/>
    <w:basedOn w:val="33"/>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4">
    <w:name w:val="Light Grid Accent 5"/>
    <w:basedOn w:val="33"/>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5">
    <w:name w:val="Light Grid Accent 6"/>
    <w:basedOn w:val="33"/>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6">
    <w:name w:val="Medium Shading 1"/>
    <w:basedOn w:val="33"/>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7">
    <w:name w:val="Medium Shading 1 Accent 1"/>
    <w:basedOn w:val="33"/>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8">
    <w:name w:val="Medium Shading 1 Accent 2"/>
    <w:basedOn w:val="33"/>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9">
    <w:name w:val="Medium Shading 1 Accent 3"/>
    <w:basedOn w:val="33"/>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0">
    <w:name w:val="Medium Shading 1 Accent 4"/>
    <w:basedOn w:val="33"/>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1">
    <w:name w:val="Medium Shading 1 Accent 5"/>
    <w:basedOn w:val="33"/>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2">
    <w:name w:val="Medium Shading 1 Accent 6"/>
    <w:basedOn w:val="33"/>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3">
    <w:name w:val="Medium Shading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1"/>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3"/>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4"/>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5"/>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6"/>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List 1"/>
    <w:basedOn w:val="33"/>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1">
    <w:name w:val="Medium List 1 Accent 1"/>
    <w:basedOn w:val="33"/>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2">
    <w:name w:val="Medium List 1 Accent 2"/>
    <w:basedOn w:val="33"/>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3">
    <w:name w:val="Medium List 1 Accent 3"/>
    <w:basedOn w:val="33"/>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4">
    <w:name w:val="Medium List 1 Accent 4"/>
    <w:basedOn w:val="33"/>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5">
    <w:name w:val="Medium List 1 Accent 5"/>
    <w:basedOn w:val="33"/>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6">
    <w:name w:val="Medium List 1 Accent 6"/>
    <w:basedOn w:val="33"/>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7">
    <w:name w:val="Medium Lis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1"/>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3"/>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4"/>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5"/>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6"/>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Grid 1"/>
    <w:basedOn w:val="33"/>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5">
    <w:name w:val="Medium Grid 1 Accent 1"/>
    <w:basedOn w:val="33"/>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6">
    <w:name w:val="Medium Grid 1 Accent 2"/>
    <w:basedOn w:val="33"/>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7">
    <w:name w:val="Medium Grid 1 Accent 3"/>
    <w:basedOn w:val="33"/>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8">
    <w:name w:val="Medium Grid 1 Accent 4"/>
    <w:basedOn w:val="33"/>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9">
    <w:name w:val="Medium Grid 1 Accent 5"/>
    <w:basedOn w:val="33"/>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0">
    <w:name w:val="Medium Grid 1 Accent 6"/>
    <w:basedOn w:val="33"/>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2">
    <w:name w:val="Medium Grid 2 Accent 1"/>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3">
    <w:name w:val="Medium Grid 2 Accent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8">
    <w:name w:val="Medium Grid 3"/>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9">
    <w:name w:val="Medium Grid 3 Accent 1"/>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0">
    <w:name w:val="Medium Grid 3 Accent 2"/>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1">
    <w:name w:val="Medium Grid 3 Accent 3"/>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2">
    <w:name w:val="Medium Grid 3 Accent 4"/>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3">
    <w:name w:val="Medium Grid 3 Accent 5"/>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4">
    <w:name w:val="Medium Grid 3 Accent 6"/>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5">
    <w:name w:val="Dark List"/>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6">
    <w:name w:val="Dark List Accent 1"/>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7">
    <w:name w:val="Dark List Accent 2"/>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8">
    <w:name w:val="Dark List Accent 3"/>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9">
    <w:name w:val="Dark List Accent 4"/>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0">
    <w:name w:val="Dark List Accent 5"/>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1">
    <w:name w:val="Dark List Accent 6"/>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2">
    <w:name w:val="Colorful Shading"/>
    <w:basedOn w:val="33"/>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1"/>
    <w:basedOn w:val="33"/>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2"/>
    <w:basedOn w:val="33"/>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3"/>
    <w:basedOn w:val="33"/>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6">
    <w:name w:val="Colorful Shading Accent 4"/>
    <w:basedOn w:val="33"/>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5"/>
    <w:basedOn w:val="33"/>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6"/>
    <w:basedOn w:val="33"/>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List"/>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0">
    <w:name w:val="Colorful List Accent 1"/>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1">
    <w:name w:val="Colorful List Accent 2"/>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2">
    <w:name w:val="Colorful List Accent 3"/>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3">
    <w:name w:val="Colorful List Accent 4"/>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4">
    <w:name w:val="Colorful List Accent 5"/>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5">
    <w:name w:val="Colorful List Accent 6"/>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6">
    <w:name w:val="Colorful Grid"/>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7">
    <w:name w:val="Colorful Grid Accent 1"/>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8">
    <w:name w:val="Colorful Grid Accent 2"/>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9">
    <w:name w:val="Colorful Grid Accent 3"/>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Colorful Grid Accent 4"/>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1">
    <w:name w:val="Colorful Grid Accent 5"/>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2">
    <w:name w:val="Colorful Grid Accent 6"/>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4">
    <w:name w:val="Strong"/>
    <w:basedOn w:val="133"/>
    <w:qFormat/>
    <w:uiPriority w:val="22"/>
    <w:rPr>
      <w:b/>
      <w:bCs/>
    </w:rPr>
  </w:style>
  <w:style w:type="character" w:styleId="135">
    <w:name w:val="Emphasis"/>
    <w:basedOn w:val="133"/>
    <w:qFormat/>
    <w:uiPriority w:val="20"/>
    <w:rPr>
      <w:i/>
      <w:iCs/>
    </w:rPr>
  </w:style>
  <w:style w:type="character" w:customStyle="1" w:styleId="136">
    <w:name w:val="Header Char"/>
    <w:basedOn w:val="133"/>
    <w:link w:val="25"/>
    <w:uiPriority w:val="99"/>
  </w:style>
  <w:style w:type="character" w:customStyle="1" w:styleId="137">
    <w:name w:val="Footer Char"/>
    <w:basedOn w:val="133"/>
    <w:link w:val="24"/>
    <w:uiPriority w:val="99"/>
  </w:style>
  <w:style w:type="paragraph" w:styleId="13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9">
    <w:name w:val="Heading 1 Char"/>
    <w:basedOn w:val="133"/>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0">
    <w:name w:val="Heading 2 Char"/>
    <w:basedOn w:val="133"/>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Heading 3 Char"/>
    <w:basedOn w:val="133"/>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Title Char"/>
    <w:basedOn w:val="133"/>
    <w:link w:val="32"/>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Subtitle Char"/>
    <w:basedOn w:val="133"/>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Body Text Char"/>
    <w:basedOn w:val="133"/>
    <w:link w:val="19"/>
    <w:qFormat/>
    <w:uiPriority w:val="99"/>
  </w:style>
  <w:style w:type="character" w:customStyle="1" w:styleId="146">
    <w:name w:val="Body Text 2 Char"/>
    <w:basedOn w:val="133"/>
    <w:link w:val="28"/>
    <w:qFormat/>
    <w:uiPriority w:val="99"/>
  </w:style>
  <w:style w:type="character" w:customStyle="1" w:styleId="147">
    <w:name w:val="Body Text 3 Char"/>
    <w:basedOn w:val="133"/>
    <w:link w:val="17"/>
    <w:qFormat/>
    <w:uiPriority w:val="99"/>
    <w:rPr>
      <w:sz w:val="16"/>
      <w:szCs w:val="16"/>
    </w:rPr>
  </w:style>
  <w:style w:type="character" w:customStyle="1" w:styleId="148">
    <w:name w:val="Macro Text Char"/>
    <w:basedOn w:val="133"/>
    <w:link w:val="2"/>
    <w:qFormat/>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Quote Char"/>
    <w:basedOn w:val="133"/>
    <w:link w:val="149"/>
    <w:qFormat/>
    <w:uiPriority w:val="29"/>
    <w:rPr>
      <w:i/>
      <w:iCs/>
      <w:color w:val="000000" w:themeColor="text1"/>
      <w14:textFill>
        <w14:solidFill>
          <w14:schemeClr w14:val="tx1"/>
        </w14:solidFill>
      </w14:textFill>
    </w:rPr>
  </w:style>
  <w:style w:type="character" w:customStyle="1" w:styleId="151">
    <w:name w:val="Heading 4 Char"/>
    <w:basedOn w:val="133"/>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Heading 5 Char"/>
    <w:basedOn w:val="133"/>
    <w:link w:val="7"/>
    <w:semiHidden/>
    <w:qFormat/>
    <w:uiPriority w:val="9"/>
    <w:rPr>
      <w:rFonts w:asciiTheme="majorHAnsi" w:hAnsiTheme="majorHAnsi" w:eastAsiaTheme="majorEastAsia" w:cstheme="majorBidi"/>
      <w:color w:val="254061" w:themeColor="accent1" w:themeShade="80"/>
    </w:rPr>
  </w:style>
  <w:style w:type="character" w:customStyle="1" w:styleId="153">
    <w:name w:val="Heading 6 Char"/>
    <w:basedOn w:val="133"/>
    <w:link w:val="8"/>
    <w:semiHidden/>
    <w:qFormat/>
    <w:uiPriority w:val="9"/>
    <w:rPr>
      <w:rFonts w:asciiTheme="majorHAnsi" w:hAnsiTheme="majorHAnsi" w:eastAsiaTheme="majorEastAsia" w:cstheme="majorBidi"/>
      <w:i/>
      <w:iCs/>
      <w:color w:val="254061" w:themeColor="accent1" w:themeShade="80"/>
    </w:rPr>
  </w:style>
  <w:style w:type="character" w:customStyle="1" w:styleId="154">
    <w:name w:val="Heading 7 Char"/>
    <w:basedOn w:val="133"/>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Heading 8 Char"/>
    <w:basedOn w:val="133"/>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Heading 9 Char"/>
    <w:basedOn w:val="133"/>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Intense Quote Char"/>
    <w:basedOn w:val="133"/>
    <w:link w:val="157"/>
    <w:qFormat/>
    <w:uiPriority w:val="30"/>
    <w:rPr>
      <w:b/>
      <w:bCs/>
      <w:i/>
      <w:iCs/>
      <w:color w:val="4F81BD" w:themeColor="accent1"/>
      <w14:textFill>
        <w14:solidFill>
          <w14:schemeClr w14:val="accent1"/>
        </w14:solidFill>
      </w14:textFill>
    </w:rPr>
  </w:style>
  <w:style w:type="character" w:customStyle="1" w:styleId="159">
    <w:name w:val="Subtle Emphasis"/>
    <w:basedOn w:val="133"/>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133"/>
    <w:qFormat/>
    <w:uiPriority w:val="21"/>
    <w:rPr>
      <w:b/>
      <w:bCs/>
      <w:i/>
      <w:iCs/>
      <w:color w:val="4F81BD" w:themeColor="accent1"/>
      <w14:textFill>
        <w14:solidFill>
          <w14:schemeClr w14:val="accent1"/>
        </w14:solidFill>
      </w14:textFill>
    </w:rPr>
  </w:style>
  <w:style w:type="character" w:customStyle="1" w:styleId="161">
    <w:name w:val="Subtle Reference"/>
    <w:basedOn w:val="133"/>
    <w:qFormat/>
    <w:uiPriority w:val="31"/>
    <w:rPr>
      <w:smallCaps/>
      <w:color w:val="C0504D" w:themeColor="accent2"/>
      <w:u w:val="single"/>
      <w14:textFill>
        <w14:solidFill>
          <w14:schemeClr w14:val="accent2"/>
        </w14:solidFill>
      </w14:textFill>
    </w:rPr>
  </w:style>
  <w:style w:type="character" w:customStyle="1" w:styleId="162">
    <w:name w:val="Intense Reference"/>
    <w:basedOn w:val="133"/>
    <w:qFormat/>
    <w:uiPriority w:val="32"/>
    <w:rPr>
      <w:b/>
      <w:bCs/>
      <w:smallCaps/>
      <w:color w:val="C0504D" w:themeColor="accent2"/>
      <w:spacing w:val="5"/>
      <w:u w:val="single"/>
      <w14:textFill>
        <w14:solidFill>
          <w14:schemeClr w14:val="accent2"/>
        </w14:solidFill>
      </w14:textFill>
    </w:rPr>
  </w:style>
  <w:style w:type="character" w:customStyle="1" w:styleId="163">
    <w:name w:val="Book Title"/>
    <w:basedOn w:val="133"/>
    <w:qFormat/>
    <w:uiPriority w:val="33"/>
    <w:rPr>
      <w:b/>
      <w:bCs/>
      <w:smallCaps/>
      <w:spacing w:val="5"/>
    </w:rPr>
  </w:style>
  <w:style w:type="paragraph" w:customStyle="1" w:styleId="164">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1823</Words>
  <Characters>11115</Characters>
  <Lines>0</Lines>
  <Paragraphs>0</Paragraphs>
  <TotalTime>29</TotalTime>
  <ScaleCrop>false</ScaleCrop>
  <LinksUpToDate>false</LinksUpToDate>
  <CharactersWithSpaces>12817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Atomic bomb</cp:lastModifiedBy>
  <dcterms:modified xsi:type="dcterms:W3CDTF">2026-08-18T02:47:13Z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eyJoZGlkIjoiYjk5ODM0YmMxOWJiYWQyNDU4MGIzYWRmYTA0ZmI5NDciLCJ1c2VySWQiOiI3Njg1OTc5ODAifQ==</vt:lpwstr>
  </property>
  <property fmtid="{D5CDD505-2E9C-101B-9397-08002B2CF9AE}" pid="3" name="KSOProductBuildVer">
    <vt:lpwstr>2052-12.1.0.28043</vt:lpwstr>
  </property>
  <property fmtid="{D5CDD505-2E9C-101B-9397-08002B2CF9AE}" pid="4" name="ICV">
    <vt:lpwstr>40911B8BF6B04FDD8A20F57D6A656467_12</vt:lpwstr>
  </property>
</Properties>
</file>