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F3F" w14:textId="77777777" w:rsidR="00B9167A" w:rsidRDefault="00B9167A" w:rsidP="00B9167A">
      <w:r>
        <w:t>《</w:t>
      </w:r>
      <w:r>
        <w:rPr>
          <w:rFonts w:hint="eastAsia"/>
        </w:rPr>
        <w:t>瑜伽師地論</w:t>
      </w:r>
      <w:r>
        <w:t>》</w:t>
      </w:r>
      <w:r>
        <w:rPr>
          <w:rFonts w:hint="eastAsia"/>
        </w:rPr>
        <w:t>卷五：</w:t>
      </w:r>
    </w:p>
    <w:p w14:paraId="3DE71D16" w14:textId="25EF822D" w:rsidR="00B9167A" w:rsidRDefault="00B9167A" w:rsidP="00847CDB">
      <w:pPr>
        <w:pStyle w:val="a9"/>
        <w:numPr>
          <w:ilvl w:val="0"/>
          <w:numId w:val="1"/>
        </w:numPr>
        <w:adjustRightInd w:val="0"/>
        <w:ind w:leftChars="0" w:left="482" w:hanging="482"/>
      </w:pPr>
      <w:r w:rsidRPr="00B9167A">
        <w:rPr>
          <w:rFonts w:hint="eastAsia"/>
          <w:b/>
          <w:bCs/>
        </w:rPr>
        <w:t>等流果</w:t>
      </w:r>
      <w:r>
        <w:rPr>
          <w:rFonts w:hint="eastAsia"/>
        </w:rPr>
        <w:t>：</w:t>
      </w:r>
      <w:r w:rsidRPr="00B9167A">
        <w:rPr>
          <w:rFonts w:hint="eastAsia"/>
        </w:rPr>
        <w:t>習不善故，樂住不善，不善法增。修習善故，樂住善法，善法增長。或似先業，後果隨轉，是名等流果。</w:t>
      </w:r>
    </w:p>
    <w:p w14:paraId="6653AFBA" w14:textId="77777777" w:rsidR="00B9167A" w:rsidRDefault="00B9167A" w:rsidP="00847CDB">
      <w:pPr>
        <w:pStyle w:val="a9"/>
        <w:numPr>
          <w:ilvl w:val="0"/>
          <w:numId w:val="1"/>
        </w:numPr>
        <w:ind w:leftChars="0" w:left="482" w:hanging="482"/>
      </w:pPr>
      <w:r w:rsidRPr="00B9167A">
        <w:rPr>
          <w:rFonts w:hint="eastAsia"/>
          <w:b/>
          <w:bCs/>
        </w:rPr>
        <w:t>異熟果</w:t>
      </w:r>
      <w:r>
        <w:rPr>
          <w:rFonts w:hint="eastAsia"/>
        </w:rPr>
        <w:t>：</w:t>
      </w:r>
      <w:r w:rsidRPr="00B9167A">
        <w:rPr>
          <w:rFonts w:hint="eastAsia"/>
        </w:rPr>
        <w:t>諸不善法，於諸惡趣受異熟果；善有漏法，於諸善趣受異熟果，是名異熟果。</w:t>
      </w:r>
    </w:p>
    <w:p w14:paraId="33897180" w14:textId="77777777" w:rsidR="00B9167A" w:rsidRDefault="00B9167A" w:rsidP="00847CDB">
      <w:pPr>
        <w:pStyle w:val="a9"/>
        <w:numPr>
          <w:ilvl w:val="0"/>
          <w:numId w:val="1"/>
        </w:numPr>
        <w:adjustRightInd w:val="0"/>
        <w:ind w:leftChars="0" w:left="482" w:hanging="482"/>
      </w:pPr>
      <w:r w:rsidRPr="00B9167A">
        <w:rPr>
          <w:rFonts w:hint="eastAsia"/>
          <w:b/>
          <w:bCs/>
        </w:rPr>
        <w:t>增上果</w:t>
      </w:r>
      <w:r>
        <w:rPr>
          <w:rFonts w:hint="eastAsia"/>
        </w:rPr>
        <w:t>：</w:t>
      </w:r>
      <w:r w:rsidRPr="00B9167A">
        <w:rPr>
          <w:rFonts w:hint="eastAsia"/>
        </w:rPr>
        <w:t>若眼識等，是眼根增上果，乃至意識等，是意根增上果。</w:t>
      </w:r>
    </w:p>
    <w:p w14:paraId="3AD409CD" w14:textId="77777777" w:rsidR="00B9167A" w:rsidRDefault="00B9167A" w:rsidP="00847CDB">
      <w:pPr>
        <w:pStyle w:val="a9"/>
        <w:numPr>
          <w:ilvl w:val="0"/>
          <w:numId w:val="1"/>
        </w:numPr>
        <w:adjustRightInd w:val="0"/>
        <w:ind w:leftChars="0" w:left="482" w:hanging="482"/>
      </w:pPr>
      <w:r w:rsidRPr="00B9167A">
        <w:rPr>
          <w:rFonts w:hint="eastAsia"/>
          <w:b/>
          <w:bCs/>
        </w:rPr>
        <w:t>士用果</w:t>
      </w:r>
      <w:r>
        <w:rPr>
          <w:rFonts w:hint="eastAsia"/>
        </w:rPr>
        <w:t>：</w:t>
      </w:r>
      <w:r w:rsidRPr="00B9167A">
        <w:rPr>
          <w:rFonts w:hint="eastAsia"/>
        </w:rPr>
        <w:t>諸有一類，於現法中，依止隨一工巧業處，起士夫用，所謂農作、商賈、事王、書畫、算數、占卜等事，由此成辦諸稼穡等財利等果，是名士用果。</w:t>
      </w:r>
    </w:p>
    <w:p w14:paraId="7388D031" w14:textId="62A7D605" w:rsidR="00B9167A" w:rsidRDefault="00B9167A" w:rsidP="00847CDB">
      <w:pPr>
        <w:pStyle w:val="a9"/>
        <w:numPr>
          <w:ilvl w:val="0"/>
          <w:numId w:val="1"/>
        </w:numPr>
        <w:adjustRightInd w:val="0"/>
        <w:ind w:leftChars="0" w:left="482" w:hanging="482"/>
      </w:pPr>
      <w:r w:rsidRPr="00B9167A">
        <w:rPr>
          <w:rFonts w:hint="eastAsia"/>
          <w:b/>
          <w:bCs/>
        </w:rPr>
        <w:t>離繫果</w:t>
      </w:r>
      <w:r>
        <w:rPr>
          <w:rFonts w:hint="eastAsia"/>
        </w:rPr>
        <w:t>：</w:t>
      </w:r>
      <w:r w:rsidRPr="00B9167A">
        <w:rPr>
          <w:rFonts w:hint="eastAsia"/>
        </w:rPr>
        <w:t>八支聖道，滅諸煩惱，名離繫果。若諸異生，以世俗道滅諸煩惱，不究竟故，非離繫果</w:t>
      </w:r>
      <w:r>
        <w:rPr>
          <w:rFonts w:hint="eastAsia"/>
        </w:rPr>
        <w:t>。</w:t>
      </w:r>
    </w:p>
    <w:p w14:paraId="5BCA5F26" w14:textId="0B7D774E" w:rsidR="00B9167A" w:rsidRDefault="00B9167A" w:rsidP="00B9167A"/>
    <w:p w14:paraId="675699DD" w14:textId="0059ABC6" w:rsidR="00B9167A" w:rsidRDefault="00B9167A" w:rsidP="00B9167A"/>
    <w:p w14:paraId="0B1F8168" w14:textId="52B42848" w:rsidR="00B9167A" w:rsidRDefault="00B9167A" w:rsidP="00B9167A"/>
    <w:p w14:paraId="647A2E88" w14:textId="77777777" w:rsidR="00B9167A" w:rsidRDefault="00B9167A" w:rsidP="00B9167A"/>
    <w:p w14:paraId="562539A7" w14:textId="77777777" w:rsidR="00B9167A" w:rsidRPr="00B9167A" w:rsidRDefault="00B916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3029"/>
        <w:gridCol w:w="895"/>
        <w:gridCol w:w="2078"/>
        <w:gridCol w:w="1193"/>
        <w:gridCol w:w="1999"/>
      </w:tblGrid>
      <w:tr w:rsidR="00AD1F9A" w14:paraId="72C90110" w14:textId="77777777" w:rsidTr="00AD1F9A">
        <w:trPr>
          <w:cantSplit/>
        </w:trPr>
        <w:tc>
          <w:tcPr>
            <w:tcW w:w="9736" w:type="dxa"/>
            <w:gridSpan w:val="6"/>
            <w:tcBorders>
              <w:bottom w:val="double" w:sz="4" w:space="0" w:color="auto"/>
            </w:tcBorders>
            <w:vAlign w:val="center"/>
          </w:tcPr>
          <w:p w14:paraId="2A615365" w14:textId="0CCDB2C9" w:rsidR="00AD1F9A" w:rsidRDefault="00AD1F9A" w:rsidP="0009402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有因果法</w:t>
            </w:r>
          </w:p>
        </w:tc>
      </w:tr>
      <w:tr w:rsidR="00AD1F9A" w14:paraId="74F7E12B" w14:textId="77777777" w:rsidTr="00AD1F9A">
        <w:trPr>
          <w:cantSplit/>
        </w:trPr>
        <w:tc>
          <w:tcPr>
            <w:tcW w:w="35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AA592" w14:textId="77777777" w:rsidR="00AD1F9A" w:rsidRDefault="00AD1F9A" w:rsidP="000940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有因法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E9519" w14:textId="77777777" w:rsidR="00AD1F9A" w:rsidRDefault="00AD1F9A" w:rsidP="000940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</w:t>
            </w:r>
          </w:p>
        </w:tc>
        <w:tc>
          <w:tcPr>
            <w:tcW w:w="3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ACFB9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由何因導致)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有果法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5FDEEC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能得所得)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果</w:t>
            </w:r>
          </w:p>
        </w:tc>
      </w:tr>
      <w:tr w:rsidR="00AD1F9A" w14:paraId="5E93D1C0" w14:textId="77777777" w:rsidTr="00AD1F9A">
        <w:tc>
          <w:tcPr>
            <w:tcW w:w="542" w:type="dxa"/>
            <w:tcBorders>
              <w:top w:val="double" w:sz="4" w:space="0" w:color="auto"/>
              <w:right w:val="double" w:sz="4" w:space="0" w:color="auto"/>
            </w:tcBorders>
          </w:tcPr>
          <w:p w14:paraId="64861BDD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3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E7E732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三性法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善、不善、無記法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9D30F1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生起因</w:t>
            </w:r>
          </w:p>
        </w:tc>
        <w:tc>
          <w:tcPr>
            <w:tcW w:w="32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6B8E34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三性未被損害種子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</w:tcBorders>
          </w:tcPr>
          <w:p w14:paraId="343B3603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等流果</w:t>
            </w:r>
          </w:p>
        </w:tc>
      </w:tr>
      <w:tr w:rsidR="00AD1F9A" w14:paraId="41902597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67E2A996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7D90BC7A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三界異熟果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349B7E1F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C423105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業、煩惱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225F6AC7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異熟果</w:t>
            </w:r>
          </w:p>
        </w:tc>
      </w:tr>
      <w:tr w:rsidR="00AD1F9A" w14:paraId="7C03BCD2" w14:textId="77777777" w:rsidTr="00AD1F9A">
        <w:tc>
          <w:tcPr>
            <w:tcW w:w="542" w:type="dxa"/>
            <w:tcBorders>
              <w:right w:val="double" w:sz="4" w:space="0" w:color="auto"/>
            </w:tcBorders>
            <w:vAlign w:val="center"/>
          </w:tcPr>
          <w:p w14:paraId="51FEEEC4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1AB809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有情生</w:t>
            </w:r>
            <w:r>
              <w:rPr>
                <w:rFonts w:eastAsia="標楷體" w:hint="eastAsia"/>
              </w:rPr>
              <w:t xml:space="preserve">  (</w:t>
            </w:r>
            <w:r>
              <w:rPr>
                <w:rFonts w:eastAsia="標楷體" w:hint="eastAsia"/>
              </w:rPr>
              <w:t>胎、濕、卵生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2FB26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2078" w:type="dxa"/>
            <w:tcBorders>
              <w:left w:val="double" w:sz="4" w:space="0" w:color="auto"/>
            </w:tcBorders>
          </w:tcPr>
          <w:p w14:paraId="3B39BE64" w14:textId="73B69CCF" w:rsidR="00AD1F9A" w:rsidRDefault="00AD1F9A" w:rsidP="00094023">
            <w:pPr>
              <w:framePr w:hSpace="180" w:wrap="around" w:vAnchor="page" w:hAnchor="text" w:x="217" w:y="1135"/>
              <w:autoSpaceDE w:val="0"/>
              <w:autoSpaceDN w:val="0"/>
              <w:adjustRightInd w:val="0"/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三處現前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胎生</w:t>
            </w:r>
            <w:r>
              <w:rPr>
                <w:rFonts w:eastAsia="標楷體"/>
              </w:rPr>
              <w:t xml:space="preserve"> </w:t>
            </w:r>
          </w:p>
          <w:p w14:paraId="3149D726" w14:textId="77777777" w:rsidR="00AD1F9A" w:rsidRDefault="00AD1F9A" w:rsidP="00094023">
            <w:pPr>
              <w:framePr w:hSpace="180" w:wrap="around" w:vAnchor="page" w:hAnchor="text" w:x="217" w:y="1135"/>
              <w:autoSpaceDE w:val="0"/>
              <w:autoSpaceDN w:val="0"/>
              <w:adjustRightInd w:val="0"/>
              <w:ind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濕和合故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濕生</w:t>
            </w:r>
          </w:p>
          <w:p w14:paraId="78CF97F4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卵殼藏中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卵生</w:t>
            </w:r>
          </w:p>
        </w:tc>
        <w:tc>
          <w:tcPr>
            <w:tcW w:w="1193" w:type="dxa"/>
            <w:tcBorders>
              <w:right w:val="double" w:sz="4" w:space="0" w:color="auto"/>
            </w:tcBorders>
          </w:tcPr>
          <w:p w14:paraId="4F0572F6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其母調適、中有現前、正起愛染</w:t>
            </w:r>
          </w:p>
        </w:tc>
        <w:tc>
          <w:tcPr>
            <w:tcW w:w="1999" w:type="dxa"/>
            <w:tcBorders>
              <w:left w:val="double" w:sz="4" w:space="0" w:color="auto"/>
            </w:tcBorders>
            <w:vAlign w:val="center"/>
          </w:tcPr>
          <w:p w14:paraId="1F182302" w14:textId="77777777" w:rsidR="00AD1F9A" w:rsidRDefault="00AD1F9A" w:rsidP="00094023">
            <w:r>
              <w:rPr>
                <w:rFonts w:eastAsia="標楷體" w:hint="eastAsia"/>
              </w:rPr>
              <w:t>增上果</w:t>
            </w:r>
          </w:p>
        </w:tc>
      </w:tr>
      <w:tr w:rsidR="00AD1F9A" w14:paraId="00C34F48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366FADDD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04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756DCE93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六識生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109ACEB2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同事因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DF84EB8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眼色乃至意法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59F0AA54" w14:textId="77777777" w:rsidR="00AD1F9A" w:rsidRDefault="00AD1F9A" w:rsidP="00094023">
            <w:r>
              <w:rPr>
                <w:rFonts w:eastAsia="標楷體" w:hint="eastAsia"/>
              </w:rPr>
              <w:t>增上果</w:t>
            </w:r>
          </w:p>
        </w:tc>
      </w:tr>
      <w:tr w:rsidR="00AD1F9A" w14:paraId="12F98DC7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5FC52CCF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2A54EF1F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同行相應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心心所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1766491D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同事因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0F90A3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俱生諸心心所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522C9268" w14:textId="77777777" w:rsidR="00AD1F9A" w:rsidRDefault="00AD1F9A" w:rsidP="00094023">
            <w:r>
              <w:rPr>
                <w:rFonts w:eastAsia="標楷體" w:hint="eastAsia"/>
              </w:rPr>
              <w:t>增上果</w:t>
            </w:r>
          </w:p>
        </w:tc>
      </w:tr>
      <w:tr w:rsidR="00AD1F9A" w14:paraId="716A0252" w14:textId="77777777" w:rsidTr="00AD1F9A">
        <w:trPr>
          <w:cantSplit/>
        </w:trPr>
        <w:tc>
          <w:tcPr>
            <w:tcW w:w="542" w:type="dxa"/>
            <w:vMerge w:val="restart"/>
            <w:tcBorders>
              <w:right w:val="double" w:sz="4" w:space="0" w:color="auto"/>
            </w:tcBorders>
            <w:vAlign w:val="center"/>
          </w:tcPr>
          <w:p w14:paraId="0AC0D7A6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06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231DB24E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不善法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454E1A40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051E0C4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近惡友、聞非正法、不正思惟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40289F09" w14:textId="77777777" w:rsidR="00AD1F9A" w:rsidRDefault="00AD1F9A" w:rsidP="00094023">
            <w:r>
              <w:rPr>
                <w:rFonts w:eastAsia="標楷體" w:hint="eastAsia"/>
              </w:rPr>
              <w:t>增上果</w:t>
            </w:r>
          </w:p>
        </w:tc>
      </w:tr>
      <w:tr w:rsidR="00AD1F9A" w14:paraId="688601AC" w14:textId="77777777" w:rsidTr="00AD1F9A">
        <w:trPr>
          <w:cantSplit/>
        </w:trPr>
        <w:tc>
          <w:tcPr>
            <w:tcW w:w="542" w:type="dxa"/>
            <w:vMerge/>
            <w:tcBorders>
              <w:right w:val="double" w:sz="4" w:space="0" w:color="auto"/>
            </w:tcBorders>
          </w:tcPr>
          <w:p w14:paraId="0AE7ECC4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7E72E11C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善法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1832DB12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20B0A97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近善友、聽聞正法、如理思惟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2CA246E1" w14:textId="77777777" w:rsidR="00AD1F9A" w:rsidRDefault="00AD1F9A" w:rsidP="00094023">
            <w:r>
              <w:rPr>
                <w:rFonts w:eastAsia="標楷體" w:hint="eastAsia"/>
              </w:rPr>
              <w:t>增上果</w:t>
            </w:r>
          </w:p>
        </w:tc>
      </w:tr>
      <w:tr w:rsidR="00AD1F9A" w14:paraId="604CFC1E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77FB1ED0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07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77DA1103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邪精進等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憂苦住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03CB9F3F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5A8F0CE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染污住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無果劬勞</w:t>
            </w:r>
            <w:r>
              <w:rPr>
                <w:rFonts w:eastAsia="標楷體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2D2ADC2A" w14:textId="77777777" w:rsidR="00AD1F9A" w:rsidRDefault="00AD1F9A" w:rsidP="00094023">
            <w:r>
              <w:rPr>
                <w:rFonts w:eastAsia="標楷體" w:hint="eastAsia"/>
              </w:rPr>
              <w:t>士用果</w:t>
            </w:r>
          </w:p>
        </w:tc>
      </w:tr>
      <w:tr w:rsidR="00AD1F9A" w14:paraId="6088D870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0470E1F8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79999D1D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正精進等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喜樂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152D6051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8D4C3CB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不染污住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有果劬勞</w:t>
            </w:r>
            <w:r>
              <w:rPr>
                <w:rFonts w:eastAsia="標楷體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6567F758" w14:textId="77777777" w:rsidR="00AD1F9A" w:rsidRDefault="00AD1F9A" w:rsidP="00094023">
            <w:r>
              <w:rPr>
                <w:rFonts w:eastAsia="標楷體" w:hint="eastAsia"/>
              </w:rPr>
              <w:t>士用果</w:t>
            </w:r>
          </w:p>
        </w:tc>
      </w:tr>
      <w:tr w:rsidR="00AD1F9A" w14:paraId="672A6921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7CE428FC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580545C1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色、無色界定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5D51E0D7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2B8F3E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世間道離欲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能引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07231006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世間離繫之增上果</w:t>
            </w:r>
          </w:p>
        </w:tc>
      </w:tr>
      <w:tr w:rsidR="00AD1F9A" w14:paraId="1B869893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6110049B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3E8DA48C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往生上地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所引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5AEE5A76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114546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色、無色界定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能引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029B5132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世間離繫之增上果</w:t>
            </w:r>
          </w:p>
        </w:tc>
      </w:tr>
      <w:tr w:rsidR="00AD1F9A" w14:paraId="5CD5B867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1597F5BB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01BAC581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出世聖道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所引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75378CAC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F1CA622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色、無色界定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能引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391E5CAA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究竟離繫增上果</w:t>
            </w:r>
          </w:p>
        </w:tc>
      </w:tr>
      <w:tr w:rsidR="00AD1F9A" w14:paraId="3716DF3B" w14:textId="77777777" w:rsidTr="00AD1F9A">
        <w:tc>
          <w:tcPr>
            <w:tcW w:w="542" w:type="dxa"/>
            <w:tcBorders>
              <w:right w:val="double" w:sz="4" w:space="0" w:color="auto"/>
            </w:tcBorders>
          </w:tcPr>
          <w:p w14:paraId="0E102EAC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3029" w:type="dxa"/>
            <w:tcBorders>
              <w:left w:val="double" w:sz="4" w:space="0" w:color="auto"/>
              <w:right w:val="double" w:sz="4" w:space="0" w:color="auto"/>
            </w:tcBorders>
          </w:tcPr>
          <w:p w14:paraId="1DDB3B80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所證涅槃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所證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95" w:type="dxa"/>
            <w:tcBorders>
              <w:left w:val="double" w:sz="4" w:space="0" w:color="auto"/>
              <w:right w:val="double" w:sz="4" w:space="0" w:color="auto"/>
            </w:tcBorders>
          </w:tcPr>
          <w:p w14:paraId="7E866E1F" w14:textId="77777777" w:rsidR="00AD1F9A" w:rsidRDefault="00AD1F9A" w:rsidP="00094023">
            <w:r>
              <w:rPr>
                <w:rFonts w:eastAsia="標楷體" w:hint="eastAsia"/>
              </w:rPr>
              <w:t>引發因</w:t>
            </w:r>
          </w:p>
        </w:tc>
        <w:tc>
          <w:tcPr>
            <w:tcW w:w="327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63B8630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出世聖道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能證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99" w:type="dxa"/>
            <w:tcBorders>
              <w:left w:val="double" w:sz="4" w:space="0" w:color="auto"/>
            </w:tcBorders>
          </w:tcPr>
          <w:p w14:paraId="34979AB5" w14:textId="77777777" w:rsidR="00AD1F9A" w:rsidRDefault="00AD1F9A" w:rsidP="0009402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究竟離繫增上果</w:t>
            </w:r>
          </w:p>
        </w:tc>
      </w:tr>
    </w:tbl>
    <w:p w14:paraId="5AF01712" w14:textId="3EFA6C63" w:rsidR="004B1D42" w:rsidRDefault="004B1D42"/>
    <w:p w14:paraId="281CEAFB" w14:textId="5F3DE84D" w:rsidR="00AD1F9A" w:rsidRDefault="00AD1F9A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引用常柏法師整理資料</w:t>
      </w:r>
    </w:p>
    <w:p w14:paraId="664C3AD1" w14:textId="349C5979" w:rsidR="00AD1F9A" w:rsidRDefault="00AD1F9A"/>
    <w:p w14:paraId="6D21385E" w14:textId="2E7C5DF1" w:rsidR="006E7532" w:rsidRDefault="006E7532"/>
    <w:p w14:paraId="742CC0B0" w14:textId="77777777" w:rsidR="006E7532" w:rsidRDefault="006E7532">
      <w:pPr>
        <w:rPr>
          <w:rFonts w:hint="eastAsia"/>
        </w:rPr>
      </w:pPr>
    </w:p>
    <w:p w14:paraId="001C1447" w14:textId="62BB9FF6" w:rsidR="00AD1F9A" w:rsidRDefault="00AD1F9A"/>
    <w:p w14:paraId="7C515427" w14:textId="77777777" w:rsidR="00307E6E" w:rsidRDefault="00307E6E" w:rsidP="00307E6E">
      <w:r>
        <w:rPr>
          <w:rFonts w:hint="eastAsia"/>
        </w:rPr>
        <w:lastRenderedPageBreak/>
        <w:t>P.1908</w:t>
      </w:r>
    </w:p>
    <w:p w14:paraId="6073E387" w14:textId="58EC9AB7" w:rsidR="00106E15" w:rsidRPr="00106E15" w:rsidRDefault="00106E15" w:rsidP="006E7532">
      <w:pPr>
        <w:rPr>
          <w:b/>
          <w:bCs/>
          <w:color w:val="00B050"/>
          <w:sz w:val="28"/>
          <w:szCs w:val="28"/>
        </w:rPr>
      </w:pPr>
      <w:r w:rsidRPr="00106E15">
        <w:rPr>
          <w:b/>
          <w:bCs/>
          <w:color w:val="00B050"/>
          <w:sz w:val="28"/>
          <w:szCs w:val="28"/>
        </w:rPr>
        <w:t>應修法</w:t>
      </w:r>
    </w:p>
    <w:p w14:paraId="5CD8CF73" w14:textId="1DF52407" w:rsidR="006E7532" w:rsidRDefault="006E7532" w:rsidP="006E7532">
      <w:r>
        <w:t>《</w:t>
      </w:r>
      <w:r>
        <w:rPr>
          <w:rFonts w:hint="eastAsia"/>
        </w:rPr>
        <w:t>瑜伽師地論</w:t>
      </w:r>
      <w:r>
        <w:t>》</w:t>
      </w:r>
      <w:r>
        <w:rPr>
          <w:rFonts w:hint="eastAsia"/>
        </w:rPr>
        <w:t>卷</w:t>
      </w:r>
      <w:r>
        <w:rPr>
          <w:rFonts w:hint="eastAsia"/>
        </w:rPr>
        <w:t>34</w:t>
      </w:r>
    </w:p>
    <w:p w14:paraId="10DBD721" w14:textId="6B44BA6E" w:rsidR="006E7532" w:rsidRPr="00C6020C" w:rsidRDefault="00C6020C">
      <w:pPr>
        <w:rPr>
          <w:b/>
          <w:bCs/>
          <w:color w:val="C45911" w:themeColor="accent2" w:themeShade="BF"/>
        </w:rPr>
      </w:pPr>
      <w:r w:rsidRPr="00C6020C">
        <w:rPr>
          <w:b/>
          <w:bCs/>
          <w:color w:val="C45911" w:themeColor="accent2" w:themeShade="BF"/>
        </w:rPr>
        <w:t>丑一、得修</w:t>
      </w:r>
    </w:p>
    <w:p w14:paraId="46B0F596" w14:textId="0D9E1AB6" w:rsidR="00C6020C" w:rsidRPr="00C6020C" w:rsidRDefault="00C6020C">
      <w:r w:rsidRPr="00C6020C">
        <w:t>「有一類法由修故得。」</w:t>
      </w:r>
    </w:p>
    <w:p w14:paraId="7A528602" w14:textId="0DCA99EE" w:rsidR="00C6020C" w:rsidRPr="00C6020C" w:rsidRDefault="00C6020C">
      <w:pPr>
        <w:rPr>
          <w:b/>
          <w:bCs/>
          <w:color w:val="C45911" w:themeColor="accent2" w:themeShade="BF"/>
        </w:rPr>
      </w:pPr>
      <w:r w:rsidRPr="00C6020C">
        <w:rPr>
          <w:b/>
          <w:bCs/>
          <w:color w:val="C45911" w:themeColor="accent2" w:themeShade="BF"/>
        </w:rPr>
        <w:t>丑二、習修</w:t>
      </w:r>
    </w:p>
    <w:p w14:paraId="307FF03E" w14:textId="0B439C33" w:rsidR="00C6020C" w:rsidRPr="00C6020C" w:rsidRDefault="00C6020C">
      <w:r w:rsidRPr="00C6020C">
        <w:t>「有一類法由修故習、有一類法由修故淨」</w:t>
      </w:r>
    </w:p>
    <w:p w14:paraId="7D8F105B" w14:textId="4578D3D2" w:rsidR="00C6020C" w:rsidRPr="00C6020C" w:rsidRDefault="00C6020C">
      <w:pPr>
        <w:rPr>
          <w:b/>
          <w:bCs/>
          <w:color w:val="C45911" w:themeColor="accent2" w:themeShade="BF"/>
        </w:rPr>
      </w:pPr>
      <w:r w:rsidRPr="00C6020C">
        <w:rPr>
          <w:b/>
          <w:bCs/>
          <w:color w:val="C45911" w:themeColor="accent2" w:themeShade="BF"/>
        </w:rPr>
        <w:t>丑三、除去修</w:t>
      </w:r>
    </w:p>
    <w:p w14:paraId="47630797" w14:textId="05736D8C" w:rsidR="00C6020C" w:rsidRPr="00C6020C" w:rsidRDefault="00C6020C">
      <w:r w:rsidRPr="00C6020C">
        <w:t>「有一類法由修故遣」</w:t>
      </w:r>
    </w:p>
    <w:p w14:paraId="383E3487" w14:textId="10D568CA" w:rsidR="00C6020C" w:rsidRPr="00C6020C" w:rsidRDefault="00C6020C">
      <w:pPr>
        <w:rPr>
          <w:b/>
          <w:bCs/>
          <w:color w:val="C45911" w:themeColor="accent2" w:themeShade="BF"/>
        </w:rPr>
      </w:pPr>
      <w:r w:rsidRPr="00C6020C">
        <w:rPr>
          <w:b/>
          <w:bCs/>
          <w:color w:val="C45911" w:themeColor="accent2" w:themeShade="BF"/>
        </w:rPr>
        <w:t>丑四、對治修</w:t>
      </w:r>
    </w:p>
    <w:p w14:paraId="3CBA571D" w14:textId="0E1B5571" w:rsidR="006E7532" w:rsidRPr="00C6020C" w:rsidRDefault="006E7532" w:rsidP="00C6020C">
      <w:pPr>
        <w:ind w:leftChars="118" w:left="283"/>
        <w:rPr>
          <w:b/>
          <w:bCs/>
          <w:color w:val="0070C0"/>
        </w:rPr>
      </w:pPr>
      <w:r w:rsidRPr="00C6020C">
        <w:rPr>
          <w:b/>
          <w:bCs/>
          <w:color w:val="0070C0"/>
        </w:rPr>
        <w:t>卯一、厭患對治</w:t>
      </w:r>
    </w:p>
    <w:p w14:paraId="3C58C578" w14:textId="5367A2C2" w:rsidR="006E7532" w:rsidRDefault="006E7532" w:rsidP="00C6020C">
      <w:pPr>
        <w:ind w:leftChars="118" w:left="283"/>
        <w:rPr>
          <w:rFonts w:hint="eastAsia"/>
        </w:rPr>
      </w:pPr>
      <w:r w:rsidRPr="006E7532">
        <w:t>「有一類法由修故知。又說：若未生起所應斷法，修善法力了知如病深心厭壞。了知如癰如箭障礙無常苦空及以無我深心厭壞，名修故知。」</w:t>
      </w:r>
    </w:p>
    <w:p w14:paraId="034C2698" w14:textId="3F461D42" w:rsidR="006E7532" w:rsidRPr="00C6020C" w:rsidRDefault="006E7532" w:rsidP="00C6020C">
      <w:pPr>
        <w:ind w:leftChars="118" w:left="283"/>
        <w:rPr>
          <w:b/>
          <w:bCs/>
          <w:color w:val="0070C0"/>
        </w:rPr>
      </w:pPr>
      <w:r w:rsidRPr="00C6020C">
        <w:rPr>
          <w:b/>
          <w:bCs/>
          <w:color w:val="0070C0"/>
        </w:rPr>
        <w:t>卯二、斷對治</w:t>
      </w:r>
    </w:p>
    <w:p w14:paraId="7FDD5619" w14:textId="2800B9E0" w:rsidR="006E7532" w:rsidRPr="006E7532" w:rsidRDefault="006E7532" w:rsidP="00C6020C">
      <w:pPr>
        <w:ind w:leftChars="118" w:left="283"/>
      </w:pPr>
      <w:r w:rsidRPr="006E7532">
        <w:t>「有一類法由修故斷。又說：如是知已數修習。故無間道生斷諸煩惱，名修故斷。」。</w:t>
      </w:r>
    </w:p>
    <w:p w14:paraId="5660AE24" w14:textId="3CD0746F" w:rsidR="006E7532" w:rsidRPr="00C6020C" w:rsidRDefault="006E7532" w:rsidP="00C6020C">
      <w:pPr>
        <w:ind w:leftChars="118" w:left="283"/>
        <w:rPr>
          <w:b/>
          <w:bCs/>
          <w:color w:val="0070C0"/>
        </w:rPr>
      </w:pPr>
      <w:r w:rsidRPr="00C6020C">
        <w:rPr>
          <w:b/>
          <w:bCs/>
          <w:color w:val="0070C0"/>
        </w:rPr>
        <w:t>卯三、持對治</w:t>
      </w:r>
    </w:p>
    <w:p w14:paraId="240F9AD8" w14:textId="7759B620" w:rsidR="006E7532" w:rsidRPr="006E7532" w:rsidRDefault="006E7532" w:rsidP="00C6020C">
      <w:pPr>
        <w:ind w:leftChars="118" w:left="283"/>
      </w:pPr>
      <w:r w:rsidRPr="006E7532">
        <w:t>「有一類法由修故證。又說：煩惱斷已證得解脫，名修故證。」。</w:t>
      </w:r>
    </w:p>
    <w:p w14:paraId="076DD6D2" w14:textId="5D03C731" w:rsidR="006E7532" w:rsidRPr="00C6020C" w:rsidRDefault="006E7532" w:rsidP="00C6020C">
      <w:pPr>
        <w:ind w:leftChars="118" w:left="283"/>
        <w:rPr>
          <w:b/>
          <w:bCs/>
          <w:color w:val="0070C0"/>
        </w:rPr>
      </w:pPr>
      <w:r w:rsidRPr="00C6020C">
        <w:rPr>
          <w:b/>
          <w:bCs/>
          <w:color w:val="0070C0"/>
        </w:rPr>
        <w:t>卯四、遠分對治</w:t>
      </w:r>
    </w:p>
    <w:p w14:paraId="74FD7F69" w14:textId="3DA47D5E" w:rsidR="006E7532" w:rsidRDefault="006E7532" w:rsidP="00C6020C">
      <w:pPr>
        <w:ind w:leftChars="118" w:left="283"/>
      </w:pPr>
      <w:r w:rsidRPr="006E7532">
        <w:t>「有一類法由修故遠，又說：如如進趣上地善法，如是如是令其下地已斷，諸法轉成遠分乃至究竟，名修故遠。」。</w:t>
      </w:r>
    </w:p>
    <w:p w14:paraId="5D40FB6C" w14:textId="5716491D" w:rsidR="00AD1F9A" w:rsidRDefault="00AD1F9A">
      <w:pPr>
        <w:widowControl/>
      </w:pPr>
    </w:p>
    <w:p w14:paraId="0CFFBB93" w14:textId="49CBA84E" w:rsidR="00307E6E" w:rsidRDefault="00307E6E">
      <w:pPr>
        <w:widowControl/>
      </w:pPr>
    </w:p>
    <w:p w14:paraId="25049121" w14:textId="3B405BD5" w:rsidR="00307E6E" w:rsidRDefault="00307E6E">
      <w:pPr>
        <w:widowControl/>
      </w:pPr>
    </w:p>
    <w:p w14:paraId="2F0FC0BD" w14:textId="0A61DBA5" w:rsidR="00307E6E" w:rsidRDefault="00307E6E">
      <w:pPr>
        <w:widowControl/>
      </w:pPr>
    </w:p>
    <w:p w14:paraId="6733F945" w14:textId="4FEEABF9" w:rsidR="00307E6E" w:rsidRDefault="00307E6E">
      <w:pPr>
        <w:widowControl/>
      </w:pPr>
    </w:p>
    <w:p w14:paraId="12485C7B" w14:textId="7D10992C" w:rsidR="00307E6E" w:rsidRDefault="00307E6E">
      <w:pPr>
        <w:widowControl/>
      </w:pPr>
    </w:p>
    <w:p w14:paraId="00D1198F" w14:textId="70CE3E11" w:rsidR="00307E6E" w:rsidRDefault="00307E6E">
      <w:pPr>
        <w:widowControl/>
      </w:pPr>
    </w:p>
    <w:p w14:paraId="332FF815" w14:textId="524CFDD7" w:rsidR="00307E6E" w:rsidRDefault="00307E6E">
      <w:pPr>
        <w:widowControl/>
      </w:pPr>
    </w:p>
    <w:p w14:paraId="6EB3147E" w14:textId="67261B7C" w:rsidR="00307E6E" w:rsidRDefault="00307E6E">
      <w:pPr>
        <w:widowControl/>
      </w:pPr>
    </w:p>
    <w:p w14:paraId="3BF94BAC" w14:textId="65D8E757" w:rsidR="00307E6E" w:rsidRDefault="00307E6E">
      <w:pPr>
        <w:widowControl/>
      </w:pPr>
    </w:p>
    <w:p w14:paraId="4D2FD6FC" w14:textId="3F576E58" w:rsidR="00307E6E" w:rsidRDefault="00307E6E">
      <w:pPr>
        <w:widowControl/>
      </w:pPr>
    </w:p>
    <w:p w14:paraId="1830F5EC" w14:textId="29570AF2" w:rsidR="00307E6E" w:rsidRDefault="00307E6E">
      <w:pPr>
        <w:widowControl/>
      </w:pPr>
    </w:p>
    <w:p w14:paraId="0B4B9FD6" w14:textId="6F3F97E0" w:rsidR="00307E6E" w:rsidRDefault="00307E6E">
      <w:pPr>
        <w:widowControl/>
      </w:pPr>
    </w:p>
    <w:p w14:paraId="75B262FC" w14:textId="578C4C11" w:rsidR="00307E6E" w:rsidRDefault="00307E6E">
      <w:pPr>
        <w:widowControl/>
      </w:pPr>
    </w:p>
    <w:p w14:paraId="3C4EFF05" w14:textId="3D9A2A4C" w:rsidR="00307E6E" w:rsidRDefault="00307E6E">
      <w:pPr>
        <w:widowControl/>
      </w:pPr>
    </w:p>
    <w:p w14:paraId="5E558A63" w14:textId="77777777" w:rsidR="00307E6E" w:rsidRDefault="00307E6E">
      <w:pPr>
        <w:widowControl/>
        <w:rPr>
          <w:rFonts w:hint="eastAsia"/>
        </w:rPr>
      </w:pPr>
    </w:p>
    <w:p w14:paraId="7B0BD2E2" w14:textId="0FA6289B" w:rsidR="000431EC" w:rsidRDefault="000431EC" w:rsidP="004B1D42">
      <w:pPr>
        <w:rPr>
          <w:rFonts w:ascii="標楷體" w:eastAsia="標楷體" w:hAnsi="標楷體"/>
          <w:color w:val="800080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62"/>
        <w:gridCol w:w="1621"/>
        <w:gridCol w:w="3242"/>
      </w:tblGrid>
      <w:tr w:rsidR="00C35084" w14:paraId="10CB7368" w14:textId="77777777" w:rsidTr="00937E08">
        <w:trPr>
          <w:trHeight w:val="227"/>
        </w:trPr>
        <w:tc>
          <w:tcPr>
            <w:tcW w:w="1980" w:type="dxa"/>
            <w:vMerge w:val="restart"/>
            <w:vAlign w:val="center"/>
          </w:tcPr>
          <w:p w14:paraId="4F1D56A5" w14:textId="77777777" w:rsid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lastRenderedPageBreak/>
              <w:t>見道所斷煩惱</w:t>
            </w:r>
          </w:p>
          <w:p w14:paraId="5057A0E4" w14:textId="5E613A4C" w:rsidR="00997EEA" w:rsidRPr="00C35084" w:rsidRDefault="00997EEA" w:rsidP="00C35084">
            <w:pPr>
              <w:jc w:val="center"/>
              <w:rPr>
                <w:rFonts w:ascii="文鼎細圓" w:eastAsia="文鼎細圓"/>
              </w:rPr>
            </w:pPr>
            <w:r>
              <w:rPr>
                <w:rFonts w:ascii="文鼎細圓" w:eastAsia="文鼎細圓" w:hint="eastAsia"/>
              </w:rPr>
              <w:t>(分別)</w:t>
            </w:r>
          </w:p>
        </w:tc>
        <w:tc>
          <w:tcPr>
            <w:tcW w:w="1262" w:type="dxa"/>
            <w:vMerge w:val="restart"/>
            <w:vAlign w:val="center"/>
          </w:tcPr>
          <w:p w14:paraId="4CC43753" w14:textId="45486F1E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欲界</w:t>
            </w:r>
          </w:p>
        </w:tc>
        <w:tc>
          <w:tcPr>
            <w:tcW w:w="1621" w:type="dxa"/>
            <w:vAlign w:val="center"/>
          </w:tcPr>
          <w:p w14:paraId="1E8B4598" w14:textId="0896F7BC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苦諦</w:t>
            </w:r>
          </w:p>
        </w:tc>
        <w:tc>
          <w:tcPr>
            <w:tcW w:w="3242" w:type="dxa"/>
            <w:vMerge w:val="restart"/>
          </w:tcPr>
          <w:p w14:paraId="4FCB16E3" w14:textId="6F5081C8" w:rsidR="00C35084" w:rsidRPr="000431EC" w:rsidRDefault="00C35084" w:rsidP="00937E08">
            <w:pPr>
              <w:widowControl/>
              <w:jc w:val="both"/>
              <w:rPr>
                <w:rFonts w:ascii="文鼎細圓" w:eastAsia="文鼎細圓" w:hAnsi="Calibri" w:cs="Calibri"/>
                <w:color w:val="000000"/>
                <w:kern w:val="0"/>
                <w:szCs w:val="24"/>
              </w:rPr>
            </w:pPr>
            <w:r w:rsidRPr="00C35084">
              <w:rPr>
                <w:rFonts w:ascii="文鼎細圓" w:eastAsia="文鼎細圓" w:hAnsi="標楷體" w:cs="Calibri" w:hint="eastAsia"/>
                <w:color w:val="000000"/>
                <w:kern w:val="0"/>
                <w:szCs w:val="24"/>
              </w:rPr>
              <w:t>(五利使)</w:t>
            </w:r>
            <w:r w:rsidRPr="000431EC">
              <w:rPr>
                <w:rFonts w:ascii="文鼎細圓" w:eastAsia="文鼎細圓" w:hAnsi="標楷體" w:cs="Calibri" w:hint="eastAsia"/>
                <w:color w:val="000000"/>
                <w:kern w:val="0"/>
                <w:szCs w:val="24"/>
              </w:rPr>
              <w:t>薩迦耶見、邊執見、邪見、見取見、戒禁取見</w:t>
            </w:r>
          </w:p>
          <w:p w14:paraId="04D28D6F" w14:textId="5FF52F0E" w:rsidR="00C35084" w:rsidRPr="00C35084" w:rsidRDefault="00C35084" w:rsidP="00937E08">
            <w:pPr>
              <w:jc w:val="both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Ansi="標楷體" w:cs="Calibri" w:hint="eastAsia"/>
                <w:color w:val="000000"/>
                <w:szCs w:val="24"/>
              </w:rPr>
              <w:t>(五鈍使)貪、恚、慢、無明、疑</w:t>
            </w:r>
          </w:p>
        </w:tc>
      </w:tr>
      <w:tr w:rsidR="00C35084" w14:paraId="7591D439" w14:textId="77777777" w:rsidTr="00C35084">
        <w:trPr>
          <w:trHeight w:val="224"/>
        </w:trPr>
        <w:tc>
          <w:tcPr>
            <w:tcW w:w="1980" w:type="dxa"/>
            <w:vMerge/>
            <w:vAlign w:val="center"/>
          </w:tcPr>
          <w:p w14:paraId="27A36061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41B528ED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5DEFF512" w14:textId="4BB65194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集諦</w:t>
            </w:r>
          </w:p>
        </w:tc>
        <w:tc>
          <w:tcPr>
            <w:tcW w:w="3242" w:type="dxa"/>
            <w:vMerge/>
            <w:vAlign w:val="center"/>
          </w:tcPr>
          <w:p w14:paraId="59999FBC" w14:textId="77777777" w:rsidR="00C35084" w:rsidRPr="00C35084" w:rsidRDefault="00C35084" w:rsidP="00C35084">
            <w:pPr>
              <w:widowControl/>
              <w:jc w:val="center"/>
              <w:rPr>
                <w:rFonts w:ascii="文鼎細圓" w:eastAsia="文鼎細圓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C35084" w14:paraId="2DD096DC" w14:textId="77777777" w:rsidTr="00C35084">
        <w:trPr>
          <w:trHeight w:val="224"/>
        </w:trPr>
        <w:tc>
          <w:tcPr>
            <w:tcW w:w="1980" w:type="dxa"/>
            <w:vMerge/>
            <w:vAlign w:val="center"/>
          </w:tcPr>
          <w:p w14:paraId="7687823E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479C8852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5B269F1C" w14:textId="4C4A586B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滅諦</w:t>
            </w:r>
          </w:p>
        </w:tc>
        <w:tc>
          <w:tcPr>
            <w:tcW w:w="3242" w:type="dxa"/>
            <w:vMerge/>
            <w:vAlign w:val="center"/>
          </w:tcPr>
          <w:p w14:paraId="73B2CF88" w14:textId="77777777" w:rsidR="00C35084" w:rsidRPr="00C35084" w:rsidRDefault="00C35084" w:rsidP="00C35084">
            <w:pPr>
              <w:widowControl/>
              <w:jc w:val="center"/>
              <w:rPr>
                <w:rFonts w:ascii="文鼎細圓" w:eastAsia="文鼎細圓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C35084" w14:paraId="153CC7FE" w14:textId="77777777" w:rsidTr="00C35084">
        <w:trPr>
          <w:trHeight w:val="224"/>
        </w:trPr>
        <w:tc>
          <w:tcPr>
            <w:tcW w:w="1980" w:type="dxa"/>
            <w:vMerge/>
            <w:vAlign w:val="center"/>
          </w:tcPr>
          <w:p w14:paraId="3638328A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24F7AFF3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4D25D29F" w14:textId="78948F9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道諦</w:t>
            </w:r>
          </w:p>
        </w:tc>
        <w:tc>
          <w:tcPr>
            <w:tcW w:w="3242" w:type="dxa"/>
            <w:vMerge/>
            <w:vAlign w:val="center"/>
          </w:tcPr>
          <w:p w14:paraId="3F0DF355" w14:textId="77777777" w:rsidR="00C35084" w:rsidRPr="00C35084" w:rsidRDefault="00C35084" w:rsidP="00C35084">
            <w:pPr>
              <w:widowControl/>
              <w:jc w:val="center"/>
              <w:rPr>
                <w:rFonts w:ascii="文鼎細圓" w:eastAsia="文鼎細圓" w:hAnsi="標楷體" w:cs="Calibri"/>
                <w:color w:val="000000"/>
                <w:kern w:val="0"/>
                <w:sz w:val="27"/>
                <w:szCs w:val="27"/>
              </w:rPr>
            </w:pPr>
          </w:p>
        </w:tc>
      </w:tr>
      <w:tr w:rsidR="00C35084" w14:paraId="68D97836" w14:textId="77777777" w:rsidTr="00C35084">
        <w:trPr>
          <w:trHeight w:val="204"/>
        </w:trPr>
        <w:tc>
          <w:tcPr>
            <w:tcW w:w="1980" w:type="dxa"/>
            <w:vMerge/>
            <w:vAlign w:val="center"/>
          </w:tcPr>
          <w:p w14:paraId="68172649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5B249FA0" w14:textId="1422C981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色界</w:t>
            </w:r>
          </w:p>
        </w:tc>
        <w:tc>
          <w:tcPr>
            <w:tcW w:w="1621" w:type="dxa"/>
            <w:vAlign w:val="center"/>
          </w:tcPr>
          <w:p w14:paraId="270CA68D" w14:textId="09BAB7C5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苦諦</w:t>
            </w:r>
          </w:p>
        </w:tc>
        <w:tc>
          <w:tcPr>
            <w:tcW w:w="3242" w:type="dxa"/>
            <w:vMerge w:val="restart"/>
            <w:vAlign w:val="center"/>
          </w:tcPr>
          <w:p w14:paraId="58AA7910" w14:textId="7420ECA2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同上</w:t>
            </w:r>
          </w:p>
        </w:tc>
      </w:tr>
      <w:tr w:rsidR="00C35084" w14:paraId="0D8D64E0" w14:textId="77777777" w:rsidTr="00C35084">
        <w:trPr>
          <w:trHeight w:val="204"/>
        </w:trPr>
        <w:tc>
          <w:tcPr>
            <w:tcW w:w="1980" w:type="dxa"/>
            <w:vMerge/>
            <w:vAlign w:val="center"/>
          </w:tcPr>
          <w:p w14:paraId="5791628A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7F7E3094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271AA5EA" w14:textId="5B28B730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集諦</w:t>
            </w:r>
          </w:p>
        </w:tc>
        <w:tc>
          <w:tcPr>
            <w:tcW w:w="3242" w:type="dxa"/>
            <w:vMerge/>
            <w:vAlign w:val="center"/>
          </w:tcPr>
          <w:p w14:paraId="445BB722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0973E4B4" w14:textId="77777777" w:rsidTr="00C35084">
        <w:trPr>
          <w:trHeight w:val="204"/>
        </w:trPr>
        <w:tc>
          <w:tcPr>
            <w:tcW w:w="1980" w:type="dxa"/>
            <w:vMerge/>
            <w:vAlign w:val="center"/>
          </w:tcPr>
          <w:p w14:paraId="0463B0D5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7F838B7B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748ADF0C" w14:textId="4408963C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滅諦</w:t>
            </w:r>
          </w:p>
        </w:tc>
        <w:tc>
          <w:tcPr>
            <w:tcW w:w="3242" w:type="dxa"/>
            <w:vMerge/>
            <w:vAlign w:val="center"/>
          </w:tcPr>
          <w:p w14:paraId="0E9BC8D2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4A9FC20E" w14:textId="77777777" w:rsidTr="00C35084">
        <w:trPr>
          <w:trHeight w:val="204"/>
        </w:trPr>
        <w:tc>
          <w:tcPr>
            <w:tcW w:w="1980" w:type="dxa"/>
            <w:vMerge/>
            <w:vAlign w:val="center"/>
          </w:tcPr>
          <w:p w14:paraId="3E197AA6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7283010D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26CC4C41" w14:textId="187867EC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道諦</w:t>
            </w:r>
          </w:p>
        </w:tc>
        <w:tc>
          <w:tcPr>
            <w:tcW w:w="3242" w:type="dxa"/>
            <w:vMerge/>
            <w:vAlign w:val="center"/>
          </w:tcPr>
          <w:p w14:paraId="06962F43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58E3CEA6" w14:textId="77777777" w:rsidTr="00C35084">
        <w:trPr>
          <w:trHeight w:val="202"/>
        </w:trPr>
        <w:tc>
          <w:tcPr>
            <w:tcW w:w="1980" w:type="dxa"/>
            <w:vMerge/>
            <w:vAlign w:val="center"/>
          </w:tcPr>
          <w:p w14:paraId="79E596A4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77D10869" w14:textId="5C488E75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無色界</w:t>
            </w:r>
          </w:p>
        </w:tc>
        <w:tc>
          <w:tcPr>
            <w:tcW w:w="1621" w:type="dxa"/>
            <w:vAlign w:val="center"/>
          </w:tcPr>
          <w:p w14:paraId="293CA7A5" w14:textId="1405CC70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苦諦</w:t>
            </w:r>
          </w:p>
        </w:tc>
        <w:tc>
          <w:tcPr>
            <w:tcW w:w="3242" w:type="dxa"/>
            <w:vMerge w:val="restart"/>
            <w:vAlign w:val="center"/>
          </w:tcPr>
          <w:p w14:paraId="4B4B5ED0" w14:textId="5643A3A9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同上</w:t>
            </w:r>
          </w:p>
        </w:tc>
      </w:tr>
      <w:tr w:rsidR="00C35084" w14:paraId="62BF3B28" w14:textId="77777777" w:rsidTr="00C35084">
        <w:trPr>
          <w:trHeight w:val="199"/>
        </w:trPr>
        <w:tc>
          <w:tcPr>
            <w:tcW w:w="1980" w:type="dxa"/>
            <w:vMerge/>
            <w:vAlign w:val="center"/>
          </w:tcPr>
          <w:p w14:paraId="7CE8B613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069DFADB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75AD5216" w14:textId="3D80A666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集諦</w:t>
            </w:r>
          </w:p>
        </w:tc>
        <w:tc>
          <w:tcPr>
            <w:tcW w:w="3242" w:type="dxa"/>
            <w:vMerge/>
            <w:vAlign w:val="center"/>
          </w:tcPr>
          <w:p w14:paraId="15330E7B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1A798339" w14:textId="77777777" w:rsidTr="00C35084">
        <w:trPr>
          <w:trHeight w:val="199"/>
        </w:trPr>
        <w:tc>
          <w:tcPr>
            <w:tcW w:w="1980" w:type="dxa"/>
            <w:vMerge/>
            <w:vAlign w:val="center"/>
          </w:tcPr>
          <w:p w14:paraId="5D4D4964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790575B0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6180E483" w14:textId="0B7C7C5C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滅諦</w:t>
            </w:r>
          </w:p>
        </w:tc>
        <w:tc>
          <w:tcPr>
            <w:tcW w:w="3242" w:type="dxa"/>
            <w:vMerge/>
            <w:vAlign w:val="center"/>
          </w:tcPr>
          <w:p w14:paraId="28CB4DEF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26BE26E7" w14:textId="77777777" w:rsidTr="00C35084">
        <w:trPr>
          <w:trHeight w:val="199"/>
        </w:trPr>
        <w:tc>
          <w:tcPr>
            <w:tcW w:w="1980" w:type="dxa"/>
            <w:vMerge/>
            <w:vAlign w:val="center"/>
          </w:tcPr>
          <w:p w14:paraId="42ABDA6E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Merge/>
            <w:vAlign w:val="center"/>
          </w:tcPr>
          <w:p w14:paraId="55E774B1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621" w:type="dxa"/>
            <w:vAlign w:val="center"/>
          </w:tcPr>
          <w:p w14:paraId="2B749620" w14:textId="41BB9F14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道諦</w:t>
            </w:r>
          </w:p>
        </w:tc>
        <w:tc>
          <w:tcPr>
            <w:tcW w:w="3242" w:type="dxa"/>
            <w:vMerge/>
            <w:vAlign w:val="center"/>
          </w:tcPr>
          <w:p w14:paraId="32B00BB7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</w:tr>
      <w:tr w:rsidR="00C35084" w14:paraId="4C4C6716" w14:textId="77777777" w:rsidTr="00C35084">
        <w:trPr>
          <w:trHeight w:val="956"/>
        </w:trPr>
        <w:tc>
          <w:tcPr>
            <w:tcW w:w="1980" w:type="dxa"/>
            <w:vMerge w:val="restart"/>
            <w:vAlign w:val="center"/>
          </w:tcPr>
          <w:p w14:paraId="38AEEC13" w14:textId="77777777" w:rsid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修道所斷</w:t>
            </w:r>
            <w:r>
              <w:rPr>
                <w:rFonts w:ascii="文鼎細圓" w:eastAsia="文鼎細圓" w:hint="eastAsia"/>
              </w:rPr>
              <w:t>煩惱</w:t>
            </w:r>
          </w:p>
          <w:p w14:paraId="367BAEA4" w14:textId="4A87874C" w:rsidR="00997EEA" w:rsidRPr="00997EEA" w:rsidRDefault="00997EEA" w:rsidP="00C35084">
            <w:pPr>
              <w:jc w:val="center"/>
              <w:rPr>
                <w:rFonts w:ascii="Calibri" w:eastAsia="文鼎細圓" w:hAnsi="Calibri" w:cs="Calibri"/>
              </w:rPr>
            </w:pPr>
            <w:r>
              <w:rPr>
                <w:rFonts w:ascii="文鼎細圓" w:eastAsia="文鼎細圓" w:hint="eastAsia"/>
              </w:rPr>
              <w:t>(俱生)</w:t>
            </w:r>
          </w:p>
        </w:tc>
        <w:tc>
          <w:tcPr>
            <w:tcW w:w="1262" w:type="dxa"/>
            <w:vAlign w:val="center"/>
          </w:tcPr>
          <w:p w14:paraId="41E7987A" w14:textId="5877D8B6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欲界</w:t>
            </w:r>
          </w:p>
        </w:tc>
        <w:tc>
          <w:tcPr>
            <w:tcW w:w="4863" w:type="dxa"/>
            <w:gridSpan w:val="2"/>
            <w:vAlign w:val="center"/>
          </w:tcPr>
          <w:p w14:paraId="6B0A4729" w14:textId="004F6796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Ansi="標楷體" w:cs="Calibri" w:hint="eastAsia"/>
                <w:color w:val="000000"/>
              </w:rPr>
              <w:t>薩迦耶見、邊執見、貪、恚、慢、無明</w:t>
            </w:r>
          </w:p>
        </w:tc>
      </w:tr>
      <w:tr w:rsidR="00C35084" w14:paraId="53AADBD4" w14:textId="77777777" w:rsidTr="00C35084">
        <w:trPr>
          <w:trHeight w:val="956"/>
        </w:trPr>
        <w:tc>
          <w:tcPr>
            <w:tcW w:w="1980" w:type="dxa"/>
            <w:vMerge/>
            <w:vAlign w:val="center"/>
          </w:tcPr>
          <w:p w14:paraId="2A1BA690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Align w:val="center"/>
          </w:tcPr>
          <w:p w14:paraId="01D1A78D" w14:textId="51654C52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色界</w:t>
            </w:r>
          </w:p>
        </w:tc>
        <w:tc>
          <w:tcPr>
            <w:tcW w:w="4863" w:type="dxa"/>
            <w:gridSpan w:val="2"/>
            <w:vAlign w:val="center"/>
          </w:tcPr>
          <w:p w14:paraId="176F4F9B" w14:textId="185BAF54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Ansi="標楷體" w:cs="Calibri" w:hint="eastAsia"/>
                <w:color w:val="000000"/>
              </w:rPr>
              <w:t>薩迦耶見、邊執見、貪、慢、無明</w:t>
            </w:r>
          </w:p>
        </w:tc>
      </w:tr>
      <w:tr w:rsidR="00C35084" w14:paraId="503B124B" w14:textId="77777777" w:rsidTr="00C35084">
        <w:trPr>
          <w:trHeight w:val="980"/>
        </w:trPr>
        <w:tc>
          <w:tcPr>
            <w:tcW w:w="1980" w:type="dxa"/>
            <w:vMerge/>
            <w:vAlign w:val="center"/>
          </w:tcPr>
          <w:p w14:paraId="5CC02A08" w14:textId="77777777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</w:p>
        </w:tc>
        <w:tc>
          <w:tcPr>
            <w:tcW w:w="1262" w:type="dxa"/>
            <w:vAlign w:val="center"/>
          </w:tcPr>
          <w:p w14:paraId="531962D3" w14:textId="0ECEC5A3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int="eastAsia"/>
              </w:rPr>
              <w:t>無色界</w:t>
            </w:r>
          </w:p>
        </w:tc>
        <w:tc>
          <w:tcPr>
            <w:tcW w:w="4863" w:type="dxa"/>
            <w:gridSpan w:val="2"/>
            <w:vAlign w:val="center"/>
          </w:tcPr>
          <w:p w14:paraId="0A81F3AD" w14:textId="1527D3FA" w:rsidR="00C35084" w:rsidRPr="00C35084" w:rsidRDefault="00C35084" w:rsidP="00C35084">
            <w:pPr>
              <w:jc w:val="center"/>
              <w:rPr>
                <w:rFonts w:ascii="文鼎細圓" w:eastAsia="文鼎細圓"/>
              </w:rPr>
            </w:pPr>
            <w:r w:rsidRPr="00C35084">
              <w:rPr>
                <w:rFonts w:ascii="文鼎細圓" w:eastAsia="文鼎細圓" w:hAnsi="標楷體" w:cs="Calibri" w:hint="eastAsia"/>
                <w:color w:val="000000"/>
              </w:rPr>
              <w:t>薩迦耶見、邊執見、貪、慢、無明</w:t>
            </w:r>
          </w:p>
        </w:tc>
      </w:tr>
    </w:tbl>
    <w:p w14:paraId="74708990" w14:textId="77777777" w:rsidR="000431EC" w:rsidRPr="000431EC" w:rsidRDefault="000431EC" w:rsidP="004B1D42"/>
    <w:sectPr w:rsidR="000431EC" w:rsidRPr="000431EC" w:rsidSect="00AD1F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E22E" w14:textId="77777777" w:rsidR="0097664D" w:rsidRDefault="0097664D" w:rsidP="004B1D42">
      <w:r>
        <w:separator/>
      </w:r>
    </w:p>
  </w:endnote>
  <w:endnote w:type="continuationSeparator" w:id="0">
    <w:p w14:paraId="03EDA83E" w14:textId="77777777" w:rsidR="0097664D" w:rsidRDefault="0097664D" w:rsidP="004B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BD9C" w14:textId="77777777" w:rsidR="0097664D" w:rsidRDefault="0097664D" w:rsidP="004B1D42">
      <w:r>
        <w:separator/>
      </w:r>
    </w:p>
  </w:footnote>
  <w:footnote w:type="continuationSeparator" w:id="0">
    <w:p w14:paraId="20157551" w14:textId="77777777" w:rsidR="0097664D" w:rsidRDefault="0097664D" w:rsidP="004B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344A"/>
    <w:multiLevelType w:val="hybridMultilevel"/>
    <w:tmpl w:val="1A30F9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11"/>
    <w:rsid w:val="000431EC"/>
    <w:rsid w:val="000446EE"/>
    <w:rsid w:val="00106E15"/>
    <w:rsid w:val="00236FAA"/>
    <w:rsid w:val="002D72C2"/>
    <w:rsid w:val="002F31FC"/>
    <w:rsid w:val="00307E6E"/>
    <w:rsid w:val="0032254F"/>
    <w:rsid w:val="004B1D42"/>
    <w:rsid w:val="00576F46"/>
    <w:rsid w:val="00596892"/>
    <w:rsid w:val="00621048"/>
    <w:rsid w:val="00653F87"/>
    <w:rsid w:val="006E7532"/>
    <w:rsid w:val="007D6533"/>
    <w:rsid w:val="00847CDB"/>
    <w:rsid w:val="00937E08"/>
    <w:rsid w:val="009702A4"/>
    <w:rsid w:val="0097664D"/>
    <w:rsid w:val="00997EEA"/>
    <w:rsid w:val="00A3082F"/>
    <w:rsid w:val="00AD1F9A"/>
    <w:rsid w:val="00AF7011"/>
    <w:rsid w:val="00B9167A"/>
    <w:rsid w:val="00BA686C"/>
    <w:rsid w:val="00C35084"/>
    <w:rsid w:val="00C6020C"/>
    <w:rsid w:val="00C9425E"/>
    <w:rsid w:val="00CD2DCF"/>
    <w:rsid w:val="00D15159"/>
    <w:rsid w:val="00E12093"/>
    <w:rsid w:val="00E42480"/>
    <w:rsid w:val="00F83469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32619"/>
  <w15:chartTrackingRefBased/>
  <w15:docId w15:val="{E39EF9EC-44F2-4A47-BE7F-6F0D0A3A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1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1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1D42"/>
    <w:rPr>
      <w:sz w:val="20"/>
      <w:szCs w:val="20"/>
    </w:rPr>
  </w:style>
  <w:style w:type="table" w:styleId="a7">
    <w:name w:val="Table Grid"/>
    <w:basedOn w:val="a1"/>
    <w:uiPriority w:val="39"/>
    <w:rsid w:val="0004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702A4"/>
    <w:rPr>
      <w:b/>
      <w:bCs/>
    </w:rPr>
  </w:style>
  <w:style w:type="paragraph" w:styleId="a9">
    <w:name w:val="List Paragraph"/>
    <w:basedOn w:val="a"/>
    <w:uiPriority w:val="34"/>
    <w:qFormat/>
    <w:rsid w:val="00B916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F124-2B4F-4F8A-A91E-7F2C4D7B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2838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91590 ho</dc:creator>
  <cp:keywords/>
  <dc:description/>
  <cp:lastModifiedBy>91590 ho</cp:lastModifiedBy>
  <cp:revision>16</cp:revision>
  <dcterms:created xsi:type="dcterms:W3CDTF">2021-06-30T08:16:00Z</dcterms:created>
  <dcterms:modified xsi:type="dcterms:W3CDTF">2021-07-31T14:13:00Z</dcterms:modified>
</cp:coreProperties>
</file>