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We Are Climbing Jacob’s Ladder</w:t>
      </w:r>
    </w:p>
    <w:p>
      <w:pPr>
        <w:pStyle w:val="RiteSongBookLine"/>
      </w:pPr>
      <w:r>
        <w:rPr>
          <w:rStyle w:val="RiteSongBookName"/>
        </w:rPr>
        <w:t xml:space="preserve">Lift Every Voice and Sing II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220</w:t>
      </w:r>
    </w:p>
    <w:p>
      <w:pPr>
        <w:pStyle w:val="RiteSongMusicImage"/>
      </w:pPr>
      <w:r>
        <w:drawing>
          <wp:inline>
            <wp:extent cx="4633010" cy="1513068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L220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13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668646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L220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6686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537473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L220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537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789142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L220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7891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We are climbing Jacob’s ladder,</w:t>
      </w:r>
    </w:p>
    <w:p>
      <w:pPr>
        <w:pStyle w:val="RiteSongVerse"/>
      </w:pPr>
      <w:r>
        <w:t xml:space="preserve"/>
      </w:r>
      <w:r>
        <w:tab/>
      </w:r>
      <w:r>
        <w:t>Soldiers of the cross.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Ev’ry round goes higher, higher</w:t>
      </w:r>
    </w:p>
    <w:p>
      <w:pPr>
        <w:pStyle w:val="RiteSongVerse"/>
      </w:pPr>
      <w:r>
        <w:t xml:space="preserve"/>
      </w:r>
      <w:r>
        <w:tab/>
      </w:r>
      <w:r>
        <w:t>Soldiers of the cross.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Sinner do you love your Jesus?</w:t>
      </w:r>
    </w:p>
    <w:p>
      <w:pPr>
        <w:pStyle w:val="RiteSongVerse"/>
      </w:pPr>
      <w:r>
        <w:t xml:space="preserve"/>
      </w:r>
      <w:r>
        <w:tab/>
      </w:r>
      <w:r>
        <w:t>Soldiers of the cross.</w:t>
      </w:r>
    </w:p>
    <w:p>
      <w:pPr>
        <w:pStyle w:val="RiteSongVerse"/>
      </w:pPr>
    </w:p>
    <w:p>
      <w:pPr>
        <w:pStyle w:val="RiteSongVerse"/>
      </w:pPr>
      <w:r>
        <w:t xml:space="preserve">4</w:t>
      </w:r>
      <w:r>
        <w:tab/>
      </w:r>
      <w:r>
        <w:t>If you love Him why not serve Him,</w:t>
      </w:r>
    </w:p>
    <w:p>
      <w:pPr>
        <w:pStyle w:val="RiteSongVerse"/>
      </w:pPr>
      <w:r>
        <w:t xml:space="preserve"/>
      </w:r>
      <w:r>
        <w:tab/>
      </w:r>
      <w:r>
        <w:t>Soldiers of the cross.</w:t>
      </w:r>
    </w:p>
    <w:p>
      <w:pPr>
        <w:pStyle w:val="RiteSongCopyright"/>
      </w:pPr>
      <w:r>
        <w:rPr>
          <w:iCs/>
          <w:i/>
          <w:bCs/>
          <w:b/>
        </w:rPr>
        <w:t xml:space="preserve">We Are Climbing Jacob’s Ladder</w:t>
      </w:r>
      <w:r>
        <w:t xml:space="preserve">,</w:t>
      </w:r>
      <w:r>
        <w:t xml:space="preserve"> </w:t>
      </w:r>
      <w:r>
        <w:t xml:space="preserve">#220 from</w:t>
      </w:r>
      <w:r>
        <w:t xml:space="preserve"> </w:t>
      </w:r>
      <w:r>
        <w:rPr>
          <w:iCs/>
          <w:i/>
        </w:rPr>
        <w:t xml:space="preserve">Lift Every Voice and Sing II</w:t>
      </w:r>
      <w:r>
        <w:t xml:space="preserve"> </w:t>
      </w:r>
      <w:r>
        <w:t xml:space="preserve">— Words: Traditional. Music: Negro Spiritual; arr. Horace Clarence Boyer (b. 1935). Arr. Copyright © 1992 Horace Clarence Boyer.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32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L220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LEVAS_220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hyperlink" Id="rId32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