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When Jesus wept, the falling tear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715</w:t>
      </w:r>
    </w:p>
    <w:p>
      <w:pPr>
        <w:pStyle w:val="RiteSongMusicImage"/>
      </w:pPr>
      <w:r>
        <w:drawing>
          <wp:inline>
            <wp:extent cx="4633010" cy="594855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715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5948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668068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715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668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758822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715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758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When Jesus wept, the falling tear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in mercy flowed beyond all bound;</w:t>
      </w:r>
    </w:p>
    <w:p>
      <w:pPr>
        <w:pStyle w:val="RiteSongVerse"/>
      </w:pPr>
      <w:r>
        <w:t xml:space="preserve">when Jesus groaned, a trembling fear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seized all the guilty world around.</w:t>
      </w:r>
    </w:p>
    <w:p>
      <w:pPr>
        <w:pStyle w:val="RiteSongCopyright"/>
      </w:pPr>
      <w:r>
        <w:rPr>
          <w:iCs/>
          <w:i/>
          <w:bCs/>
          <w:b/>
        </w:rPr>
        <w:t xml:space="preserve">When Jesus wept, the falling tear</w:t>
      </w:r>
      <w:r>
        <w:t xml:space="preserve">,</w:t>
      </w:r>
      <w:r>
        <w:t xml:space="preserve"> </w:t>
      </w:r>
      <w:r>
        <w:t xml:space="preserve">#715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</w:t>
      </w:r>
      <w:r>
        <w:t xml:space="preserve"> </w:t>
      </w:r>
      <w:r>
        <w:rPr>
          <w:iCs/>
          <w:i/>
        </w:rPr>
        <w:t xml:space="preserve">The New England Psalm Singer</w:t>
      </w:r>
      <w:r>
        <w:t xml:space="preserve">, 1770. Music:</w:t>
      </w:r>
      <w:r>
        <w:t xml:space="preserve"> </w:t>
      </w:r>
      <w:r>
        <w:rPr>
          <w:iCs/>
          <w:i/>
        </w:rPr>
        <w:t xml:space="preserve">When Jesus Wept</w:t>
      </w:r>
      <w:r>
        <w:t xml:space="preserve">, William Billings (1746-1800).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H715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H82_715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hyperlink" Id="rId29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