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Sing alleluia forth in duteous praise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619</w:t>
      </w:r>
    </w:p>
    <w:p>
      <w:pPr>
        <w:pStyle w:val="RiteSongMusicImage"/>
      </w:pPr>
      <w:r>
        <w:drawing>
          <wp:inline>
            <wp:extent cx="4633010" cy="1299530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619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2995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305632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619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05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583231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619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583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Sing alleluia forth in duteous praise,</w:t>
      </w:r>
    </w:p>
    <w:p>
      <w:pPr>
        <w:pStyle w:val="RiteSongVerse"/>
      </w:pPr>
      <w:r>
        <w:t xml:space="preserve"/>
      </w:r>
      <w:r>
        <w:tab/>
      </w:r>
      <w:r>
        <w:t>ye citizens of heaven, O sweetly raise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 endless alleluia.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Ye powers who stand before the eternal Light,</w:t>
      </w:r>
    </w:p>
    <w:p>
      <w:pPr>
        <w:pStyle w:val="RiteSongVerse"/>
      </w:pPr>
      <w:r>
        <w:t xml:space="preserve"/>
      </w:r>
      <w:r>
        <w:tab/>
      </w:r>
      <w:r>
        <w:t>let all your choirs re-echo to the height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 endless alleluia.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Then let the holy city raise the strain,</w:t>
      </w:r>
    </w:p>
    <w:p>
      <w:pPr>
        <w:pStyle w:val="RiteSongVerse"/>
      </w:pPr>
      <w:r>
        <w:t xml:space="preserve"/>
      </w:r>
      <w:r>
        <w:tab/>
      </w:r>
      <w:r>
        <w:t>and with glad songs resounding wake again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 endless alleluia.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Ye who have fought and joined the starry throng,</w:t>
      </w:r>
    </w:p>
    <w:p>
      <w:pPr>
        <w:pStyle w:val="RiteSongVerse"/>
      </w:pPr>
      <w:r>
        <w:t xml:space="preserve"/>
      </w:r>
      <w:r>
        <w:tab/>
      </w:r>
      <w:r>
        <w:t>ye victors, now take up the eternal song,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 endless alleluia.</w:t>
      </w:r>
    </w:p>
    <w:p>
      <w:pPr>
        <w:pStyle w:val="RiteSongVerse"/>
      </w:pPr>
    </w:p>
    <w:p>
      <w:pPr>
        <w:pStyle w:val="RiteSongVerse"/>
      </w:pPr>
      <w:r>
        <w:t xml:space="preserve">5</w:t>
      </w:r>
      <w:r>
        <w:tab/>
      </w:r>
      <w:r>
        <w:t>Your songs of triumph shall for ever ring,</w:t>
      </w:r>
    </w:p>
    <w:p>
      <w:pPr>
        <w:pStyle w:val="RiteSongVerse"/>
      </w:pPr>
      <w:r>
        <w:t xml:space="preserve"/>
      </w:r>
      <w:r>
        <w:tab/>
      </w:r>
      <w:r>
        <w:t>the hymns which tell the honor of your King,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 endless alleluia.</w:t>
      </w:r>
    </w:p>
    <w:p>
      <w:pPr>
        <w:pStyle w:val="RiteSongVerse"/>
      </w:pPr>
    </w:p>
    <w:p>
      <w:pPr>
        <w:pStyle w:val="RiteSongVerse"/>
      </w:pPr>
      <w:r>
        <w:t xml:space="preserve">6</w:t>
      </w:r>
      <w:r>
        <w:tab/>
      </w:r>
      <w:r>
        <w:t>Such song is rest and food and deep delight</w:t>
      </w:r>
    </w:p>
    <w:p>
      <w:pPr>
        <w:pStyle w:val="RiteSongVerse"/>
      </w:pPr>
      <w:r>
        <w:t xml:space="preserve"/>
      </w:r>
      <w:r>
        <w:tab/>
      </w:r>
      <w:r>
        <w:t>to saints forgiven; let them unite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in endless alleluia.</w:t>
      </w:r>
    </w:p>
    <w:p>
      <w:pPr>
        <w:pStyle w:val="RiteSongVerse"/>
      </w:pPr>
    </w:p>
    <w:p>
      <w:pPr>
        <w:pStyle w:val="RiteSongVerse"/>
      </w:pPr>
      <w:r>
        <w:t xml:space="preserve">7</w:t>
      </w:r>
      <w:r>
        <w:tab/>
      </w:r>
      <w:r>
        <w:t>Almighty Christ, to thee our voices sing</w:t>
      </w:r>
    </w:p>
    <w:p>
      <w:pPr>
        <w:pStyle w:val="RiteSongVerse"/>
      </w:pPr>
      <w:r>
        <w:t xml:space="preserve"/>
      </w:r>
      <w:r>
        <w:tab/>
      </w:r>
      <w:r>
        <w:t>glory for evermore; to thee we bring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>an endless alleluia.</w:t>
      </w:r>
    </w:p>
    <w:p>
      <w:pPr>
        <w:pStyle w:val="RiteSongCopyright"/>
      </w:pPr>
      <w:r>
        <w:rPr>
          <w:iCs/>
          <w:i/>
          <w:bCs/>
          <w:b/>
        </w:rPr>
        <w:t xml:space="preserve">Sing alleluia forth in duteous praise</w:t>
      </w:r>
      <w:r>
        <w:t xml:space="preserve">,</w:t>
      </w:r>
      <w:r>
        <w:t xml:space="preserve"> </w:t>
      </w:r>
      <w:r>
        <w:t xml:space="preserve">#619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Latin, 5th-8th cent.; ver. Hymnal 1940. Copyright © The Church Pension Fund. Music:</w:t>
      </w:r>
      <w:r>
        <w:t xml:space="preserve"> </w:t>
      </w:r>
      <w:r>
        <w:rPr>
          <w:iCs/>
          <w:i/>
        </w:rPr>
        <w:t xml:space="preserve">Martins</w:t>
      </w:r>
      <w:r>
        <w:t xml:space="preserve">, Percy Carter Buck (1871-1947).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29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H619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H82_619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hyperlink" Id="rId29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