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Holy Spirit, ever living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511</w:t>
      </w:r>
    </w:p>
    <w:p>
      <w:pPr>
        <w:pStyle w:val="RiteSongMusicImage"/>
      </w:pPr>
      <w:r>
        <w:drawing>
          <wp:inline>
            <wp:extent cx="4633010" cy="1326985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511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326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342238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511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3422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311733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511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311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341475"/>
            <wp:effectExtent b="0" l="0" r="0" t="0"/>
            <wp:docPr descr="music staff 3" title="" id="30" name="Picture"/>
            <a:graphic>
              <a:graphicData uri="http://schemas.openxmlformats.org/drawingml/2006/picture">
                <pic:pic>
                  <pic:nvPicPr>
                    <pic:cNvPr descr="./graphics_staves/H511_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3414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1590095"/>
            <wp:effectExtent b="0" l="0" r="0" t="0"/>
            <wp:docPr descr="music staff 4" title="" id="33" name="Picture"/>
            <a:graphic>
              <a:graphicData uri="http://schemas.openxmlformats.org/drawingml/2006/picture">
                <pic:pic>
                  <pic:nvPicPr>
                    <pic:cNvPr descr="./graphics_staves/H511_0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1590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Holy Spirit, ever living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as the Church’s very life;</w:t>
      </w:r>
    </w:p>
    <w:p>
      <w:pPr>
        <w:pStyle w:val="RiteSongVerse"/>
      </w:pPr>
      <w:r>
        <w:t xml:space="preserve"/>
      </w:r>
      <w:r>
        <w:tab/>
      </w:r>
      <w:r>
        <w:t>Holy Spirit, ever striving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through her in a ceaseless strife;</w:t>
      </w:r>
    </w:p>
    <w:p>
      <w:pPr>
        <w:pStyle w:val="RiteSongVerse"/>
      </w:pPr>
      <w:r>
        <w:t xml:space="preserve"/>
      </w:r>
      <w:r>
        <w:tab/>
      </w:r>
      <w:r>
        <w:t>Holy Spirit, ever forming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in the Church the mind of Christ;</w:t>
      </w:r>
    </w:p>
    <w:p>
      <w:pPr>
        <w:pStyle w:val="RiteSongVerse"/>
      </w:pPr>
      <w:r>
        <w:t xml:space="preserve"/>
      </w:r>
      <w:r>
        <w:tab/>
      </w:r>
      <w:r>
        <w:t>thee we praise with endless worship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for thy fruits and gifts unpriced.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Holy Spirit, ever working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through the Church’s ministry;</w:t>
      </w:r>
    </w:p>
    <w:p>
      <w:pPr>
        <w:pStyle w:val="RiteSongVerse"/>
      </w:pPr>
      <w:r>
        <w:t xml:space="preserve"/>
      </w:r>
      <w:r>
        <w:tab/>
      </w:r>
      <w:r>
        <w:t>quickening, strengthening, and absolving,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setting captive sinners free;</w:t>
      </w:r>
    </w:p>
    <w:p>
      <w:pPr>
        <w:pStyle w:val="RiteSongVerse"/>
      </w:pPr>
      <w:r>
        <w:t xml:space="preserve"/>
      </w:r>
      <w:r>
        <w:tab/>
      </w:r>
      <w:r>
        <w:t>Holy Spirit, ever binding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age to age, and soul to soul,</w:t>
      </w:r>
    </w:p>
    <w:p>
      <w:pPr>
        <w:pStyle w:val="RiteSongVerse"/>
      </w:pPr>
      <w:r>
        <w:t xml:space="preserve"/>
      </w:r>
      <w:r>
        <w:tab/>
      </w:r>
      <w:r>
        <w:t>in a fellowship unending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thee we worship and extol.</w:t>
      </w:r>
    </w:p>
    <w:p>
      <w:pPr>
        <w:pStyle w:val="RiteSongCopyright"/>
      </w:pPr>
      <w:r>
        <w:rPr>
          <w:iCs/>
          <w:i/>
          <w:bCs/>
          <w:b/>
        </w:rPr>
        <w:t xml:space="preserve">Holy Spirit, ever living</w:t>
      </w:r>
      <w:r>
        <w:t xml:space="preserve">,</w:t>
      </w:r>
      <w:r>
        <w:t xml:space="preserve"> </w:t>
      </w:r>
      <w:r>
        <w:t xml:space="preserve">#511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Timothy Rees (1874-1939), alt. Held by A.R. Mowbray &amp; Co. Ltd. Music:</w:t>
      </w:r>
      <w:r>
        <w:t xml:space="preserve"> </w:t>
      </w:r>
      <w:r>
        <w:rPr>
          <w:iCs/>
          <w:i/>
        </w:rPr>
        <w:t xml:space="preserve">Abbot’s Leigh</w:t>
      </w:r>
      <w:r>
        <w:t xml:space="preserve">, Cyril Vincent Taylor (1907-1991). Copyright © 1942, Renewal 1970 by Hope Publishing Company, Carol Stream, IL 60188. All Rights Reserved. Used by permission.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35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H511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H82_511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hyperlink" Id="rId35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