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From God Christ’s deity came forth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443</w:t>
      </w:r>
    </w:p>
    <w:p>
      <w:pPr>
        <w:pStyle w:val="RiteSongMusicImage"/>
      </w:pPr>
      <w:r>
        <w:drawing>
          <wp:inline>
            <wp:extent cx="4633010" cy="1040234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443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0402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012779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443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012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341475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H443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3414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From God Christ’s deity came forth,</w:t>
      </w:r>
    </w:p>
    <w:p>
      <w:pPr>
        <w:pStyle w:val="RiteSongVerse"/>
      </w:pPr>
      <w:r>
        <w:t xml:space="preserve"/>
      </w:r>
      <w:r>
        <w:tab/>
      </w:r>
      <w:r>
        <w:t>his manhood from humanity;</w:t>
      </w:r>
    </w:p>
    <w:p>
      <w:pPr>
        <w:pStyle w:val="RiteSongVerse"/>
      </w:pPr>
      <w:r>
        <w:t xml:space="preserve"/>
      </w:r>
      <w:r>
        <w:tab/>
      </w:r>
      <w:r>
        <w:t>his priesthood from Melchizedek,</w:t>
      </w:r>
    </w:p>
    <w:p>
      <w:pPr>
        <w:pStyle w:val="RiteSongVerse"/>
      </w:pPr>
      <w:r>
        <w:t xml:space="preserve"/>
      </w:r>
      <w:r>
        <w:tab/>
      </w:r>
      <w:r>
        <w:t>his royalty from David’s tree: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praised be his Oneness.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He joined with guests at wedding feast,</w:t>
      </w:r>
    </w:p>
    <w:p>
      <w:pPr>
        <w:pStyle w:val="RiteSongVerse"/>
      </w:pPr>
      <w:r>
        <w:t xml:space="preserve"/>
      </w:r>
      <w:r>
        <w:tab/>
      </w:r>
      <w:r>
        <w:t>yet in the wilderness did fast;</w:t>
      </w:r>
    </w:p>
    <w:p>
      <w:pPr>
        <w:pStyle w:val="RiteSongVerse"/>
      </w:pPr>
      <w:r>
        <w:t xml:space="preserve"/>
      </w:r>
      <w:r>
        <w:tab/>
      </w:r>
      <w:r>
        <w:t>he taught within the temple’s gates;</w:t>
      </w:r>
    </w:p>
    <w:p>
      <w:pPr>
        <w:pStyle w:val="RiteSongVerse"/>
      </w:pPr>
      <w:r>
        <w:t xml:space="preserve"/>
      </w:r>
      <w:r>
        <w:tab/>
      </w:r>
      <w:r>
        <w:t>his people saw him die at last: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praised be his teaching.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The dissolute he did not scorn,</w:t>
      </w:r>
    </w:p>
    <w:p>
      <w:pPr>
        <w:pStyle w:val="RiteSongVerse"/>
      </w:pPr>
      <w:r>
        <w:t xml:space="preserve"/>
      </w:r>
      <w:r>
        <w:tab/>
      </w:r>
      <w:r>
        <w:t>nor turn from those who were in sin;</w:t>
      </w:r>
    </w:p>
    <w:p>
      <w:pPr>
        <w:pStyle w:val="RiteSongVerse"/>
      </w:pPr>
      <w:r>
        <w:t xml:space="preserve"/>
      </w:r>
      <w:r>
        <w:tab/>
      </w:r>
      <w:r>
        <w:t>he for the righteous did rejoice</w:t>
      </w:r>
    </w:p>
    <w:p>
      <w:pPr>
        <w:pStyle w:val="RiteSongVerse"/>
      </w:pPr>
      <w:r>
        <w:t xml:space="preserve"/>
      </w:r>
      <w:r>
        <w:tab/>
      </w:r>
      <w:r>
        <w:t>but bade the fallen to come in: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praised be his mercy.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He did not disregard the sick;</w:t>
      </w:r>
    </w:p>
    <w:p>
      <w:pPr>
        <w:pStyle w:val="RiteSongVerse"/>
      </w:pPr>
      <w:r>
        <w:t xml:space="preserve"/>
      </w:r>
      <w:r>
        <w:tab/>
      </w:r>
      <w:r>
        <w:t>to simple ones his word was given;</w:t>
      </w:r>
    </w:p>
    <w:p>
      <w:pPr>
        <w:pStyle w:val="RiteSongVerse"/>
      </w:pPr>
      <w:r>
        <w:t xml:space="preserve"/>
      </w:r>
      <w:r>
        <w:tab/>
      </w:r>
      <w:r>
        <w:t>and he descended to the earth</w:t>
      </w:r>
    </w:p>
    <w:p>
      <w:pPr>
        <w:pStyle w:val="RiteSongVerse"/>
      </w:pPr>
      <w:r>
        <w:t xml:space="preserve"/>
      </w:r>
      <w:r>
        <w:tab/>
      </w:r>
      <w:r>
        <w:t>and his work done, went up to heaven: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praised be his coming.</w:t>
      </w:r>
    </w:p>
    <w:p>
      <w:pPr>
        <w:pStyle w:val="RiteSongVerse"/>
      </w:pPr>
    </w:p>
    <w:p>
      <w:pPr>
        <w:pStyle w:val="RiteSongVerse"/>
      </w:pPr>
      <w:r>
        <w:t xml:space="preserve">5</w:t>
      </w:r>
      <w:r>
        <w:tab/>
      </w:r>
      <w:r>
        <w:t>Who then, my Lord, compares with you?</w:t>
      </w:r>
    </w:p>
    <w:p>
      <w:pPr>
        <w:pStyle w:val="RiteSongVerse"/>
      </w:pPr>
      <w:r>
        <w:t xml:space="preserve"/>
      </w:r>
      <w:r>
        <w:tab/>
      </w:r>
      <w:r>
        <w:t>The Watcher slept, the Great was small,</w:t>
      </w:r>
    </w:p>
    <w:p>
      <w:pPr>
        <w:pStyle w:val="RiteSongVerse"/>
      </w:pPr>
      <w:r>
        <w:t xml:space="preserve"/>
      </w:r>
      <w:r>
        <w:tab/>
      </w:r>
      <w:r>
        <w:t>the Pure baptized, the Life who died,</w:t>
      </w:r>
    </w:p>
    <w:p>
      <w:pPr>
        <w:pStyle w:val="RiteSongVerse"/>
      </w:pPr>
      <w:r>
        <w:t xml:space="preserve"/>
      </w:r>
      <w:r>
        <w:tab/>
      </w:r>
      <w:r>
        <w:t>the King abased to honor all: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praised be your glory.</w:t>
      </w:r>
    </w:p>
    <w:p>
      <w:pPr>
        <w:pStyle w:val="RiteSongCopyright"/>
      </w:pPr>
      <w:r>
        <w:rPr>
          <w:iCs/>
          <w:i/>
          <w:bCs/>
          <w:b/>
        </w:rPr>
        <w:t xml:space="preserve">From God Christ’s deity came forth</w:t>
      </w:r>
      <w:r>
        <w:t xml:space="preserve">,</w:t>
      </w:r>
      <w:r>
        <w:t xml:space="preserve"> </w:t>
      </w:r>
      <w:r>
        <w:t xml:space="preserve">#443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Ephrem of Edessa (4th cent.); tr. by J. Howard W. Rhys (b. 1917); adapt. and alt. F. Bland Tucker ( 1895-1984). Copyright © The Church Pension Fund. Music:</w:t>
      </w:r>
      <w:r>
        <w:t xml:space="preserve"> </w:t>
      </w:r>
      <w:r>
        <w:rPr>
          <w:iCs/>
          <w:i/>
        </w:rPr>
        <w:t xml:space="preserve">Salem Harbor</w:t>
      </w:r>
      <w:r>
        <w:t xml:space="preserve">, Ronald Arnatt (b. 1930). Copyright © 1984 Ronald Arnatt.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29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H443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H82_443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hyperlink" Id="rId29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