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The angel Gabriel from heaven came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265</w:t>
      </w:r>
    </w:p>
    <w:p>
      <w:pPr>
        <w:pStyle w:val="RiteSongMusicImage"/>
      </w:pPr>
      <w:r>
        <w:drawing>
          <wp:inline>
            <wp:extent cx="4633010" cy="1537473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265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374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589332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265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89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564928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265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649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918790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H265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9187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The angel Gabriel from heaven came,</w:t>
      </w:r>
    </w:p>
    <w:p>
      <w:pPr>
        <w:pStyle w:val="RiteSongVerse"/>
      </w:pPr>
      <w:r>
        <w:t xml:space="preserve"/>
      </w:r>
      <w:r>
        <w:tab/>
      </w:r>
      <w:r>
        <w:t>his wings as drifted snow, his eyes as flame;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“All hail,” said he, “thou lowly maiden Mary,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most highly favored lady,” Gloria!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“For know a blessèd Mother thou shalt be,</w:t>
      </w:r>
    </w:p>
    <w:p>
      <w:pPr>
        <w:pStyle w:val="RiteSongVerse"/>
      </w:pPr>
      <w:r>
        <w:t xml:space="preserve"/>
      </w:r>
      <w:r>
        <w:tab/>
      </w:r>
      <w:r>
        <w:t>all generations laud and honor thee,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thy Son shall be Emmanuel, by seers foretold,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most highly favored lady,” Gloria!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Then gentle Mary meekly bowed her head,</w:t>
      </w:r>
    </w:p>
    <w:p>
      <w:pPr>
        <w:pStyle w:val="RiteSongVerse"/>
      </w:pPr>
      <w:r>
        <w:t xml:space="preserve"/>
      </w:r>
      <w:r>
        <w:tab/>
      </w:r>
      <w:r>
        <w:t>“To me be as it pleaseth God,” she said,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“my soul shall laud and magnify his holy Name.”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Most highly favored lady, Gloria!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Of her, Emmanuel, the Christ, was born</w:t>
      </w:r>
    </w:p>
    <w:p>
      <w:pPr>
        <w:pStyle w:val="RiteSongVerse"/>
      </w:pPr>
      <w:r>
        <w:t xml:space="preserve"/>
      </w:r>
      <w:r>
        <w:tab/>
      </w:r>
      <w:r>
        <w:t>in Bethlehem, all on a Christmas morn,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and Christian folk throughout the world will ever say—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“Most highly favored lady,” Gloria!</w:t>
      </w:r>
    </w:p>
    <w:p>
      <w:pPr>
        <w:pStyle w:val="RiteSongCopyright"/>
      </w:pPr>
      <w:r>
        <w:rPr>
          <w:iCs/>
          <w:i/>
          <w:bCs/>
          <w:b/>
        </w:rPr>
        <w:t xml:space="preserve">The angel Gabriel from heaven came</w:t>
      </w:r>
      <w:r>
        <w:t xml:space="preserve">,</w:t>
      </w:r>
      <w:r>
        <w:t xml:space="preserve"> </w:t>
      </w:r>
      <w:r>
        <w:t xml:space="preserve">#265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Basque carol; para. Sabine Baring-Gould (1834-1924). Music:</w:t>
      </w:r>
      <w:r>
        <w:t xml:space="preserve"> </w:t>
      </w:r>
      <w:r>
        <w:rPr>
          <w:iCs/>
          <w:i/>
        </w:rPr>
        <w:t xml:space="preserve">Gabriel’s Message</w:t>
      </w:r>
      <w:r>
        <w:t xml:space="preserve">, Basque carol; harm. Edgar Pettman (1865-1943). Copyright © 1961 B. Feldman and Co Ltd., trading as H. Freeman &amp; Co. Reproduced by permission of EMI Music Publishing Ltd. 138-140 Charing Cross Road, London WC2H OLD, England.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H265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H82_265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hyperlink" Id="rId32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