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How oft, O Lord, thy face hath shone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242</w:t>
      </w:r>
    </w:p>
    <w:p>
      <w:pPr>
        <w:pStyle w:val="RiteSongMusicImage"/>
      </w:pPr>
      <w:r>
        <w:drawing>
          <wp:inline>
            <wp:extent cx="4633010" cy="1693050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242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93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47292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242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47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859305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242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859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How oft, O Lord, thy face hath shone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on doubting souls whose wills were true!</w:t>
      </w:r>
    </w:p>
    <w:p>
      <w:pPr>
        <w:pStyle w:val="RiteSongVerse"/>
      </w:pPr>
      <w:r>
        <w:t xml:space="preserve"/>
      </w:r>
      <w:r>
        <w:tab/>
      </w:r>
      <w:r>
        <w:t>Thou Christ of Peter and of John,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thou art the Christ of Thomas too.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He loved thee well, and firmly said,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“Come, let us go, and die with him”;</w:t>
      </w:r>
    </w:p>
    <w:p>
      <w:pPr>
        <w:pStyle w:val="RiteSongVerse"/>
      </w:pPr>
      <w:r>
        <w:t xml:space="preserve"/>
      </w:r>
      <w:r>
        <w:tab/>
      </w:r>
      <w:r>
        <w:t>yet when thine Easter-news was spread,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mid all its light his faith was dim.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His brethren’s word he would not take,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but craved to touch those hands of thine;</w:t>
      </w:r>
    </w:p>
    <w:p>
      <w:pPr>
        <w:pStyle w:val="RiteSongVerse"/>
      </w:pPr>
      <w:r>
        <w:t xml:space="preserve"/>
      </w:r>
      <w:r>
        <w:tab/>
      </w:r>
      <w:r>
        <w:t>when thou didst thine appearance make,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he saw, and hailed his Lord Divine.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He saw thee risen; at once he rose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full belief’s unclouded height;</w:t>
      </w:r>
    </w:p>
    <w:p>
      <w:pPr>
        <w:pStyle w:val="RiteSongVerse"/>
      </w:pPr>
      <w:r>
        <w:t xml:space="preserve"/>
      </w:r>
      <w:r>
        <w:tab/>
      </w:r>
      <w:r>
        <w:t>and still through his confession flows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Christian souls thy life and light.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O Savior, make thy presence known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all who doubt thy Word and thee;</w:t>
      </w:r>
    </w:p>
    <w:p>
      <w:pPr>
        <w:pStyle w:val="RiteSongVerse"/>
      </w:pPr>
      <w:r>
        <w:t xml:space="preserve"/>
      </w:r>
      <w:r>
        <w:tab/>
      </w:r>
      <w:r>
        <w:t>and teach us in that Word alone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to find the truth that sets us free.</w:t>
      </w:r>
    </w:p>
    <w:p>
      <w:pPr>
        <w:pStyle w:val="RiteSongCopyright"/>
      </w:pPr>
      <w:r>
        <w:rPr>
          <w:iCs/>
          <w:i/>
          <w:bCs/>
          <w:b/>
        </w:rPr>
        <w:t xml:space="preserve">How oft, O Lord, thy face hath shone</w:t>
      </w:r>
      <w:r>
        <w:t xml:space="preserve">,</w:t>
      </w:r>
      <w:r>
        <w:t xml:space="preserve"> </w:t>
      </w:r>
      <w:r>
        <w:t xml:space="preserve">#242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William Bright (1824-1901), alt. Music:</w:t>
      </w:r>
      <w:r>
        <w:t xml:space="preserve"> </w:t>
      </w:r>
      <w:r>
        <w:rPr>
          <w:iCs/>
          <w:i/>
        </w:rPr>
        <w:t xml:space="preserve">Jacob</w:t>
      </w:r>
      <w:r>
        <w:t xml:space="preserve">, Jane Manton Marshall (b. 1924). Copyright © 1984, G.I.A. Publications.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H242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H82_242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hyperlink" Id="rId29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