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Lo, in the likeness of fire, on those who await his appearing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225</w:t>
      </w:r>
    </w:p>
    <w:p>
      <w:pPr>
        <w:pStyle w:val="RiteSongMusicImage"/>
      </w:pPr>
      <w:r>
        <w:drawing>
          <wp:inline>
            <wp:extent cx="4633010" cy="634512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225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63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610108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225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61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701624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225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701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823646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225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823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805343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H225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8053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939566"/>
            <wp:effectExtent b="0" l="0" r="0" t="0"/>
            <wp:docPr descr="music staff 5" title="" id="36" name="Picture"/>
            <a:graphic>
              <a:graphicData uri="http://schemas.openxmlformats.org/drawingml/2006/picture">
                <pic:pic>
                  <pic:nvPicPr>
                    <pic:cNvPr descr="./graphics_staves/H225_0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9395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945668"/>
            <wp:effectExtent b="0" l="0" r="0" t="0"/>
            <wp:docPr descr="music staff 6" title="" id="39" name="Picture"/>
            <a:graphic>
              <a:graphicData uri="http://schemas.openxmlformats.org/drawingml/2006/picture">
                <pic:pic>
                  <pic:nvPicPr>
                    <pic:cNvPr descr="./graphics_staves/H225_00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945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831272"/>
            <wp:effectExtent b="0" l="0" r="0" t="0"/>
            <wp:docPr descr="music staff 7" title="" id="42" name="Picture"/>
            <a:graphic>
              <a:graphicData uri="http://schemas.openxmlformats.org/drawingml/2006/picture">
                <pic:pic>
                  <pic:nvPicPr>
                    <pic:cNvPr descr="./graphics_staves/H225_0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831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28511"/>
            <wp:effectExtent b="0" l="0" r="0" t="0"/>
            <wp:docPr descr="music staff 8" title="" id="45" name="Picture"/>
            <a:graphic>
              <a:graphicData uri="http://schemas.openxmlformats.org/drawingml/2006/picture">
                <pic:pic>
                  <pic:nvPicPr>
                    <pic:cNvPr descr="./graphics_staves/H225_00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28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Hail thee, festival day!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blest day that art hallowed for ever,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day when the Holy Ghost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shone in the world with God’s grace.</w:t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Lo, in the likeness of fire, on those who await his appearing,</w:t>
      </w:r>
    </w:p>
    <w:p>
      <w:pPr>
        <w:pStyle w:val="RiteSongVerse"/>
      </w:pPr>
      <w:r>
        <w:t xml:space="preserve"/>
      </w:r>
      <w:r>
        <w:tab/>
      </w:r>
      <w:r>
        <w:t>he whom the Lord foretold suddenly, swiftly, descends: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Forth from the Father he comes with sevenfold mystical offering,</w:t>
      </w:r>
    </w:p>
    <w:p>
      <w:pPr>
        <w:pStyle w:val="RiteSongVerse"/>
      </w:pPr>
      <w:r>
        <w:t xml:space="preserve"/>
      </w:r>
      <w:r>
        <w:tab/>
      </w:r>
      <w:r>
        <w:t>pouring on all human so infinite riches of God: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Hark! for in myriad tongues Christ’s own, his chosen apostles,</w:t>
      </w:r>
    </w:p>
    <w:p>
      <w:pPr>
        <w:pStyle w:val="RiteSongVerse"/>
      </w:pPr>
      <w:r>
        <w:t xml:space="preserve"/>
      </w:r>
      <w:r>
        <w:tab/>
      </w:r>
      <w:r>
        <w:t>preach to the ends of the earth Christ and his wonderful works: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Praise to the Spirit of Life, all praise to the fount of our being,</w:t>
      </w:r>
    </w:p>
    <w:p>
      <w:pPr>
        <w:pStyle w:val="RiteSongVerse"/>
      </w:pPr>
      <w:r>
        <w:t xml:space="preserve"/>
      </w:r>
      <w:r>
        <w:tab/>
      </w:r>
      <w:r>
        <w:t>light that dost lighten all, life that in all dost abide: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Copyright"/>
      </w:pPr>
      <w:r>
        <w:rPr>
          <w:iCs/>
          <w:i/>
          <w:bCs/>
          <w:b/>
        </w:rPr>
        <w:t xml:space="preserve">Lo, in the likeness of fire, on those who await his appearing</w:t>
      </w:r>
      <w:r>
        <w:t xml:space="preserve">,</w:t>
      </w:r>
      <w:r>
        <w:t xml:space="preserve"> </w:t>
      </w:r>
      <w:r>
        <w:t xml:space="preserve">#225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Venantius Honorius Fortunatus (540?-600?); tr.</w:t>
      </w:r>
      <w:r>
        <w:t xml:space="preserve"> </w:t>
      </w:r>
      <w:r>
        <w:rPr>
          <w:iCs/>
          <w:i/>
        </w:rPr>
        <w:t xml:space="preserve">English Hymnal</w:t>
      </w:r>
      <w:r>
        <w:t xml:space="preserve">, 1906, alt. By permission of Oxford University Press. Music:</w:t>
      </w:r>
      <w:r>
        <w:t xml:space="preserve"> </w:t>
      </w:r>
      <w:r>
        <w:rPr>
          <w:iCs/>
          <w:i/>
        </w:rPr>
        <w:t xml:space="preserve">Salve festa dies</w:t>
      </w:r>
      <w:r>
        <w:t xml:space="preserve">, Ralph Vaughan Williams (1872-1958). By permission of Oxford University Press.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47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H225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H82_225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hyperlink" Id="rId47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