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O sons and daughters, let us sing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206</w:t>
      </w:r>
    </w:p>
    <w:p>
      <w:pPr>
        <w:pStyle w:val="RiteSongMusicImage"/>
      </w:pPr>
      <w:r>
        <w:drawing>
          <wp:inline>
            <wp:extent cx="4633010" cy="698574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206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698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26985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206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26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05632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206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05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278177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206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2781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168357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H206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168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Alleluia, alleluia, alleluia!</w:t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O sons and daughters, let us sing!</w:t>
      </w:r>
    </w:p>
    <w:p>
      <w:pPr>
        <w:pStyle w:val="RiteSongVerse"/>
      </w:pPr>
      <w:r>
        <w:t xml:space="preserve"/>
      </w:r>
      <w:r>
        <w:tab/>
      </w:r>
      <w:r>
        <w:t>The King of heaven, the glorious King,</w:t>
      </w:r>
    </w:p>
    <w:p>
      <w:pPr>
        <w:pStyle w:val="RiteSongVerse"/>
      </w:pPr>
      <w:r>
        <w:t xml:space="preserve"/>
      </w:r>
      <w:r>
        <w:tab/>
      </w:r>
      <w:r>
        <w:t>o’er death and hell rose triumphing.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That night the apostles met in fear;</w:t>
      </w:r>
    </w:p>
    <w:p>
      <w:pPr>
        <w:pStyle w:val="RiteSongVerse"/>
      </w:pPr>
      <w:r>
        <w:t xml:space="preserve"/>
      </w:r>
      <w:r>
        <w:tab/>
      </w:r>
      <w:r>
        <w:t>amidst them came their Lord most dear,</w:t>
      </w:r>
    </w:p>
    <w:p>
      <w:pPr>
        <w:pStyle w:val="RiteSongVerse"/>
      </w:pPr>
      <w:r>
        <w:t xml:space="preserve"/>
      </w:r>
      <w:r>
        <w:tab/>
      </w:r>
      <w:r>
        <w:t>and said, “My peace be on all here.”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When Thomas first the tidings heard,</w:t>
      </w:r>
    </w:p>
    <w:p>
      <w:pPr>
        <w:pStyle w:val="RiteSongVerse"/>
      </w:pPr>
      <w:r>
        <w:t xml:space="preserve"/>
      </w:r>
      <w:r>
        <w:tab/>
      </w:r>
      <w:r>
        <w:t>how they had seen the risen Lord,</w:t>
      </w:r>
    </w:p>
    <w:p>
      <w:pPr>
        <w:pStyle w:val="RiteSongVerse"/>
      </w:pPr>
      <w:r>
        <w:t xml:space="preserve"/>
      </w:r>
      <w:r>
        <w:tab/>
      </w:r>
      <w:r>
        <w:t>he doubted the disciples’ word.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“My piercèd side, O Thomas, see;</w:t>
      </w:r>
    </w:p>
    <w:p>
      <w:pPr>
        <w:pStyle w:val="RiteSongVerse"/>
      </w:pPr>
      <w:r>
        <w:t xml:space="preserve"/>
      </w:r>
      <w:r>
        <w:tab/>
      </w:r>
      <w:r>
        <w:t>my hands, my feet, I show to thee;</w:t>
      </w:r>
    </w:p>
    <w:p>
      <w:pPr>
        <w:pStyle w:val="RiteSongVerse"/>
      </w:pPr>
      <w:r>
        <w:t xml:space="preserve"/>
      </w:r>
      <w:r>
        <w:tab/>
      </w:r>
      <w:r>
        <w:t>not faithless, but believing be.”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No longer Thomas then denied,</w:t>
      </w:r>
    </w:p>
    <w:p>
      <w:pPr>
        <w:pStyle w:val="RiteSongVerse"/>
      </w:pPr>
      <w:r>
        <w:t xml:space="preserve"/>
      </w:r>
      <w:r>
        <w:tab/>
      </w:r>
      <w:r>
        <w:t>he saw the feet, the hands, the side;</w:t>
      </w:r>
    </w:p>
    <w:p>
      <w:pPr>
        <w:pStyle w:val="RiteSongVerse"/>
      </w:pPr>
      <w:r>
        <w:t xml:space="preserve"/>
      </w:r>
      <w:r>
        <w:tab/>
      </w:r>
      <w:r>
        <w:t>“Thou art my Lord and God,” he cried.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>6</w:t>
      </w:r>
      <w:r>
        <w:tab/>
      </w:r>
      <w:r>
        <w:t>How blest are they who have not seen,</w:t>
      </w:r>
    </w:p>
    <w:p>
      <w:pPr>
        <w:pStyle w:val="RiteSongVerse"/>
      </w:pPr>
      <w:r>
        <w:t xml:space="preserve"/>
      </w:r>
      <w:r>
        <w:tab/>
      </w:r>
      <w:r>
        <w:t>and yet whose faith has constant been,</w:t>
      </w:r>
    </w:p>
    <w:p>
      <w:pPr>
        <w:pStyle w:val="RiteSongVerse"/>
      </w:pPr>
      <w:r>
        <w:t xml:space="preserve"/>
      </w:r>
      <w:r>
        <w:tab/>
      </w:r>
      <w:r>
        <w:t>for they eternal life shall win.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Alleluia!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Alleluia, alleluia, alleluia!</w:t>
      </w:r>
    </w:p>
    <w:p>
      <w:pPr>
        <w:pStyle w:val="RiteSongCopyright"/>
      </w:pPr>
      <w:r>
        <w:rPr>
          <w:iCs/>
          <w:i/>
          <w:bCs/>
          <w:b/>
        </w:rPr>
        <w:t xml:space="preserve">O sons and daughters, let us sing</w:t>
      </w:r>
      <w:r>
        <w:t xml:space="preserve">,</w:t>
      </w:r>
      <w:r>
        <w:t xml:space="preserve"> </w:t>
      </w:r>
      <w:r>
        <w:t xml:space="preserve">#206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Att. Jean Tisserand (15th cent.); tr. John Mason Neale (1818-1866). Music:</w:t>
      </w:r>
      <w:r>
        <w:t xml:space="preserve"> </w:t>
      </w:r>
      <w:r>
        <w:rPr>
          <w:iCs/>
          <w:i/>
        </w:rPr>
        <w:t xml:space="preserve">O filii et filiae</w:t>
      </w:r>
      <w:r>
        <w:t xml:space="preserve">, melody from</w:t>
      </w:r>
      <w:r>
        <w:t xml:space="preserve"> </w:t>
      </w:r>
      <w:r>
        <w:rPr>
          <w:iCs/>
          <w:i/>
        </w:rPr>
        <w:t xml:space="preserve">Airs sur les hymnes sacrez, odes et noëls</w:t>
      </w:r>
      <w:r>
        <w:t xml:space="preserve">, 1623; acc. Richard Proulx (b. 1937).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5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H206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H82_206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hyperlink" Id="rId35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