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What child is this, who, laid to rest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115</w:t>
      </w:r>
    </w:p>
    <w:p>
      <w:pPr>
        <w:pStyle w:val="RiteSongMusicImage"/>
      </w:pPr>
      <w:r>
        <w:drawing>
          <wp:inline>
            <wp:extent cx="4633010" cy="1400198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115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4001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427653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115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4276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464260"/>
            <wp:effectExtent b="0" l="0" r="0" t="0"/>
            <wp:docPr descr="music staff 2" title="" id="27" name="Picture"/>
            <a:graphic>
              <a:graphicData uri="http://schemas.openxmlformats.org/drawingml/2006/picture">
                <pic:pic>
                  <pic:nvPicPr>
                    <pic:cNvPr descr="./graphics_staves/H115_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464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269025"/>
            <wp:effectExtent b="0" l="0" r="0" t="0"/>
            <wp:docPr descr="music staff 3" title="" id="30" name="Picture"/>
            <a:graphic>
              <a:graphicData uri="http://schemas.openxmlformats.org/drawingml/2006/picture">
                <pic:pic>
                  <pic:nvPicPr>
                    <pic:cNvPr descr="./graphics_staves/H115_0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2690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171408"/>
            <wp:effectExtent b="0" l="0" r="0" t="0"/>
            <wp:docPr descr="music staff 4" title="" id="33" name="Picture"/>
            <a:graphic>
              <a:graphicData uri="http://schemas.openxmlformats.org/drawingml/2006/picture">
                <pic:pic>
                  <pic:nvPicPr>
                    <pic:cNvPr descr="./graphics_staves/H115_00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1714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9111" cy="1326985"/>
            <wp:effectExtent b="0" l="0" r="0" t="0"/>
            <wp:docPr descr="music staff 5" title="" id="36" name="Picture"/>
            <a:graphic>
              <a:graphicData uri="http://schemas.openxmlformats.org/drawingml/2006/picture">
                <pic:pic>
                  <pic:nvPicPr>
                    <pic:cNvPr descr="./graphics_staves/H115_00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11" cy="1326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What child is this, who, laid to rest,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on Mary’s lap is sleeping?</w:t>
      </w:r>
    </w:p>
    <w:p>
      <w:pPr>
        <w:pStyle w:val="RiteSongVerse"/>
      </w:pPr>
      <w:r>
        <w:t xml:space="preserve"/>
      </w:r>
      <w:r>
        <w:tab/>
      </w:r>
      <w:r>
        <w:t>Whom angels greet with anthems sweet,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while shepherds watch are keeping?</w:t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This, this is Christ the King,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whom shepherds guard and angels sing;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haste, haste to bring him laud,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the babe, the son of Mary.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Why lies he in such mean estate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where ox and ass are feeding?</w:t>
      </w:r>
    </w:p>
    <w:p>
      <w:pPr>
        <w:pStyle w:val="RiteSongVerse"/>
      </w:pPr>
      <w:r>
        <w:t xml:space="preserve"/>
      </w:r>
      <w:r>
        <w:tab/>
      </w:r>
      <w:r>
        <w:t>Good Christian, fear: for sinners here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the silent Word is pleading.</w:t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rPr>
          <w:iCs/>
          <w:i/>
        </w:rPr>
        <w:t xml:space="preserve">Refrain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So bring him incense, gold, and myrrh,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come, peasant, king, to own him;</w:t>
      </w:r>
    </w:p>
    <w:p>
      <w:pPr>
        <w:pStyle w:val="RiteSongVerse"/>
      </w:pPr>
      <w:r>
        <w:t xml:space="preserve"/>
      </w:r>
      <w:r>
        <w:tab/>
      </w:r>
      <w:r>
        <w:t>the King of kings salvation brings,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let loving hearts enthrone him.</w:t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rPr>
          <w:iCs/>
          <w:i/>
        </w:rPr>
        <w:t xml:space="preserve">Refrain</w:t>
      </w:r>
    </w:p>
    <w:p>
      <w:pPr>
        <w:pStyle w:val="RiteSongCopyright"/>
      </w:pPr>
      <w:r>
        <w:rPr>
          <w:iCs/>
          <w:i/>
          <w:bCs/>
          <w:b/>
        </w:rPr>
        <w:t xml:space="preserve">What child is this, who, laid to rest</w:t>
      </w:r>
      <w:r>
        <w:t xml:space="preserve">,</w:t>
      </w:r>
      <w:r>
        <w:t xml:space="preserve"> </w:t>
      </w:r>
      <w:r>
        <w:t xml:space="preserve">#115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 William Chatterton Dix (1837-1898). Music:</w:t>
      </w:r>
      <w:r>
        <w:t xml:space="preserve"> </w:t>
      </w:r>
      <w:r>
        <w:rPr>
          <w:iCs/>
          <w:i/>
        </w:rPr>
        <w:t xml:space="preserve">Greensleeves</w:t>
      </w:r>
      <w:r>
        <w:t xml:space="preserve">, English melody; harm.</w:t>
      </w:r>
      <w:r>
        <w:t xml:space="preserve"> </w:t>
      </w:r>
      <w:r>
        <w:rPr>
          <w:iCs/>
          <w:i/>
        </w:rPr>
        <w:t xml:space="preserve">Christmas Carols New and Old</w:t>
      </w:r>
      <w:r>
        <w:t xml:space="preserve">, 1871.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38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H115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H82_115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hyperlink" Id="rId38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