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Joy to the world! the Lord is come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100</w:t>
      </w:r>
    </w:p>
    <w:p>
      <w:pPr>
        <w:pStyle w:val="RiteSongMusicImage"/>
      </w:pPr>
      <w:r>
        <w:drawing>
          <wp:inline>
            <wp:extent cx="4633010" cy="1580180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100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801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16787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100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16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2204779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100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220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2361882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100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2361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Joy to the world! the Lord is come: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earth receive her King;</w:t>
      </w:r>
    </w:p>
    <w:p>
      <w:pPr>
        <w:pStyle w:val="RiteSongVerse"/>
      </w:pPr>
      <w:r>
        <w:t xml:space="preserve"/>
      </w:r>
      <w:r>
        <w:tab/>
      </w:r>
      <w:r>
        <w:t>let every heart prepare him room,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heaven and nature sing.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Joy to the world! the Savior reigns;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let us our songs employ,</w:t>
      </w:r>
    </w:p>
    <w:p>
      <w:pPr>
        <w:pStyle w:val="RiteSongVerse"/>
      </w:pPr>
      <w:r>
        <w:t xml:space="preserve"/>
      </w:r>
      <w:r>
        <w:tab/>
      </w:r>
      <w:r>
        <w:t>while fields and floods, rocks, hills and plains,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repeat the sounding joy.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No more let sins and sorrows grow,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nor thorns infest the ground;</w:t>
      </w:r>
    </w:p>
    <w:p>
      <w:pPr>
        <w:pStyle w:val="RiteSongVerse"/>
      </w:pPr>
      <w:r>
        <w:t xml:space="preserve"/>
      </w:r>
      <w:r>
        <w:tab/>
      </w:r>
      <w:r>
        <w:t>he comes to make his blessings flow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far as the curse is found.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He rules the world with truth and grace,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makes the nations prove</w:t>
      </w:r>
    </w:p>
    <w:p>
      <w:pPr>
        <w:pStyle w:val="RiteSongVerse"/>
      </w:pPr>
      <w:r>
        <w:t xml:space="preserve"/>
      </w:r>
      <w:r>
        <w:tab/>
      </w:r>
      <w:r>
        <w:t>the glories of his righteousness,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wonders of his love.</w:t>
      </w:r>
    </w:p>
    <w:p>
      <w:pPr>
        <w:pStyle w:val="RiteSongCopyright"/>
      </w:pPr>
      <w:r>
        <w:rPr>
          <w:iCs/>
          <w:i/>
          <w:bCs/>
          <w:b/>
        </w:rPr>
        <w:t xml:space="preserve">Joy to the world! the Lord is come</w:t>
      </w:r>
      <w:r>
        <w:t xml:space="preserve">,</w:t>
      </w:r>
      <w:r>
        <w:t xml:space="preserve"> </w:t>
      </w:r>
      <w:r>
        <w:t xml:space="preserve">#100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Isaac Watts (1674-1748), alt. Music:</w:t>
      </w:r>
      <w:r>
        <w:t xml:space="preserve"> </w:t>
      </w:r>
      <w:r>
        <w:rPr>
          <w:iCs/>
          <w:i/>
        </w:rPr>
        <w:t xml:space="preserve">Antioch</w:t>
      </w:r>
      <w:r>
        <w:t xml:space="preserve">, George Frideric Handel (1685-1759); adapt. and arr. Lowell Mason (1792-1872).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H100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H82_100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hyperlink" Id="rId32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