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BB6F0" w14:textId="7ECE1945" w:rsidR="00825B62" w:rsidRPr="00AF0B50" w:rsidRDefault="00825B62" w:rsidP="00DB2499">
      <w:pPr>
        <w:jc w:val="both"/>
        <w:rPr>
          <w:rFonts w:cs="Arial"/>
          <w:b/>
          <w:bCs/>
          <w:sz w:val="28"/>
          <w:szCs w:val="32"/>
        </w:rPr>
      </w:pPr>
      <w:r w:rsidRPr="00AF0B50">
        <w:rPr>
          <w:rFonts w:cs="Arial"/>
          <w:b/>
          <w:bCs/>
          <w:sz w:val="28"/>
          <w:szCs w:val="32"/>
        </w:rPr>
        <w:t xml:space="preserve">Financial Addendum </w:t>
      </w:r>
    </w:p>
    <w:p w14:paraId="357B1A25" w14:textId="5C0C6104" w:rsidR="00825B62" w:rsidRPr="00AD0F47" w:rsidRDefault="00825B62" w:rsidP="00DB2499">
      <w:pPr>
        <w:jc w:val="both"/>
        <w:rPr>
          <w:rFonts w:cs="Arial"/>
        </w:rPr>
      </w:pPr>
      <w:r w:rsidRPr="00AD0F47">
        <w:rPr>
          <w:rFonts w:cs="Arial"/>
        </w:rPr>
        <w:t xml:space="preserve">This addendum has been developed to </w:t>
      </w:r>
      <w:r w:rsidR="007B6809">
        <w:rPr>
          <w:rFonts w:cs="Arial"/>
        </w:rPr>
        <w:t>supplement</w:t>
      </w:r>
      <w:r w:rsidRPr="00AD0F47">
        <w:rPr>
          <w:rFonts w:cs="Arial"/>
        </w:rPr>
        <w:t xml:space="preserve"> </w:t>
      </w:r>
      <w:r w:rsidR="00774585">
        <w:rPr>
          <w:rFonts w:cs="Arial"/>
        </w:rPr>
        <w:t xml:space="preserve">and aid in understanding </w:t>
      </w:r>
      <w:r w:rsidRPr="00AD0F47">
        <w:rPr>
          <w:rFonts w:cs="Arial"/>
        </w:rPr>
        <w:t xml:space="preserve">the financial report prepared </w:t>
      </w:r>
      <w:r w:rsidR="007B6809">
        <w:rPr>
          <w:rFonts w:cs="Arial"/>
        </w:rPr>
        <w:t>by</w:t>
      </w:r>
      <w:r w:rsidRPr="00AD0F47">
        <w:rPr>
          <w:rFonts w:cs="Arial"/>
        </w:rPr>
        <w:t xml:space="preserve"> BDO to address</w:t>
      </w:r>
      <w:r w:rsidR="007B6809">
        <w:rPr>
          <w:rFonts w:cs="Arial"/>
        </w:rPr>
        <w:t xml:space="preserve"> and/or </w:t>
      </w:r>
      <w:r w:rsidRPr="00AD0F47">
        <w:rPr>
          <w:rFonts w:cs="Arial"/>
        </w:rPr>
        <w:t xml:space="preserve">clarify items to enable effective discussion during the </w:t>
      </w:r>
      <w:r w:rsidR="00774585">
        <w:rPr>
          <w:rFonts w:cs="Arial"/>
        </w:rPr>
        <w:t xml:space="preserve">2025 </w:t>
      </w:r>
      <w:r w:rsidR="007B6809">
        <w:rPr>
          <w:rFonts w:cs="Arial"/>
        </w:rPr>
        <w:t>AGM.</w:t>
      </w:r>
    </w:p>
    <w:p w14:paraId="4EA6C36D" w14:textId="77777777" w:rsidR="00825B62" w:rsidRPr="00AF0B50" w:rsidRDefault="00825B62" w:rsidP="00DB2499">
      <w:pPr>
        <w:jc w:val="both"/>
        <w:rPr>
          <w:rFonts w:cs="Arial"/>
          <w:sz w:val="28"/>
          <w:szCs w:val="32"/>
        </w:rPr>
      </w:pPr>
      <w:r w:rsidRPr="00AF0B50">
        <w:rPr>
          <w:rFonts w:cs="Arial"/>
          <w:b/>
          <w:bCs/>
          <w:sz w:val="28"/>
          <w:szCs w:val="32"/>
        </w:rPr>
        <w:t>Financial Balance Sheet</w:t>
      </w:r>
    </w:p>
    <w:p w14:paraId="698EF8BB" w14:textId="6816930D" w:rsidR="007B6809" w:rsidRDefault="00825B62" w:rsidP="00DB2499">
      <w:pPr>
        <w:jc w:val="both"/>
        <w:rPr>
          <w:rFonts w:cs="Arial"/>
        </w:rPr>
      </w:pPr>
      <w:r w:rsidRPr="00AD0F47">
        <w:rPr>
          <w:rFonts w:cs="Arial"/>
        </w:rPr>
        <w:t xml:space="preserve">The </w:t>
      </w:r>
      <w:r w:rsidR="009D2692" w:rsidRPr="00CE1790">
        <w:rPr>
          <w:rFonts w:cs="Arial"/>
          <w:b/>
          <w:bCs/>
        </w:rPr>
        <w:t>Financial B</w:t>
      </w:r>
      <w:r w:rsidRPr="00CE1790">
        <w:rPr>
          <w:rFonts w:cs="Arial"/>
          <w:b/>
          <w:bCs/>
        </w:rPr>
        <w:t>alance sheet</w:t>
      </w:r>
      <w:r w:rsidR="005A32AE">
        <w:rPr>
          <w:rFonts w:cs="Arial"/>
        </w:rPr>
        <w:t xml:space="preserve">, shown on Page 2 of the BDO report, </w:t>
      </w:r>
      <w:r w:rsidRPr="00AD0F47">
        <w:rPr>
          <w:rFonts w:cs="Arial"/>
        </w:rPr>
        <w:t xml:space="preserve">is used to represent </w:t>
      </w:r>
      <w:r w:rsidR="007B6809">
        <w:rPr>
          <w:rFonts w:cs="Arial"/>
        </w:rPr>
        <w:t>cash and capital</w:t>
      </w:r>
      <w:r w:rsidRPr="00AD0F47">
        <w:rPr>
          <w:rFonts w:cs="Arial"/>
        </w:rPr>
        <w:t xml:space="preserve"> assets </w:t>
      </w:r>
      <w:r w:rsidR="007B6809">
        <w:rPr>
          <w:rFonts w:cs="Arial"/>
        </w:rPr>
        <w:t>as well as</w:t>
      </w:r>
      <w:r w:rsidRPr="00AD0F47">
        <w:rPr>
          <w:rFonts w:cs="Arial"/>
        </w:rPr>
        <w:t xml:space="preserve"> liabilities for NLA Petrolia</w:t>
      </w:r>
      <w:r w:rsidR="0072060B" w:rsidRPr="00AD0F47">
        <w:rPr>
          <w:rFonts w:cs="Arial"/>
        </w:rPr>
        <w:t>.</w:t>
      </w:r>
      <w:r w:rsidR="007B6809">
        <w:rPr>
          <w:rFonts w:cs="Arial"/>
        </w:rPr>
        <w:t xml:space="preserve"> </w:t>
      </w:r>
    </w:p>
    <w:p w14:paraId="4193B6A5" w14:textId="1EB0ED00" w:rsidR="001203C7" w:rsidRPr="00436549" w:rsidRDefault="00BB5A9E" w:rsidP="00DB2499">
      <w:pPr>
        <w:jc w:val="both"/>
        <w:rPr>
          <w:rFonts w:cs="Arial"/>
          <w:b/>
          <w:bCs/>
        </w:rPr>
      </w:pPr>
      <w:r w:rsidRPr="00436549">
        <w:rPr>
          <w:rFonts w:cs="Arial"/>
          <w:b/>
          <w:bCs/>
        </w:rPr>
        <w:t>Current Assets</w:t>
      </w:r>
      <w:r w:rsidRPr="00436549">
        <w:rPr>
          <w:rFonts w:cs="Arial"/>
        </w:rPr>
        <w:t xml:space="preserve"> – </w:t>
      </w:r>
      <w:r w:rsidR="00DB2499">
        <w:rPr>
          <w:rFonts w:cs="Arial"/>
        </w:rPr>
        <w:t>includes cash</w:t>
      </w:r>
      <w:r w:rsidRPr="00436549">
        <w:rPr>
          <w:rFonts w:cs="Arial"/>
        </w:rPr>
        <w:t xml:space="preserve"> funds in </w:t>
      </w:r>
      <w:r w:rsidR="00D371AD" w:rsidRPr="00436549">
        <w:rPr>
          <w:rFonts w:cs="Arial"/>
        </w:rPr>
        <w:t>NLA</w:t>
      </w:r>
      <w:r w:rsidRPr="00436549">
        <w:rPr>
          <w:rFonts w:cs="Arial"/>
        </w:rPr>
        <w:t xml:space="preserve"> </w:t>
      </w:r>
      <w:r w:rsidR="00D371AD" w:rsidRPr="00436549">
        <w:rPr>
          <w:rFonts w:cs="Arial"/>
        </w:rPr>
        <w:t>bank</w:t>
      </w:r>
      <w:r w:rsidRPr="00436549">
        <w:rPr>
          <w:rFonts w:cs="Arial"/>
        </w:rPr>
        <w:t xml:space="preserve"> accounts</w:t>
      </w:r>
      <w:r w:rsidR="00D371AD" w:rsidRPr="00436549">
        <w:rPr>
          <w:rFonts w:cs="Arial"/>
        </w:rPr>
        <w:t>, in-progress STRIPE</w:t>
      </w:r>
      <w:r w:rsidR="00F46C65" w:rsidRPr="00436549">
        <w:rPr>
          <w:rFonts w:cs="Arial"/>
        </w:rPr>
        <w:t>/PayPal transactions (accounts receivable), and our accrued HST credit for normal operations (prepaid expenses)</w:t>
      </w:r>
      <w:r w:rsidRPr="00436549">
        <w:rPr>
          <w:rFonts w:cs="Arial"/>
        </w:rPr>
        <w:t xml:space="preserve"> </w:t>
      </w:r>
    </w:p>
    <w:p w14:paraId="23981F62" w14:textId="6B6E8449" w:rsidR="00825B62" w:rsidRPr="00436549" w:rsidRDefault="00825B62" w:rsidP="00DB2499">
      <w:pPr>
        <w:jc w:val="both"/>
        <w:rPr>
          <w:rFonts w:cs="Arial"/>
        </w:rPr>
      </w:pPr>
      <w:r w:rsidRPr="00436549">
        <w:rPr>
          <w:rFonts w:cs="Arial"/>
          <w:b/>
          <w:bCs/>
        </w:rPr>
        <w:t>Capital Assets</w:t>
      </w:r>
      <w:r w:rsidRPr="00436549">
        <w:rPr>
          <w:rFonts w:cs="Arial"/>
        </w:rPr>
        <w:t xml:space="preserve"> – when </w:t>
      </w:r>
      <w:r w:rsidR="00DE6C42" w:rsidRPr="00436549">
        <w:rPr>
          <w:rFonts w:cs="Arial"/>
        </w:rPr>
        <w:t>expenses are incurred</w:t>
      </w:r>
      <w:r w:rsidRPr="00436549">
        <w:rPr>
          <w:rFonts w:cs="Arial"/>
        </w:rPr>
        <w:t xml:space="preserve"> </w:t>
      </w:r>
      <w:r w:rsidR="007B6809" w:rsidRPr="00436549">
        <w:rPr>
          <w:rFonts w:cs="Arial"/>
        </w:rPr>
        <w:t>on a</w:t>
      </w:r>
      <w:r w:rsidRPr="00436549">
        <w:rPr>
          <w:rFonts w:cs="Arial"/>
        </w:rPr>
        <w:t xml:space="preserve"> project that physically upgrades </w:t>
      </w:r>
      <w:r w:rsidR="007B6809" w:rsidRPr="00436549">
        <w:rPr>
          <w:rFonts w:cs="Arial"/>
        </w:rPr>
        <w:t>the</w:t>
      </w:r>
      <w:r w:rsidRPr="00436549">
        <w:rPr>
          <w:rFonts w:cs="Arial"/>
        </w:rPr>
        <w:t xml:space="preserve"> facility or </w:t>
      </w:r>
      <w:r w:rsidR="00E20014" w:rsidRPr="00436549">
        <w:rPr>
          <w:rFonts w:cs="Arial"/>
        </w:rPr>
        <w:t>property,</w:t>
      </w:r>
      <w:r w:rsidRPr="00436549">
        <w:rPr>
          <w:rFonts w:cs="Arial"/>
        </w:rPr>
        <w:t xml:space="preserve"> </w:t>
      </w:r>
      <w:r w:rsidR="00DE6C42" w:rsidRPr="00436549">
        <w:rPr>
          <w:rFonts w:cs="Arial"/>
        </w:rPr>
        <w:t>they</w:t>
      </w:r>
      <w:r w:rsidRPr="00436549">
        <w:rPr>
          <w:rFonts w:cs="Arial"/>
        </w:rPr>
        <w:t xml:space="preserve"> </w:t>
      </w:r>
      <w:r w:rsidR="00DE6C42" w:rsidRPr="00436549">
        <w:rPr>
          <w:rFonts w:cs="Arial"/>
        </w:rPr>
        <w:t>can</w:t>
      </w:r>
      <w:r w:rsidRPr="00436549">
        <w:rPr>
          <w:rFonts w:cs="Arial"/>
        </w:rPr>
        <w:t xml:space="preserve"> be assigned to the asset</w:t>
      </w:r>
      <w:r w:rsidR="008A0A33" w:rsidRPr="00436549">
        <w:rPr>
          <w:rFonts w:cs="Arial"/>
        </w:rPr>
        <w:t xml:space="preserve"> </w:t>
      </w:r>
      <w:r w:rsidR="00740FD4">
        <w:rPr>
          <w:rFonts w:cs="Arial"/>
        </w:rPr>
        <w:t xml:space="preserve">reflecting </w:t>
      </w:r>
      <w:r w:rsidR="008A0A33" w:rsidRPr="00436549">
        <w:rPr>
          <w:rFonts w:cs="Arial"/>
        </w:rPr>
        <w:t>an increase in value on a year-to-year basis</w:t>
      </w:r>
      <w:r w:rsidRPr="00436549">
        <w:rPr>
          <w:rFonts w:cs="Arial"/>
        </w:rPr>
        <w:t>.</w:t>
      </w:r>
      <w:r w:rsidR="007B6809">
        <w:rPr>
          <w:rStyle w:val="FootnoteReference"/>
          <w:rFonts w:cs="Arial"/>
        </w:rPr>
        <w:footnoteReference w:id="1"/>
      </w:r>
    </w:p>
    <w:p w14:paraId="18C1D0D1" w14:textId="61C27DBF" w:rsidR="00A17D58" w:rsidRPr="00A17D58" w:rsidRDefault="00A17D58" w:rsidP="00DB2499">
      <w:pPr>
        <w:pStyle w:val="ListParagraph"/>
        <w:numPr>
          <w:ilvl w:val="0"/>
          <w:numId w:val="11"/>
        </w:numPr>
        <w:jc w:val="both"/>
        <w:rPr>
          <w:rFonts w:cs="Arial"/>
          <w:b/>
          <w:bCs/>
        </w:rPr>
      </w:pPr>
      <w:r w:rsidRPr="00A17D58">
        <w:rPr>
          <w:rFonts w:cs="Arial"/>
          <w:b/>
          <w:bCs/>
        </w:rPr>
        <w:t xml:space="preserve">Total </w:t>
      </w:r>
      <w:r>
        <w:rPr>
          <w:rFonts w:cs="Arial"/>
          <w:b/>
          <w:bCs/>
        </w:rPr>
        <w:t xml:space="preserve">Capital </w:t>
      </w:r>
      <w:r w:rsidRPr="00A17D58">
        <w:rPr>
          <w:rFonts w:cs="Arial"/>
          <w:b/>
          <w:bCs/>
        </w:rPr>
        <w:t>Asset</w:t>
      </w:r>
      <w:r>
        <w:rPr>
          <w:rFonts w:cs="Arial"/>
          <w:b/>
          <w:bCs/>
        </w:rPr>
        <w:t xml:space="preserve">s </w:t>
      </w:r>
      <w:r>
        <w:rPr>
          <w:rFonts w:cs="Arial"/>
        </w:rPr>
        <w:t>increased $</w:t>
      </w:r>
      <w:r w:rsidR="004F25B1">
        <w:rPr>
          <w:rFonts w:cs="Arial"/>
        </w:rPr>
        <w:t>546,460</w:t>
      </w:r>
      <w:r>
        <w:rPr>
          <w:rFonts w:cs="Arial"/>
        </w:rPr>
        <w:t xml:space="preserve"> from 2024 to $2,870,107.</w:t>
      </w:r>
      <w:r>
        <w:rPr>
          <w:rStyle w:val="FootnoteReference"/>
          <w:rFonts w:cs="Arial"/>
        </w:rPr>
        <w:footnoteReference w:id="2"/>
      </w:r>
    </w:p>
    <w:p w14:paraId="11579B6B" w14:textId="3860FA22" w:rsidR="007B6809" w:rsidRPr="00A17D58" w:rsidRDefault="00825B62" w:rsidP="00DB2499">
      <w:pPr>
        <w:pStyle w:val="ListParagraph"/>
        <w:numPr>
          <w:ilvl w:val="0"/>
          <w:numId w:val="11"/>
        </w:numPr>
        <w:jc w:val="both"/>
        <w:rPr>
          <w:rFonts w:cs="Arial"/>
          <w:b/>
          <w:bCs/>
        </w:rPr>
      </w:pPr>
      <w:r w:rsidRPr="00A17D58">
        <w:rPr>
          <w:rFonts w:cs="Arial"/>
          <w:b/>
          <w:bCs/>
        </w:rPr>
        <w:t>Parking Lot</w:t>
      </w:r>
      <w:r w:rsidRPr="00A17D58">
        <w:rPr>
          <w:rFonts w:cs="Arial"/>
        </w:rPr>
        <w:t> </w:t>
      </w:r>
      <w:r w:rsidR="009804D4" w:rsidRPr="00A17D58">
        <w:rPr>
          <w:rFonts w:cs="Arial"/>
        </w:rPr>
        <w:t>- $</w:t>
      </w:r>
      <w:r w:rsidR="00C86698">
        <w:rPr>
          <w:rFonts w:cs="Arial"/>
        </w:rPr>
        <w:t>54</w:t>
      </w:r>
      <w:r w:rsidR="00484F60">
        <w:rPr>
          <w:rFonts w:cs="Arial"/>
        </w:rPr>
        <w:t>1</w:t>
      </w:r>
      <w:r w:rsidR="00C86698">
        <w:rPr>
          <w:rFonts w:cs="Arial"/>
        </w:rPr>
        <w:t>,00</w:t>
      </w:r>
      <w:r w:rsidR="00484F60">
        <w:rPr>
          <w:rFonts w:cs="Arial"/>
        </w:rPr>
        <w:t>4</w:t>
      </w:r>
      <w:r w:rsidR="009804D4" w:rsidRPr="00A17D58">
        <w:rPr>
          <w:rFonts w:cs="Arial"/>
        </w:rPr>
        <w:t xml:space="preserve"> of paving project expenses was added to the asset value of the parking lot in 2025 brin</w:t>
      </w:r>
      <w:r w:rsidR="00A93A95">
        <w:rPr>
          <w:rFonts w:cs="Arial"/>
        </w:rPr>
        <w:t>g</w:t>
      </w:r>
      <w:r w:rsidR="009804D4" w:rsidRPr="00A17D58">
        <w:rPr>
          <w:rFonts w:cs="Arial"/>
        </w:rPr>
        <w:t>ing it to $577,441</w:t>
      </w:r>
      <w:r w:rsidR="00687D3E">
        <w:rPr>
          <w:rFonts w:cs="Arial"/>
        </w:rPr>
        <w:t xml:space="preserve">. </w:t>
      </w:r>
      <w:r w:rsidR="009804D4" w:rsidRPr="00A17D58">
        <w:rPr>
          <w:rFonts w:cs="Arial"/>
        </w:rPr>
        <w:t>In addition to the</w:t>
      </w:r>
      <w:r w:rsidR="007B6809" w:rsidRPr="00A17D58">
        <w:rPr>
          <w:rFonts w:cs="Arial"/>
        </w:rPr>
        <w:t xml:space="preserve"> </w:t>
      </w:r>
      <w:r w:rsidRPr="00A17D58">
        <w:rPr>
          <w:rFonts w:cs="Arial"/>
        </w:rPr>
        <w:t>$29,43</w:t>
      </w:r>
      <w:r w:rsidR="00C86698">
        <w:rPr>
          <w:rFonts w:cs="Arial"/>
        </w:rPr>
        <w:t>9</w:t>
      </w:r>
      <w:r w:rsidRPr="00A17D58">
        <w:rPr>
          <w:rFonts w:cs="Arial"/>
        </w:rPr>
        <w:t xml:space="preserve"> </w:t>
      </w:r>
      <w:r w:rsidR="00436549">
        <w:rPr>
          <w:rFonts w:cs="Arial"/>
        </w:rPr>
        <w:t>in paving project</w:t>
      </w:r>
      <w:r w:rsidRPr="00A17D58">
        <w:rPr>
          <w:rFonts w:cs="Arial"/>
        </w:rPr>
        <w:t xml:space="preserve"> expenses added </w:t>
      </w:r>
      <w:r w:rsidR="009804D4" w:rsidRPr="00A17D58">
        <w:rPr>
          <w:rFonts w:cs="Arial"/>
        </w:rPr>
        <w:t>in 2024</w:t>
      </w:r>
      <w:r w:rsidR="00436549">
        <w:rPr>
          <w:rFonts w:cs="Arial"/>
        </w:rPr>
        <w:t>,</w:t>
      </w:r>
      <w:r w:rsidR="009804D4" w:rsidRPr="00A17D58">
        <w:rPr>
          <w:rFonts w:cs="Arial"/>
        </w:rPr>
        <w:t xml:space="preserve"> the total capital expense</w:t>
      </w:r>
      <w:r w:rsidR="00B361B0">
        <w:rPr>
          <w:rFonts w:cs="Arial"/>
        </w:rPr>
        <w:t xml:space="preserve"> for the full project</w:t>
      </w:r>
      <w:r w:rsidR="00FD3ECD">
        <w:rPr>
          <w:rFonts w:cs="Arial"/>
        </w:rPr>
        <w:t xml:space="preserve"> </w:t>
      </w:r>
      <w:r w:rsidR="00484F60">
        <w:rPr>
          <w:rFonts w:cs="Arial"/>
        </w:rPr>
        <w:t>was</w:t>
      </w:r>
      <w:r w:rsidR="009804D4" w:rsidRPr="00A17D58">
        <w:rPr>
          <w:rFonts w:cs="Arial"/>
        </w:rPr>
        <w:t xml:space="preserve"> $570,</w:t>
      </w:r>
      <w:r w:rsidR="00484F60">
        <w:rPr>
          <w:rFonts w:cs="Arial"/>
        </w:rPr>
        <w:t>44</w:t>
      </w:r>
      <w:r w:rsidR="00145DE6">
        <w:rPr>
          <w:rFonts w:cs="Arial"/>
        </w:rPr>
        <w:t>3</w:t>
      </w:r>
      <w:r w:rsidR="009804D4" w:rsidRPr="00A17D58">
        <w:rPr>
          <w:rFonts w:cs="Arial"/>
        </w:rPr>
        <w:t>.</w:t>
      </w:r>
      <w:r w:rsidR="00FD3ECD">
        <w:rPr>
          <w:rStyle w:val="FootnoteReference"/>
          <w:rFonts w:cs="Arial"/>
        </w:rPr>
        <w:footnoteReference w:id="3"/>
      </w:r>
    </w:p>
    <w:p w14:paraId="6FAD9EAF" w14:textId="4D8A9B24" w:rsidR="00A17D58" w:rsidRPr="00436549" w:rsidRDefault="00A17D58" w:rsidP="00DB2499">
      <w:pPr>
        <w:pStyle w:val="ListParagraph"/>
        <w:numPr>
          <w:ilvl w:val="0"/>
          <w:numId w:val="11"/>
        </w:numPr>
        <w:jc w:val="both"/>
        <w:rPr>
          <w:rFonts w:cs="Arial"/>
          <w:b/>
          <w:bCs/>
        </w:rPr>
      </w:pPr>
      <w:r w:rsidRPr="00A17D58">
        <w:rPr>
          <w:rFonts w:cs="Arial"/>
          <w:b/>
          <w:bCs/>
        </w:rPr>
        <w:t xml:space="preserve">Miscellaneous Equipment - </w:t>
      </w:r>
      <w:r w:rsidRPr="00A17D58">
        <w:rPr>
          <w:rFonts w:cs="Arial"/>
        </w:rPr>
        <w:t>$5,477 in capital value associated with equipment purchases</w:t>
      </w:r>
      <w:r w:rsidR="00C452DE">
        <w:rPr>
          <w:rFonts w:cs="Arial"/>
        </w:rPr>
        <w:t>,</w:t>
      </w:r>
      <w:r w:rsidRPr="00A17D58">
        <w:rPr>
          <w:rFonts w:cs="Arial"/>
        </w:rPr>
        <w:t xml:space="preserve"> deemed capital in 2025 was added to NLA Asset Value.</w:t>
      </w:r>
    </w:p>
    <w:p w14:paraId="54036860" w14:textId="3C147FC0" w:rsidR="00AD0F47" w:rsidRPr="007B6809" w:rsidRDefault="00AD0F47" w:rsidP="00DB2499">
      <w:pPr>
        <w:jc w:val="both"/>
        <w:rPr>
          <w:rFonts w:cs="Arial"/>
          <w:b/>
          <w:bCs/>
          <w:sz w:val="20"/>
          <w:szCs w:val="20"/>
        </w:rPr>
      </w:pPr>
      <w:r w:rsidRPr="007B6809">
        <w:rPr>
          <w:rFonts w:cs="Arial"/>
          <w:b/>
          <w:bCs/>
          <w:sz w:val="20"/>
          <w:szCs w:val="20"/>
        </w:rPr>
        <w:t xml:space="preserve">Table 1 – Summary of Changes to </w:t>
      </w:r>
      <w:r w:rsidR="009804D4">
        <w:rPr>
          <w:rFonts w:cs="Arial"/>
          <w:b/>
          <w:bCs/>
          <w:sz w:val="20"/>
          <w:szCs w:val="20"/>
        </w:rPr>
        <w:t>the</w:t>
      </w:r>
      <w:r w:rsidRPr="007B6809">
        <w:rPr>
          <w:rFonts w:cs="Arial"/>
          <w:b/>
          <w:bCs/>
          <w:sz w:val="20"/>
          <w:szCs w:val="20"/>
        </w:rPr>
        <w:t xml:space="preserve"> Parking Lot Asset Lines from the NLA Balance Sheet</w:t>
      </w:r>
    </w:p>
    <w:tbl>
      <w:tblPr>
        <w:tblW w:w="7304" w:type="dxa"/>
        <w:tblInd w:w="1034" w:type="dxa"/>
        <w:tblLook w:val="04A0" w:firstRow="1" w:lastRow="0" w:firstColumn="1" w:lastColumn="0" w:noHBand="0" w:noVBand="1"/>
      </w:tblPr>
      <w:tblGrid>
        <w:gridCol w:w="1976"/>
        <w:gridCol w:w="1776"/>
        <w:gridCol w:w="1776"/>
        <w:gridCol w:w="1776"/>
      </w:tblGrid>
      <w:tr w:rsidR="00310A2D" w:rsidRPr="00310A2D" w14:paraId="5D597796" w14:textId="77777777" w:rsidTr="00310A2D">
        <w:trPr>
          <w:trHeight w:val="300"/>
        </w:trPr>
        <w:tc>
          <w:tcPr>
            <w:tcW w:w="1976" w:type="dxa"/>
            <w:tcBorders>
              <w:top w:val="single" w:sz="4" w:space="0" w:color="auto"/>
              <w:left w:val="nil"/>
              <w:bottom w:val="double" w:sz="6" w:space="0" w:color="auto"/>
              <w:right w:val="nil"/>
            </w:tcBorders>
            <w:noWrap/>
            <w:vAlign w:val="bottom"/>
            <w:hideMark/>
          </w:tcPr>
          <w:p w14:paraId="4BB123A2" w14:textId="77777777" w:rsidR="00310A2D" w:rsidRPr="00310A2D" w:rsidRDefault="00310A2D" w:rsidP="00DB2499">
            <w:pPr>
              <w:spacing w:after="0" w:line="240" w:lineRule="auto"/>
              <w:jc w:val="both"/>
              <w:rPr>
                <w:rFonts w:eastAsia="Times New Roman" w:cs="Arial"/>
                <w:color w:val="000000"/>
                <w:lang w:eastAsia="en-CA"/>
              </w:rPr>
            </w:pPr>
            <w:r w:rsidRPr="00310A2D">
              <w:rPr>
                <w:rFonts w:eastAsia="Times New Roman" w:cs="Arial"/>
                <w:color w:val="000000"/>
                <w:lang w:eastAsia="en-CA"/>
              </w:rPr>
              <w:t>Capital Assets</w:t>
            </w:r>
          </w:p>
        </w:tc>
        <w:tc>
          <w:tcPr>
            <w:tcW w:w="1776" w:type="dxa"/>
            <w:tcBorders>
              <w:top w:val="single" w:sz="4" w:space="0" w:color="auto"/>
              <w:left w:val="nil"/>
              <w:bottom w:val="double" w:sz="6" w:space="0" w:color="auto"/>
              <w:right w:val="nil"/>
            </w:tcBorders>
            <w:noWrap/>
            <w:vAlign w:val="bottom"/>
            <w:hideMark/>
          </w:tcPr>
          <w:p w14:paraId="65B0CAF3" w14:textId="457B7209" w:rsidR="00310A2D" w:rsidRPr="00310A2D" w:rsidRDefault="005C3F19" w:rsidP="00DB2499">
            <w:pPr>
              <w:spacing w:after="0" w:line="240" w:lineRule="auto"/>
              <w:jc w:val="both"/>
              <w:rPr>
                <w:rFonts w:eastAsia="Times New Roman" w:cs="Arial"/>
                <w:color w:val="000000"/>
                <w:lang w:eastAsia="en-CA"/>
              </w:rPr>
            </w:pPr>
            <w:r>
              <w:rPr>
                <w:rFonts w:eastAsia="Times New Roman" w:cs="Arial"/>
                <w:color w:val="000000"/>
                <w:lang w:eastAsia="en-CA"/>
              </w:rPr>
              <w:t>31 Dec. 202</w:t>
            </w:r>
            <w:r w:rsidR="009804D4">
              <w:rPr>
                <w:rFonts w:eastAsia="Times New Roman" w:cs="Arial"/>
                <w:color w:val="000000"/>
                <w:lang w:eastAsia="en-CA"/>
              </w:rPr>
              <w:t>5</w:t>
            </w:r>
          </w:p>
        </w:tc>
        <w:tc>
          <w:tcPr>
            <w:tcW w:w="1776" w:type="dxa"/>
            <w:tcBorders>
              <w:top w:val="single" w:sz="4" w:space="0" w:color="auto"/>
              <w:left w:val="nil"/>
              <w:bottom w:val="double" w:sz="6" w:space="0" w:color="auto"/>
              <w:right w:val="nil"/>
            </w:tcBorders>
            <w:noWrap/>
            <w:vAlign w:val="bottom"/>
            <w:hideMark/>
          </w:tcPr>
          <w:p w14:paraId="4A66C8F5" w14:textId="47AEA631" w:rsidR="00310A2D" w:rsidRPr="00310A2D" w:rsidRDefault="005C3F19" w:rsidP="00DB2499">
            <w:pPr>
              <w:spacing w:after="0" w:line="240" w:lineRule="auto"/>
              <w:jc w:val="both"/>
              <w:rPr>
                <w:rFonts w:eastAsia="Times New Roman" w:cs="Arial"/>
                <w:color w:val="000000"/>
                <w:lang w:eastAsia="en-CA"/>
              </w:rPr>
            </w:pPr>
            <w:r>
              <w:rPr>
                <w:rFonts w:eastAsia="Times New Roman" w:cs="Arial"/>
                <w:color w:val="000000"/>
                <w:lang w:eastAsia="en-CA"/>
              </w:rPr>
              <w:t>31 Dec.</w:t>
            </w:r>
            <w:r w:rsidR="00310A2D" w:rsidRPr="00310A2D">
              <w:rPr>
                <w:rFonts w:eastAsia="Times New Roman" w:cs="Arial"/>
                <w:color w:val="000000"/>
                <w:lang w:eastAsia="en-CA"/>
              </w:rPr>
              <w:t xml:space="preserve"> 202</w:t>
            </w:r>
            <w:r w:rsidR="009804D4">
              <w:rPr>
                <w:rFonts w:eastAsia="Times New Roman" w:cs="Arial"/>
                <w:color w:val="000000"/>
                <w:lang w:eastAsia="en-CA"/>
              </w:rPr>
              <w:t>4</w:t>
            </w:r>
          </w:p>
        </w:tc>
        <w:tc>
          <w:tcPr>
            <w:tcW w:w="1776" w:type="dxa"/>
            <w:tcBorders>
              <w:top w:val="single" w:sz="4" w:space="0" w:color="auto"/>
              <w:left w:val="nil"/>
              <w:bottom w:val="double" w:sz="6" w:space="0" w:color="auto"/>
              <w:right w:val="nil"/>
            </w:tcBorders>
            <w:noWrap/>
            <w:vAlign w:val="bottom"/>
            <w:hideMark/>
          </w:tcPr>
          <w:p w14:paraId="6438426F" w14:textId="1BE4FD48" w:rsidR="00310A2D" w:rsidRPr="00310A2D" w:rsidRDefault="00145DE6" w:rsidP="00DB2499">
            <w:pPr>
              <w:spacing w:after="0" w:line="240" w:lineRule="auto"/>
              <w:jc w:val="both"/>
              <w:rPr>
                <w:rFonts w:eastAsia="Times New Roman" w:cs="Arial"/>
                <w:color w:val="000000"/>
                <w:lang w:eastAsia="en-CA"/>
              </w:rPr>
            </w:pPr>
            <w:r>
              <w:rPr>
                <w:rFonts w:eastAsia="Times New Roman" w:cs="Arial"/>
                <w:color w:val="000000"/>
                <w:lang w:eastAsia="en-CA"/>
              </w:rPr>
              <w:t>Delta</w:t>
            </w:r>
          </w:p>
        </w:tc>
      </w:tr>
      <w:tr w:rsidR="00310A2D" w:rsidRPr="00310A2D" w14:paraId="178784F2" w14:textId="77777777" w:rsidTr="00AD0F47">
        <w:trPr>
          <w:trHeight w:val="255"/>
        </w:trPr>
        <w:tc>
          <w:tcPr>
            <w:tcW w:w="1976" w:type="dxa"/>
            <w:tcBorders>
              <w:top w:val="nil"/>
              <w:left w:val="nil"/>
              <w:bottom w:val="nil"/>
              <w:right w:val="nil"/>
            </w:tcBorders>
            <w:noWrap/>
            <w:vAlign w:val="bottom"/>
            <w:hideMark/>
          </w:tcPr>
          <w:p w14:paraId="320F2346" w14:textId="457DAC1B" w:rsidR="00A17D58" w:rsidRDefault="004F25B1" w:rsidP="00DB2499">
            <w:pPr>
              <w:spacing w:after="0" w:line="240" w:lineRule="auto"/>
              <w:jc w:val="both"/>
              <w:rPr>
                <w:rFonts w:eastAsia="Times New Roman" w:cs="Arial"/>
                <w:color w:val="000000"/>
                <w:lang w:eastAsia="en-CA"/>
              </w:rPr>
            </w:pPr>
            <w:r>
              <w:rPr>
                <w:rFonts w:eastAsia="Times New Roman" w:cs="Arial"/>
                <w:color w:val="000000"/>
                <w:lang w:eastAsia="en-CA"/>
              </w:rPr>
              <w:t xml:space="preserve"> Total</w:t>
            </w:r>
          </w:p>
          <w:p w14:paraId="77EDF547" w14:textId="12FA9412" w:rsidR="00310A2D" w:rsidRPr="00310A2D" w:rsidRDefault="00310A2D" w:rsidP="00DB2499">
            <w:pPr>
              <w:spacing w:after="0" w:line="240" w:lineRule="auto"/>
              <w:jc w:val="both"/>
              <w:rPr>
                <w:rFonts w:eastAsia="Times New Roman" w:cs="Arial"/>
                <w:color w:val="000000"/>
                <w:lang w:eastAsia="en-CA"/>
              </w:rPr>
            </w:pPr>
            <w:r w:rsidRPr="00310A2D">
              <w:rPr>
                <w:rFonts w:eastAsia="Times New Roman" w:cs="Arial"/>
                <w:color w:val="000000"/>
                <w:lang w:eastAsia="en-CA"/>
              </w:rPr>
              <w:t>Parking Lot</w:t>
            </w:r>
          </w:p>
        </w:tc>
        <w:tc>
          <w:tcPr>
            <w:tcW w:w="1776" w:type="dxa"/>
            <w:tcBorders>
              <w:top w:val="nil"/>
              <w:left w:val="nil"/>
              <w:bottom w:val="nil"/>
              <w:right w:val="nil"/>
            </w:tcBorders>
            <w:noWrap/>
            <w:vAlign w:val="bottom"/>
            <w:hideMark/>
          </w:tcPr>
          <w:p w14:paraId="0876E37B" w14:textId="465AEDBA" w:rsidR="004F25B1" w:rsidRDefault="004F25B1" w:rsidP="00DB2499">
            <w:pPr>
              <w:spacing w:after="0" w:line="240" w:lineRule="auto"/>
              <w:jc w:val="both"/>
              <w:rPr>
                <w:rFonts w:eastAsia="Times New Roman" w:cs="Arial"/>
                <w:color w:val="000000"/>
                <w:lang w:eastAsia="en-CA"/>
              </w:rPr>
            </w:pPr>
            <w:r>
              <w:rPr>
                <w:rFonts w:eastAsia="Times New Roman" w:cs="Arial"/>
                <w:color w:val="000000"/>
                <w:lang w:eastAsia="en-CA"/>
              </w:rPr>
              <w:t>$2,870,107</w:t>
            </w:r>
          </w:p>
          <w:p w14:paraId="7EE7AA63" w14:textId="0D8A29EB" w:rsidR="00310A2D" w:rsidRPr="00310A2D" w:rsidRDefault="009804D4" w:rsidP="00DB2499">
            <w:pPr>
              <w:spacing w:after="0" w:line="240" w:lineRule="auto"/>
              <w:jc w:val="both"/>
              <w:rPr>
                <w:rFonts w:eastAsia="Times New Roman" w:cs="Arial"/>
                <w:color w:val="000000"/>
                <w:lang w:eastAsia="en-CA"/>
              </w:rPr>
            </w:pPr>
            <w:r>
              <w:rPr>
                <w:rFonts w:eastAsia="Times New Roman" w:cs="Arial"/>
                <w:color w:val="000000"/>
                <w:lang w:eastAsia="en-CA"/>
              </w:rPr>
              <w:t>$577,441</w:t>
            </w:r>
          </w:p>
        </w:tc>
        <w:tc>
          <w:tcPr>
            <w:tcW w:w="1776" w:type="dxa"/>
            <w:tcBorders>
              <w:top w:val="nil"/>
              <w:left w:val="nil"/>
              <w:bottom w:val="nil"/>
              <w:right w:val="nil"/>
            </w:tcBorders>
            <w:noWrap/>
            <w:vAlign w:val="bottom"/>
            <w:hideMark/>
          </w:tcPr>
          <w:p w14:paraId="36BAAC4F" w14:textId="02AFFCC4" w:rsidR="004F25B1" w:rsidRDefault="004F25B1" w:rsidP="00DB2499">
            <w:pPr>
              <w:spacing w:after="0" w:line="240" w:lineRule="auto"/>
              <w:jc w:val="both"/>
              <w:rPr>
                <w:rFonts w:eastAsia="Times New Roman" w:cs="Arial"/>
                <w:color w:val="000000"/>
                <w:lang w:eastAsia="en-CA"/>
              </w:rPr>
            </w:pPr>
            <w:r>
              <w:rPr>
                <w:rFonts w:eastAsia="Times New Roman" w:cs="Arial"/>
                <w:color w:val="000000"/>
                <w:lang w:eastAsia="en-CA"/>
              </w:rPr>
              <w:t>$2,323,647</w:t>
            </w:r>
          </w:p>
          <w:p w14:paraId="18809313" w14:textId="295ED914" w:rsidR="00310A2D" w:rsidRPr="00310A2D" w:rsidRDefault="00310A2D" w:rsidP="00DB2499">
            <w:pPr>
              <w:spacing w:after="0" w:line="240" w:lineRule="auto"/>
              <w:jc w:val="both"/>
              <w:rPr>
                <w:rFonts w:eastAsia="Times New Roman" w:cs="Arial"/>
                <w:color w:val="000000"/>
                <w:lang w:eastAsia="en-CA"/>
              </w:rPr>
            </w:pPr>
            <w:r w:rsidRPr="00310A2D">
              <w:rPr>
                <w:rFonts w:eastAsia="Times New Roman" w:cs="Arial"/>
                <w:color w:val="000000"/>
                <w:lang w:eastAsia="en-CA"/>
              </w:rPr>
              <w:t>$</w:t>
            </w:r>
            <w:r w:rsidR="009804D4" w:rsidRPr="00310A2D">
              <w:rPr>
                <w:rFonts w:eastAsia="Times New Roman" w:cs="Arial"/>
                <w:color w:val="000000"/>
                <w:lang w:eastAsia="en-CA"/>
              </w:rPr>
              <w:t>36,437</w:t>
            </w:r>
          </w:p>
        </w:tc>
        <w:tc>
          <w:tcPr>
            <w:tcW w:w="1776" w:type="dxa"/>
            <w:tcBorders>
              <w:top w:val="nil"/>
              <w:left w:val="nil"/>
              <w:bottom w:val="nil"/>
              <w:right w:val="nil"/>
            </w:tcBorders>
            <w:noWrap/>
            <w:vAlign w:val="bottom"/>
            <w:hideMark/>
          </w:tcPr>
          <w:p w14:paraId="20189EA1" w14:textId="04239051" w:rsidR="00744A0B" w:rsidRDefault="00744A0B" w:rsidP="00DB2499">
            <w:pPr>
              <w:spacing w:after="0" w:line="240" w:lineRule="auto"/>
              <w:jc w:val="both"/>
              <w:rPr>
                <w:rFonts w:eastAsia="Times New Roman" w:cs="Arial"/>
                <w:color w:val="000000"/>
                <w:lang w:eastAsia="en-CA"/>
              </w:rPr>
            </w:pPr>
            <w:r>
              <w:rPr>
                <w:rFonts w:eastAsia="Times New Roman" w:cs="Arial"/>
                <w:color w:val="000000"/>
                <w:lang w:eastAsia="en-CA"/>
              </w:rPr>
              <w:t>$546</w:t>
            </w:r>
            <w:r w:rsidR="004D1F6C">
              <w:rPr>
                <w:rFonts w:eastAsia="Times New Roman" w:cs="Arial"/>
                <w:color w:val="000000"/>
                <w:lang w:eastAsia="en-CA"/>
              </w:rPr>
              <w:t>,460</w:t>
            </w:r>
          </w:p>
          <w:p w14:paraId="1797042A" w14:textId="51368C29" w:rsidR="00310A2D" w:rsidRPr="00310A2D" w:rsidRDefault="004D1F6C" w:rsidP="00DB2499">
            <w:pPr>
              <w:spacing w:after="0" w:line="240" w:lineRule="auto"/>
              <w:jc w:val="both"/>
              <w:rPr>
                <w:rFonts w:eastAsia="Times New Roman" w:cs="Arial"/>
                <w:color w:val="000000"/>
                <w:lang w:eastAsia="en-CA"/>
              </w:rPr>
            </w:pPr>
            <w:r>
              <w:rPr>
                <w:rFonts w:eastAsia="Times New Roman" w:cs="Arial"/>
                <w:color w:val="000000"/>
                <w:lang w:eastAsia="en-CA"/>
              </w:rPr>
              <w:t xml:space="preserve"> $541</w:t>
            </w:r>
            <w:r w:rsidR="008B17A8">
              <w:rPr>
                <w:rFonts w:eastAsia="Times New Roman" w:cs="Arial"/>
                <w:color w:val="000000"/>
                <w:lang w:eastAsia="en-CA"/>
              </w:rPr>
              <w:t>,004</w:t>
            </w:r>
          </w:p>
        </w:tc>
      </w:tr>
    </w:tbl>
    <w:p w14:paraId="626FB6C1" w14:textId="77777777" w:rsidR="007620F9" w:rsidRPr="00AD0F47" w:rsidRDefault="007620F9" w:rsidP="00DB2499">
      <w:pPr>
        <w:jc w:val="both"/>
        <w:rPr>
          <w:rFonts w:cs="Arial"/>
        </w:rPr>
      </w:pPr>
    </w:p>
    <w:p w14:paraId="343DC973" w14:textId="7140A36D" w:rsidR="009804D4" w:rsidRPr="00C96E2C" w:rsidRDefault="00825B62" w:rsidP="00DB2499">
      <w:pPr>
        <w:jc w:val="both"/>
        <w:rPr>
          <w:rFonts w:cs="Arial"/>
        </w:rPr>
      </w:pPr>
      <w:r w:rsidRPr="00436549">
        <w:rPr>
          <w:rFonts w:cs="Arial"/>
          <w:b/>
          <w:bCs/>
        </w:rPr>
        <w:t>Liabilit</w:t>
      </w:r>
      <w:r w:rsidR="0072060B" w:rsidRPr="00436549">
        <w:rPr>
          <w:rFonts w:cs="Arial"/>
          <w:b/>
          <w:bCs/>
        </w:rPr>
        <w:t xml:space="preserve">ies – </w:t>
      </w:r>
      <w:r w:rsidR="0072060B" w:rsidRPr="00C96E2C">
        <w:rPr>
          <w:rFonts w:cs="Arial"/>
        </w:rPr>
        <w:t>money owed to others through loans, mortgages</w:t>
      </w:r>
      <w:r w:rsidR="00980AEB" w:rsidRPr="00C96E2C">
        <w:rPr>
          <w:rFonts w:cs="Arial"/>
        </w:rPr>
        <w:t>, etc.</w:t>
      </w:r>
    </w:p>
    <w:p w14:paraId="0D797BA6" w14:textId="134C35DA" w:rsidR="00C559ED" w:rsidRPr="001C6B76" w:rsidRDefault="00C559ED" w:rsidP="001C6B76">
      <w:pPr>
        <w:jc w:val="both"/>
        <w:rPr>
          <w:rFonts w:cs="Arial"/>
        </w:rPr>
      </w:pPr>
      <w:r w:rsidRPr="00A34AD8">
        <w:rPr>
          <w:rFonts w:cs="Arial"/>
          <w:b/>
          <w:bCs/>
        </w:rPr>
        <w:t xml:space="preserve">Short Term Debt </w:t>
      </w:r>
      <w:r w:rsidR="00A34AD8">
        <w:rPr>
          <w:rFonts w:cs="Arial"/>
        </w:rPr>
        <w:t xml:space="preserve">- </w:t>
      </w:r>
      <w:r w:rsidRPr="00A34AD8">
        <w:rPr>
          <w:rFonts w:cs="Arial"/>
        </w:rPr>
        <w:t>In February 2025 a line of credit (LOC) of $500,000 was obtained from Southwest Credit Union to cover the costs of the paving project</w:t>
      </w:r>
      <w:r w:rsidR="001C6B76">
        <w:rPr>
          <w:rFonts w:cs="Arial"/>
        </w:rPr>
        <w:t>. The</w:t>
      </w:r>
      <w:r w:rsidR="00D71DF0">
        <w:rPr>
          <w:rFonts w:cs="Arial"/>
        </w:rPr>
        <w:t xml:space="preserve"> </w:t>
      </w:r>
      <w:r w:rsidR="00045689">
        <w:rPr>
          <w:rFonts w:cs="Arial"/>
        </w:rPr>
        <w:t>$349,677 total</w:t>
      </w:r>
      <w:r w:rsidR="001C6B76">
        <w:rPr>
          <w:rFonts w:cs="Arial"/>
        </w:rPr>
        <w:t xml:space="preserve"> includ</w:t>
      </w:r>
      <w:r w:rsidR="00045689">
        <w:rPr>
          <w:rFonts w:cs="Arial"/>
        </w:rPr>
        <w:t>es</w:t>
      </w:r>
      <w:r w:rsidR="001C6B76">
        <w:rPr>
          <w:rFonts w:cs="Arial"/>
        </w:rPr>
        <w:t xml:space="preserve"> </w:t>
      </w:r>
      <w:r w:rsidR="009D2692">
        <w:rPr>
          <w:rFonts w:cs="Arial"/>
        </w:rPr>
        <w:t>a)</w:t>
      </w:r>
      <w:r w:rsidR="001C6B76">
        <w:rPr>
          <w:rFonts w:cs="Arial"/>
        </w:rPr>
        <w:t xml:space="preserve"> </w:t>
      </w:r>
      <w:r>
        <w:rPr>
          <w:rFonts w:cs="Arial"/>
        </w:rPr>
        <w:t>$</w:t>
      </w:r>
      <w:r w:rsidR="00A47DE7">
        <w:rPr>
          <w:rFonts w:cs="Arial"/>
        </w:rPr>
        <w:t>49</w:t>
      </w:r>
      <w:r w:rsidR="00C72B28">
        <w:rPr>
          <w:rFonts w:cs="Arial"/>
        </w:rPr>
        <w:t>,677</w:t>
      </w:r>
      <w:r>
        <w:rPr>
          <w:rFonts w:cs="Arial"/>
        </w:rPr>
        <w:t xml:space="preserve"> to cover </w:t>
      </w:r>
      <w:r w:rsidR="00080F7F">
        <w:rPr>
          <w:rFonts w:cs="Arial"/>
        </w:rPr>
        <w:t xml:space="preserve">project </w:t>
      </w:r>
      <w:r>
        <w:rPr>
          <w:rFonts w:cs="Arial"/>
        </w:rPr>
        <w:t>costs already incurred in 2024 ($29,438) and pending costs in 1Q2025</w:t>
      </w:r>
      <w:r w:rsidR="009D2692">
        <w:rPr>
          <w:rFonts w:cs="Arial"/>
        </w:rPr>
        <w:t xml:space="preserve"> </w:t>
      </w:r>
      <w:r w:rsidR="00080F7F">
        <w:rPr>
          <w:rFonts w:cs="Arial"/>
        </w:rPr>
        <w:t xml:space="preserve">as well as </w:t>
      </w:r>
      <w:r w:rsidR="009D2692">
        <w:rPr>
          <w:rFonts w:cs="Arial"/>
        </w:rPr>
        <w:t xml:space="preserve">b) </w:t>
      </w:r>
      <w:r w:rsidRPr="001C6B76">
        <w:rPr>
          <w:rFonts w:cs="Arial"/>
        </w:rPr>
        <w:t xml:space="preserve">$300,000 in June 2025 to cover the first </w:t>
      </w:r>
      <w:r w:rsidR="008B17A8" w:rsidRPr="001C6B76">
        <w:rPr>
          <w:rFonts w:cs="Arial"/>
        </w:rPr>
        <w:t>instalment</w:t>
      </w:r>
      <w:r w:rsidRPr="001C6B76">
        <w:rPr>
          <w:rFonts w:cs="Arial"/>
        </w:rPr>
        <w:t xml:space="preserve"> to Sevcon, the paving contractor conducting the work</w:t>
      </w:r>
      <w:r w:rsidR="005652F4">
        <w:rPr>
          <w:rFonts w:cs="Arial"/>
        </w:rPr>
        <w:t>.</w:t>
      </w:r>
    </w:p>
    <w:p w14:paraId="61144E0D" w14:textId="644C8BE4" w:rsidR="00C559ED" w:rsidRPr="009D2692" w:rsidRDefault="00C559ED" w:rsidP="009D2692">
      <w:pPr>
        <w:jc w:val="both"/>
        <w:rPr>
          <w:rFonts w:cs="Arial"/>
          <w:b/>
          <w:bCs/>
        </w:rPr>
      </w:pPr>
      <w:r w:rsidRPr="00A34AD8">
        <w:rPr>
          <w:rFonts w:cs="Arial"/>
          <w:b/>
          <w:bCs/>
        </w:rPr>
        <w:t>Accounts Payable and Accrued Debt of $275,777</w:t>
      </w:r>
      <w:r w:rsidR="00200DB7">
        <w:rPr>
          <w:rFonts w:cs="Arial"/>
          <w:b/>
          <w:bCs/>
        </w:rPr>
        <w:t xml:space="preserve"> - </w:t>
      </w:r>
      <w:r w:rsidR="00980AEB" w:rsidRPr="00200DB7">
        <w:rPr>
          <w:rFonts w:cs="Arial"/>
        </w:rPr>
        <w:t>R</w:t>
      </w:r>
      <w:r w:rsidRPr="00200DB7">
        <w:rPr>
          <w:rFonts w:cs="Arial"/>
        </w:rPr>
        <w:t>eflects outstanding debts owed by NLA Petrolia on December 31, 2025</w:t>
      </w:r>
      <w:r w:rsidR="009D2692">
        <w:rPr>
          <w:rFonts w:cs="Arial"/>
          <w:b/>
          <w:bCs/>
        </w:rPr>
        <w:t xml:space="preserve">. </w:t>
      </w:r>
      <w:r w:rsidR="009D2692">
        <w:rPr>
          <w:rFonts w:cs="Arial"/>
        </w:rPr>
        <w:t xml:space="preserve">These include a) </w:t>
      </w:r>
      <w:r w:rsidRPr="009D2692">
        <w:rPr>
          <w:rFonts w:cs="Arial"/>
        </w:rPr>
        <w:t xml:space="preserve">$264,000 </w:t>
      </w:r>
      <w:r w:rsidR="00980AEB" w:rsidRPr="009D2692">
        <w:rPr>
          <w:rFonts w:cs="Arial"/>
        </w:rPr>
        <w:t xml:space="preserve">for </w:t>
      </w:r>
      <w:r w:rsidRPr="009D2692">
        <w:rPr>
          <w:rFonts w:cs="Arial"/>
        </w:rPr>
        <w:t xml:space="preserve">the final </w:t>
      </w:r>
      <w:r w:rsidR="00F14816" w:rsidRPr="009D2692">
        <w:rPr>
          <w:rFonts w:cs="Arial"/>
        </w:rPr>
        <w:t>instal</w:t>
      </w:r>
      <w:r w:rsidR="00FC5E3F">
        <w:rPr>
          <w:rFonts w:cs="Arial"/>
        </w:rPr>
        <w:t>l</w:t>
      </w:r>
      <w:r w:rsidR="00F14816" w:rsidRPr="009D2692">
        <w:rPr>
          <w:rFonts w:cs="Arial"/>
        </w:rPr>
        <w:t>ment</w:t>
      </w:r>
      <w:r w:rsidRPr="009D2692">
        <w:rPr>
          <w:rFonts w:cs="Arial"/>
        </w:rPr>
        <w:t xml:space="preserve"> for the paving project due in June 2026</w:t>
      </w:r>
      <w:r w:rsidR="009D2692">
        <w:rPr>
          <w:rFonts w:cs="Arial"/>
          <w:b/>
          <w:bCs/>
        </w:rPr>
        <w:t xml:space="preserve"> </w:t>
      </w:r>
      <w:r w:rsidR="009D2692">
        <w:rPr>
          <w:rFonts w:cs="Arial"/>
        </w:rPr>
        <w:t xml:space="preserve">and b) </w:t>
      </w:r>
      <w:r w:rsidRPr="009D2692">
        <w:rPr>
          <w:rFonts w:cs="Arial"/>
        </w:rPr>
        <w:t>$11,777 is the balance on the NLA Visa on December 31, 2025</w:t>
      </w:r>
      <w:r w:rsidR="009D2692">
        <w:rPr>
          <w:rFonts w:cs="Arial"/>
        </w:rPr>
        <w:t>.</w:t>
      </w:r>
    </w:p>
    <w:p w14:paraId="208A58AF" w14:textId="698553B6" w:rsidR="003F417F" w:rsidRPr="00200DB7" w:rsidRDefault="004F25B1" w:rsidP="00200DB7">
      <w:pPr>
        <w:jc w:val="both"/>
        <w:rPr>
          <w:rFonts w:cs="Arial"/>
        </w:rPr>
      </w:pPr>
      <w:r w:rsidRPr="00A34AD8">
        <w:rPr>
          <w:rFonts w:cs="Arial"/>
          <w:b/>
          <w:bCs/>
        </w:rPr>
        <w:t>Long Term Liabilities</w:t>
      </w:r>
      <w:r w:rsidR="00200DB7">
        <w:rPr>
          <w:rFonts w:cs="Arial"/>
        </w:rPr>
        <w:t xml:space="preserve"> - </w:t>
      </w:r>
      <w:r w:rsidR="00F14816" w:rsidRPr="00200DB7">
        <w:rPr>
          <w:rFonts w:cs="Arial"/>
        </w:rPr>
        <w:t xml:space="preserve">In 4Q2024 a member loaned NLA $150,000 to </w:t>
      </w:r>
      <w:r w:rsidR="009E5B13" w:rsidRPr="00200DB7">
        <w:rPr>
          <w:rFonts w:cs="Arial"/>
        </w:rPr>
        <w:t>ensure funds were in place to cover various late</w:t>
      </w:r>
      <w:r w:rsidR="001B53C7">
        <w:rPr>
          <w:rFonts w:cs="Arial"/>
        </w:rPr>
        <w:t xml:space="preserve"> </w:t>
      </w:r>
      <w:r w:rsidR="009E5B13" w:rsidRPr="00200DB7">
        <w:rPr>
          <w:rFonts w:cs="Arial"/>
        </w:rPr>
        <w:t>2024/early 2025 paving project costs until project</w:t>
      </w:r>
      <w:r w:rsidR="00C559ED" w:rsidRPr="00200DB7">
        <w:rPr>
          <w:rFonts w:cs="Arial"/>
        </w:rPr>
        <w:t xml:space="preserve"> financing was put in place</w:t>
      </w:r>
      <w:r w:rsidR="009E5B13" w:rsidRPr="00200DB7">
        <w:rPr>
          <w:rFonts w:cs="Arial"/>
        </w:rPr>
        <w:t>.</w:t>
      </w:r>
      <w:r w:rsidR="00C559ED" w:rsidRPr="00200DB7">
        <w:rPr>
          <w:rFonts w:cs="Arial"/>
        </w:rPr>
        <w:t xml:space="preserve"> </w:t>
      </w:r>
      <w:r w:rsidR="009E5B13" w:rsidRPr="00200DB7">
        <w:rPr>
          <w:rFonts w:cs="Arial"/>
        </w:rPr>
        <w:t>In</w:t>
      </w:r>
      <w:r w:rsidR="00C559ED" w:rsidRPr="00200DB7">
        <w:rPr>
          <w:rFonts w:cs="Arial"/>
        </w:rPr>
        <w:t xml:space="preserve"> March 2025, the loan was paid in full</w:t>
      </w:r>
      <w:r w:rsidR="009E5B13" w:rsidRPr="00200DB7">
        <w:rPr>
          <w:rFonts w:cs="Arial"/>
        </w:rPr>
        <w:t>.</w:t>
      </w:r>
      <w:r w:rsidR="00200DB7">
        <w:rPr>
          <w:rFonts w:cs="Arial"/>
        </w:rPr>
        <w:t xml:space="preserve"> </w:t>
      </w:r>
      <w:r w:rsidRPr="00200DB7">
        <w:rPr>
          <w:rFonts w:cs="Arial"/>
        </w:rPr>
        <w:t>The $976 of long-term debt no longer listed in 2025</w:t>
      </w:r>
      <w:r w:rsidR="001B53C7">
        <w:rPr>
          <w:rFonts w:cs="Arial"/>
        </w:rPr>
        <w:t>,</w:t>
      </w:r>
      <w:r w:rsidRPr="00200DB7">
        <w:rPr>
          <w:rFonts w:cs="Arial"/>
        </w:rPr>
        <w:t xml:space="preserve"> reflects that the loan for the utility tractor </w:t>
      </w:r>
      <w:r w:rsidR="001B53C7">
        <w:rPr>
          <w:rFonts w:cs="Arial"/>
        </w:rPr>
        <w:t xml:space="preserve">was </w:t>
      </w:r>
      <w:r w:rsidRPr="00200DB7">
        <w:rPr>
          <w:rFonts w:cs="Arial"/>
        </w:rPr>
        <w:t>fully paid in 2025</w:t>
      </w:r>
      <w:r w:rsidR="001B53C7">
        <w:rPr>
          <w:rFonts w:cs="Arial"/>
        </w:rPr>
        <w:t>.</w:t>
      </w:r>
      <w:r w:rsidRPr="00200DB7">
        <w:rPr>
          <w:rFonts w:cs="Arial"/>
        </w:rPr>
        <w:t xml:space="preserve"> </w:t>
      </w:r>
    </w:p>
    <w:p w14:paraId="397CA863" w14:textId="341E06D8" w:rsidR="005E69DE" w:rsidRPr="00CE1790" w:rsidRDefault="00523CD1" w:rsidP="00DB2499">
      <w:pPr>
        <w:jc w:val="both"/>
        <w:rPr>
          <w:rFonts w:cs="Arial"/>
          <w:b/>
          <w:bCs/>
          <w:sz w:val="28"/>
          <w:szCs w:val="32"/>
        </w:rPr>
      </w:pPr>
      <w:r>
        <w:rPr>
          <w:rFonts w:cs="Arial"/>
          <w:b/>
          <w:bCs/>
          <w:sz w:val="28"/>
          <w:szCs w:val="32"/>
        </w:rPr>
        <w:lastRenderedPageBreak/>
        <w:t>Statement of Operations and Surplus</w:t>
      </w:r>
    </w:p>
    <w:p w14:paraId="6B5A4207" w14:textId="309352F9" w:rsidR="007D6158" w:rsidRPr="00417BD7" w:rsidRDefault="007A4BCC" w:rsidP="00DB2499">
      <w:pPr>
        <w:jc w:val="both"/>
        <w:rPr>
          <w:rFonts w:cs="Arial"/>
        </w:rPr>
      </w:pPr>
      <w:r w:rsidRPr="00506E1C">
        <w:rPr>
          <w:rFonts w:cs="Arial"/>
          <w:b/>
          <w:bCs/>
        </w:rPr>
        <w:t>Statement of Operations</w:t>
      </w:r>
      <w:r w:rsidR="00F5766C">
        <w:rPr>
          <w:rFonts w:cs="Arial"/>
          <w:b/>
          <w:bCs/>
        </w:rPr>
        <w:t xml:space="preserve"> &amp; </w:t>
      </w:r>
      <w:r w:rsidR="00417BD7">
        <w:rPr>
          <w:rFonts w:cs="Arial"/>
          <w:b/>
          <w:bCs/>
        </w:rPr>
        <w:t>Surplus</w:t>
      </w:r>
      <w:r w:rsidR="00825B62" w:rsidRPr="00506E1C">
        <w:rPr>
          <w:rFonts w:cs="Arial"/>
        </w:rPr>
        <w:t xml:space="preserve"> and </w:t>
      </w:r>
      <w:r w:rsidR="00825B62" w:rsidRPr="00506E1C">
        <w:rPr>
          <w:rFonts w:cs="Arial"/>
          <w:b/>
          <w:bCs/>
        </w:rPr>
        <w:t>Missions</w:t>
      </w:r>
      <w:r w:rsidR="00825B62" w:rsidRPr="00506E1C">
        <w:rPr>
          <w:rFonts w:cs="Arial"/>
        </w:rPr>
        <w:t xml:space="preserve"> </w:t>
      </w:r>
      <w:r w:rsidR="00417BD7">
        <w:rPr>
          <w:rFonts w:cs="Arial"/>
        </w:rPr>
        <w:t xml:space="preserve">reports </w:t>
      </w:r>
      <w:r w:rsidR="00825B62" w:rsidRPr="00506E1C">
        <w:rPr>
          <w:rFonts w:cs="Arial"/>
        </w:rPr>
        <w:t xml:space="preserve">are </w:t>
      </w:r>
      <w:r w:rsidR="004F25B1" w:rsidRPr="00506E1C">
        <w:rPr>
          <w:rFonts w:cs="Arial"/>
        </w:rPr>
        <w:t>now consolidated</w:t>
      </w:r>
      <w:r w:rsidR="004F25B1">
        <w:rPr>
          <w:rStyle w:val="FootnoteReference"/>
          <w:rFonts w:cs="Arial"/>
        </w:rPr>
        <w:footnoteReference w:id="4"/>
      </w:r>
      <w:r w:rsidR="004F25B1" w:rsidRPr="00506E1C">
        <w:rPr>
          <w:rFonts w:cs="Arial"/>
        </w:rPr>
        <w:t xml:space="preserve"> </w:t>
      </w:r>
      <w:r w:rsidR="00D21E97" w:rsidRPr="00506E1C">
        <w:rPr>
          <w:rFonts w:cs="Arial"/>
        </w:rPr>
        <w:t xml:space="preserve">into the summary on page 3 </w:t>
      </w:r>
      <w:r w:rsidR="005E69DE">
        <w:rPr>
          <w:rFonts w:cs="Arial"/>
        </w:rPr>
        <w:t xml:space="preserve">of the BDO Report </w:t>
      </w:r>
      <w:r w:rsidR="00D21E97" w:rsidRPr="00506E1C">
        <w:rPr>
          <w:rFonts w:cs="Arial"/>
        </w:rPr>
        <w:t>showing receipts of</w:t>
      </w:r>
      <w:r w:rsidR="00825B62" w:rsidRPr="00506E1C">
        <w:rPr>
          <w:rFonts w:cs="Arial"/>
        </w:rPr>
        <w:t xml:space="preserve"> $</w:t>
      </w:r>
      <w:r w:rsidR="00D21E97" w:rsidRPr="00506E1C">
        <w:rPr>
          <w:rFonts w:cs="Arial"/>
        </w:rPr>
        <w:t>936,811</w:t>
      </w:r>
      <w:r w:rsidR="00825B62" w:rsidRPr="00506E1C">
        <w:rPr>
          <w:rFonts w:cs="Arial"/>
        </w:rPr>
        <w:t xml:space="preserve"> </w:t>
      </w:r>
      <w:r w:rsidR="00D21E97" w:rsidRPr="00506E1C">
        <w:rPr>
          <w:rFonts w:cs="Arial"/>
        </w:rPr>
        <w:t>against a plan of $820,000.</w:t>
      </w:r>
      <w:r w:rsidR="00506E1C">
        <w:rPr>
          <w:rFonts w:cs="Arial"/>
        </w:rPr>
        <w:t xml:space="preserve"> </w:t>
      </w:r>
      <w:r w:rsidR="007D6158">
        <w:rPr>
          <w:rFonts w:cs="Arial"/>
        </w:rPr>
        <w:t xml:space="preserve">This </w:t>
      </w:r>
      <w:r w:rsidR="00630233">
        <w:rPr>
          <w:rFonts w:cs="Arial"/>
        </w:rPr>
        <w:t>total</w:t>
      </w:r>
      <w:r w:rsidR="007D6158">
        <w:rPr>
          <w:rFonts w:cs="Arial"/>
        </w:rPr>
        <w:t xml:space="preserve"> includes three main </w:t>
      </w:r>
      <w:r w:rsidR="000A5F18">
        <w:rPr>
          <w:rFonts w:cs="Arial"/>
        </w:rPr>
        <w:t>categories:</w:t>
      </w:r>
    </w:p>
    <w:p w14:paraId="1BBB3294" w14:textId="43B45822" w:rsidR="000A5F18" w:rsidRPr="00630233" w:rsidRDefault="000A5F18" w:rsidP="00DB2499">
      <w:pPr>
        <w:pStyle w:val="ListParagraph"/>
        <w:numPr>
          <w:ilvl w:val="0"/>
          <w:numId w:val="14"/>
        </w:numPr>
        <w:jc w:val="both"/>
        <w:rPr>
          <w:rFonts w:cs="Arial"/>
          <w:i/>
          <w:iCs/>
          <w:u w:val="single"/>
        </w:rPr>
      </w:pPr>
      <w:r w:rsidRPr="00796B2D">
        <w:rPr>
          <w:rFonts w:cs="Arial"/>
          <w:b/>
          <w:bCs/>
        </w:rPr>
        <w:t>Operational Receipts</w:t>
      </w:r>
      <w:r w:rsidRPr="00506E1C">
        <w:rPr>
          <w:rFonts w:cs="Arial"/>
        </w:rPr>
        <w:t xml:space="preserve"> for NLA</w:t>
      </w:r>
      <w:r w:rsidR="009E7B40">
        <w:rPr>
          <w:rFonts w:cs="Arial"/>
        </w:rPr>
        <w:t xml:space="preserve"> include </w:t>
      </w:r>
      <w:r w:rsidR="003E4DF3" w:rsidRPr="0051524B">
        <w:rPr>
          <w:rFonts w:cs="Arial"/>
          <w:i/>
          <w:iCs/>
        </w:rPr>
        <w:t>General Tithes &amp; Offerings, Missions, Ministry Income, Benevolent Memorials</w:t>
      </w:r>
      <w:r w:rsidR="002247F9">
        <w:rPr>
          <w:rFonts w:cs="Arial"/>
          <w:i/>
          <w:iCs/>
        </w:rPr>
        <w:t xml:space="preserve">. </w:t>
      </w:r>
      <w:r w:rsidR="002247F9" w:rsidRPr="00630233">
        <w:rPr>
          <w:rFonts w:cs="Arial"/>
          <w:i/>
          <w:iCs/>
          <w:u w:val="single"/>
        </w:rPr>
        <w:t xml:space="preserve">These brought in </w:t>
      </w:r>
      <w:r w:rsidRPr="00630233">
        <w:rPr>
          <w:rFonts w:cs="Arial"/>
          <w:i/>
          <w:iCs/>
          <w:u w:val="single"/>
        </w:rPr>
        <w:t>$788,6</w:t>
      </w:r>
      <w:r w:rsidR="006E1D03">
        <w:rPr>
          <w:rFonts w:cs="Arial"/>
          <w:i/>
          <w:iCs/>
          <w:u w:val="single"/>
        </w:rPr>
        <w:t>8</w:t>
      </w:r>
      <w:r w:rsidRPr="00630233">
        <w:rPr>
          <w:rFonts w:cs="Arial"/>
          <w:i/>
          <w:iCs/>
          <w:u w:val="single"/>
        </w:rPr>
        <w:t>8 against a budget of $820,000</w:t>
      </w:r>
      <w:r w:rsidR="00113F9B" w:rsidRPr="00630233">
        <w:rPr>
          <w:rFonts w:cs="Arial"/>
          <w:i/>
          <w:iCs/>
          <w:u w:val="single"/>
        </w:rPr>
        <w:t xml:space="preserve"> (3.8%</w:t>
      </w:r>
      <w:r w:rsidRPr="00630233">
        <w:rPr>
          <w:rFonts w:cs="Arial"/>
          <w:i/>
          <w:iCs/>
          <w:u w:val="single"/>
        </w:rPr>
        <w:t xml:space="preserve"> below plan</w:t>
      </w:r>
      <w:r w:rsidR="00164F77">
        <w:rPr>
          <w:rFonts w:cs="Arial"/>
          <w:i/>
          <w:iCs/>
          <w:u w:val="single"/>
        </w:rPr>
        <w:t>)</w:t>
      </w:r>
      <w:r w:rsidR="00113F9B" w:rsidRPr="00630233">
        <w:rPr>
          <w:rFonts w:cs="Arial"/>
          <w:i/>
          <w:iCs/>
          <w:u w:val="single"/>
        </w:rPr>
        <w:t>.</w:t>
      </w:r>
    </w:p>
    <w:p w14:paraId="6A6FDB04" w14:textId="47117B2F" w:rsidR="00904DAA" w:rsidRPr="000F4265" w:rsidRDefault="00904DAA" w:rsidP="00DB2499">
      <w:pPr>
        <w:pStyle w:val="ListParagraph"/>
        <w:numPr>
          <w:ilvl w:val="0"/>
          <w:numId w:val="14"/>
        </w:numPr>
        <w:jc w:val="both"/>
        <w:rPr>
          <w:rFonts w:cs="Arial"/>
          <w:i/>
          <w:iCs/>
          <w:u w:val="single"/>
        </w:rPr>
      </w:pPr>
      <w:r>
        <w:rPr>
          <w:rFonts w:cs="Arial"/>
          <w:b/>
          <w:bCs/>
        </w:rPr>
        <w:t xml:space="preserve">Special/Self Funded Activities </w:t>
      </w:r>
      <w:r w:rsidR="004E4277" w:rsidRPr="004E4277">
        <w:rPr>
          <w:rFonts w:cs="Arial"/>
        </w:rPr>
        <w:t>are those</w:t>
      </w:r>
      <w:r w:rsidR="004E4277" w:rsidRPr="004E4277">
        <w:rPr>
          <w:rFonts w:cs="Arial"/>
          <w:b/>
          <w:bCs/>
        </w:rPr>
        <w:t xml:space="preserve"> </w:t>
      </w:r>
      <w:r w:rsidRPr="004E4277">
        <w:rPr>
          <w:rFonts w:cs="Arial"/>
        </w:rPr>
        <w:t xml:space="preserve">operated outside the general budget </w:t>
      </w:r>
      <w:r w:rsidR="009D223F" w:rsidRPr="004E4277">
        <w:rPr>
          <w:rFonts w:cs="Arial"/>
        </w:rPr>
        <w:t xml:space="preserve">where the receipts are raised through fees, special fundraising, </w:t>
      </w:r>
      <w:r w:rsidR="004E4277">
        <w:rPr>
          <w:rFonts w:cs="Arial"/>
        </w:rPr>
        <w:t xml:space="preserve">and </w:t>
      </w:r>
      <w:r w:rsidR="009D223F" w:rsidRPr="004E4277">
        <w:rPr>
          <w:rFonts w:cs="Arial"/>
        </w:rPr>
        <w:t>government grants</w:t>
      </w:r>
      <w:r w:rsidR="004E4277">
        <w:rPr>
          <w:rFonts w:cs="Arial"/>
        </w:rPr>
        <w:t xml:space="preserve">. </w:t>
      </w:r>
      <w:r w:rsidR="004E4277" w:rsidRPr="000F4265">
        <w:rPr>
          <w:rFonts w:cs="Arial"/>
          <w:i/>
          <w:iCs/>
          <w:u w:val="single"/>
        </w:rPr>
        <w:t xml:space="preserve">These were </w:t>
      </w:r>
      <w:r w:rsidR="0035076C" w:rsidRPr="000F4265">
        <w:rPr>
          <w:rFonts w:cs="Arial"/>
          <w:i/>
          <w:iCs/>
          <w:u w:val="single"/>
        </w:rPr>
        <w:t xml:space="preserve">$102,994 against a budget of </w:t>
      </w:r>
      <w:r w:rsidR="001A387A" w:rsidRPr="000F4265">
        <w:rPr>
          <w:rFonts w:cs="Arial"/>
          <w:i/>
          <w:iCs/>
          <w:u w:val="single"/>
        </w:rPr>
        <w:t>$100,000 (3%</w:t>
      </w:r>
      <w:r w:rsidR="002247F9" w:rsidRPr="000F4265">
        <w:rPr>
          <w:rFonts w:cs="Arial"/>
          <w:i/>
          <w:iCs/>
          <w:u w:val="single"/>
        </w:rPr>
        <w:t xml:space="preserve"> above plan</w:t>
      </w:r>
      <w:r w:rsidR="001A387A" w:rsidRPr="000F4265">
        <w:rPr>
          <w:rFonts w:cs="Arial"/>
          <w:i/>
          <w:iCs/>
          <w:u w:val="single"/>
        </w:rPr>
        <w:t>)</w:t>
      </w:r>
      <w:r w:rsidR="005A57F5">
        <w:rPr>
          <w:rFonts w:cs="Arial"/>
          <w:i/>
          <w:iCs/>
          <w:u w:val="single"/>
        </w:rPr>
        <w:t>.</w:t>
      </w:r>
      <w:r w:rsidR="005F4A80" w:rsidRPr="000F4265">
        <w:rPr>
          <w:rStyle w:val="FootnoteReference"/>
          <w:rFonts w:cs="Arial"/>
          <w:i/>
          <w:iCs/>
          <w:u w:val="single"/>
        </w:rPr>
        <w:footnoteReference w:id="5"/>
      </w:r>
    </w:p>
    <w:p w14:paraId="3ABC692F" w14:textId="769558F4" w:rsidR="009D223F" w:rsidRPr="009D223F" w:rsidRDefault="009D223F" w:rsidP="00DB2499">
      <w:pPr>
        <w:pStyle w:val="ListParagraph"/>
        <w:numPr>
          <w:ilvl w:val="1"/>
          <w:numId w:val="14"/>
        </w:numPr>
        <w:jc w:val="both"/>
        <w:rPr>
          <w:rFonts w:cs="Arial"/>
          <w:i/>
          <w:iCs/>
        </w:rPr>
      </w:pPr>
      <w:r w:rsidRPr="009D223F">
        <w:rPr>
          <w:rFonts w:cs="Arial"/>
          <w:i/>
          <w:iCs/>
        </w:rPr>
        <w:t>Overflow Youth Conference, Summer Camps, and Baseball League</w:t>
      </w:r>
      <w:r w:rsidR="00720CC4">
        <w:rPr>
          <w:rFonts w:cs="Arial"/>
          <w:i/>
          <w:iCs/>
        </w:rPr>
        <w:t>.</w:t>
      </w:r>
    </w:p>
    <w:p w14:paraId="79D34FAE" w14:textId="5A828D0A" w:rsidR="00165982" w:rsidRPr="0051524B" w:rsidRDefault="00165982" w:rsidP="00DB2499">
      <w:pPr>
        <w:pStyle w:val="ListParagraph"/>
        <w:numPr>
          <w:ilvl w:val="0"/>
          <w:numId w:val="14"/>
        </w:numPr>
        <w:jc w:val="both"/>
        <w:rPr>
          <w:rFonts w:cs="Arial"/>
          <w:i/>
          <w:iCs/>
        </w:rPr>
      </w:pPr>
      <w:r w:rsidRPr="00165982">
        <w:rPr>
          <w:rFonts w:cs="Arial"/>
          <w:b/>
          <w:bCs/>
        </w:rPr>
        <w:t>Paving Project Fundraising</w:t>
      </w:r>
      <w:r>
        <w:rPr>
          <w:rFonts w:cs="Arial"/>
          <w:b/>
          <w:bCs/>
          <w:i/>
          <w:iCs/>
        </w:rPr>
        <w:t xml:space="preserve"> - </w:t>
      </w:r>
      <w:r w:rsidRPr="00C67F7D">
        <w:rPr>
          <w:rFonts w:cs="Arial"/>
        </w:rPr>
        <w:t>$148,</w:t>
      </w:r>
      <w:r w:rsidR="00C67F7D" w:rsidRPr="00C67F7D">
        <w:rPr>
          <w:rFonts w:cs="Arial"/>
        </w:rPr>
        <w:t>123</w:t>
      </w:r>
      <w:r w:rsidR="00C67F7D">
        <w:rPr>
          <w:rFonts w:cs="Arial"/>
        </w:rPr>
        <w:t xml:space="preserve"> in 2025</w:t>
      </w:r>
      <w:r w:rsidR="00720CC4">
        <w:rPr>
          <w:rFonts w:cs="Arial"/>
        </w:rPr>
        <w:t>.</w:t>
      </w:r>
      <w:r w:rsidR="00C67F7D">
        <w:rPr>
          <w:rStyle w:val="FootnoteReference"/>
          <w:rFonts w:cs="Arial"/>
        </w:rPr>
        <w:footnoteReference w:id="6"/>
      </w:r>
    </w:p>
    <w:p w14:paraId="12E9F7E4" w14:textId="765FC44D" w:rsidR="00506E1C" w:rsidRPr="00AC5BDF" w:rsidRDefault="00113F9B" w:rsidP="00DB2499">
      <w:pPr>
        <w:jc w:val="both"/>
        <w:rPr>
          <w:rFonts w:cs="Arial"/>
        </w:rPr>
      </w:pPr>
      <w:r>
        <w:rPr>
          <w:rFonts w:cs="Arial"/>
        </w:rPr>
        <w:t xml:space="preserve">Excluding </w:t>
      </w:r>
      <w:r w:rsidRPr="00113F9B">
        <w:rPr>
          <w:rFonts w:cs="Arial"/>
          <w:b/>
          <w:bCs/>
        </w:rPr>
        <w:t>Special/Self Funded Activities</w:t>
      </w:r>
      <w:r>
        <w:rPr>
          <w:rFonts w:cs="Arial"/>
        </w:rPr>
        <w:t xml:space="preserve"> </w:t>
      </w:r>
      <w:r w:rsidR="00506E1C" w:rsidRPr="00AC5BDF">
        <w:rPr>
          <w:rFonts w:cs="Arial"/>
        </w:rPr>
        <w:t xml:space="preserve">total </w:t>
      </w:r>
      <w:r w:rsidR="00AC5BDF">
        <w:rPr>
          <w:rFonts w:cs="Arial"/>
        </w:rPr>
        <w:t xml:space="preserve">receipts </w:t>
      </w:r>
      <w:r w:rsidR="00246720">
        <w:rPr>
          <w:rFonts w:cs="Arial"/>
        </w:rPr>
        <w:t>were</w:t>
      </w:r>
      <w:r w:rsidR="00506E1C" w:rsidRPr="00AC5BDF">
        <w:rPr>
          <w:rFonts w:cs="Arial"/>
        </w:rPr>
        <w:t xml:space="preserve"> 20% higher than 2024 ($131,30</w:t>
      </w:r>
      <w:r w:rsidR="001C7AD5">
        <w:rPr>
          <w:rFonts w:cs="Arial"/>
        </w:rPr>
        <w:t>1</w:t>
      </w:r>
      <w:r w:rsidR="00E20014" w:rsidRPr="00AC5BDF">
        <w:rPr>
          <w:rFonts w:cs="Arial"/>
        </w:rPr>
        <w:t xml:space="preserve">) </w:t>
      </w:r>
      <w:r w:rsidR="00860CAF">
        <w:rPr>
          <w:rFonts w:cs="Arial"/>
          <w:i/>
          <w:iCs/>
          <w:u w:val="single"/>
        </w:rPr>
        <w:t>T</w:t>
      </w:r>
      <w:r w:rsidR="00E20014" w:rsidRPr="00860CAF">
        <w:rPr>
          <w:rFonts w:cs="Arial"/>
          <w:i/>
          <w:iCs/>
          <w:u w:val="single"/>
        </w:rPr>
        <w:t>hank</w:t>
      </w:r>
      <w:r w:rsidR="00506E1C" w:rsidRPr="00AC5BDF">
        <w:rPr>
          <w:rFonts w:cs="Arial"/>
          <w:i/>
          <w:iCs/>
          <w:u w:val="single"/>
        </w:rPr>
        <w:t xml:space="preserve"> you for your generous support!</w:t>
      </w:r>
    </w:p>
    <w:p w14:paraId="29F1B539" w14:textId="2C692293" w:rsidR="006E2F4D" w:rsidRPr="008E313C" w:rsidRDefault="00C02B35" w:rsidP="00DB2499">
      <w:pPr>
        <w:jc w:val="both"/>
        <w:rPr>
          <w:rFonts w:cs="Arial"/>
        </w:rPr>
      </w:pPr>
      <w:r w:rsidRPr="00F179A8">
        <w:rPr>
          <w:rFonts w:cs="Arial"/>
          <w:i/>
          <w:iCs/>
          <w:u w:val="single"/>
        </w:rPr>
        <w:t xml:space="preserve">Operational Receipts for </w:t>
      </w:r>
      <w:r w:rsidR="00E20014" w:rsidRPr="00F179A8">
        <w:rPr>
          <w:rFonts w:cs="Arial"/>
          <w:i/>
          <w:iCs/>
          <w:u w:val="single"/>
        </w:rPr>
        <w:t>NLA were</w:t>
      </w:r>
      <w:r w:rsidRPr="00F179A8">
        <w:rPr>
          <w:rFonts w:cs="Arial"/>
          <w:i/>
          <w:iCs/>
          <w:u w:val="single"/>
        </w:rPr>
        <w:t xml:space="preserve"> $788,6</w:t>
      </w:r>
      <w:r w:rsidR="009E33E9">
        <w:rPr>
          <w:rFonts w:cs="Arial"/>
          <w:i/>
          <w:iCs/>
          <w:u w:val="single"/>
        </w:rPr>
        <w:t>8</w:t>
      </w:r>
      <w:r w:rsidRPr="00F179A8">
        <w:rPr>
          <w:rFonts w:cs="Arial"/>
          <w:i/>
          <w:iCs/>
          <w:u w:val="single"/>
        </w:rPr>
        <w:t>8 against a budget of $820,000, or $31,3</w:t>
      </w:r>
      <w:r w:rsidR="00A163E8">
        <w:rPr>
          <w:rFonts w:cs="Arial"/>
          <w:i/>
          <w:iCs/>
          <w:u w:val="single"/>
        </w:rPr>
        <w:t>1</w:t>
      </w:r>
      <w:r w:rsidRPr="00F179A8">
        <w:rPr>
          <w:rFonts w:cs="Arial"/>
          <w:i/>
          <w:iCs/>
          <w:u w:val="single"/>
        </w:rPr>
        <w:t>2 below plan (3.8%).</w:t>
      </w:r>
      <w:r>
        <w:rPr>
          <w:rFonts w:cs="Arial"/>
        </w:rPr>
        <w:t xml:space="preserve"> </w:t>
      </w:r>
      <w:r w:rsidR="005A1D6E">
        <w:rPr>
          <w:rFonts w:cs="Arial"/>
        </w:rPr>
        <w:t>Much</w:t>
      </w:r>
      <w:r>
        <w:rPr>
          <w:rFonts w:cs="Arial"/>
        </w:rPr>
        <w:t xml:space="preserve"> of this was driven by </w:t>
      </w:r>
      <w:r w:rsidR="000F4265">
        <w:rPr>
          <w:rFonts w:cs="Arial"/>
        </w:rPr>
        <w:t>a $3</w:t>
      </w:r>
      <w:r w:rsidR="00823438">
        <w:rPr>
          <w:rFonts w:cs="Arial"/>
        </w:rPr>
        <w:t>4</w:t>
      </w:r>
      <w:r w:rsidR="000F4265">
        <w:rPr>
          <w:rFonts w:cs="Arial"/>
        </w:rPr>
        <w:t xml:space="preserve">,000 </w:t>
      </w:r>
      <w:r>
        <w:rPr>
          <w:rFonts w:cs="Arial"/>
        </w:rPr>
        <w:t xml:space="preserve">shortfall in expected </w:t>
      </w:r>
      <w:r w:rsidR="00DC4AE9" w:rsidRPr="00C02B35">
        <w:rPr>
          <w:rFonts w:cs="Arial"/>
          <w:b/>
          <w:bCs/>
        </w:rPr>
        <w:t xml:space="preserve">Benevolent </w:t>
      </w:r>
      <w:r w:rsidR="00DA582C" w:rsidRPr="00C02B35">
        <w:rPr>
          <w:rFonts w:cs="Arial"/>
          <w:b/>
          <w:bCs/>
        </w:rPr>
        <w:t>Memorials</w:t>
      </w:r>
      <w:r w:rsidR="00825B62" w:rsidRPr="00C02B35">
        <w:rPr>
          <w:rFonts w:cs="Arial"/>
        </w:rPr>
        <w:t> </w:t>
      </w:r>
      <w:r>
        <w:rPr>
          <w:rFonts w:cs="Arial"/>
        </w:rPr>
        <w:t>which had been included in the 2025 revenue plan</w:t>
      </w:r>
      <w:r w:rsidR="00423F93">
        <w:rPr>
          <w:rFonts w:cs="Arial"/>
        </w:rPr>
        <w:t>.</w:t>
      </w:r>
    </w:p>
    <w:p w14:paraId="40B66887" w14:textId="58603133" w:rsidR="008764D9" w:rsidRDefault="00825B62" w:rsidP="00DB2499">
      <w:pPr>
        <w:jc w:val="both"/>
        <w:rPr>
          <w:rFonts w:cs="Arial"/>
        </w:rPr>
      </w:pPr>
      <w:r w:rsidRPr="008764D9">
        <w:rPr>
          <w:rFonts w:cs="Arial"/>
        </w:rPr>
        <w:t xml:space="preserve">In the summer of 2024 </w:t>
      </w:r>
      <w:r w:rsidR="00787673" w:rsidRPr="008764D9">
        <w:rPr>
          <w:rFonts w:cs="Arial"/>
        </w:rPr>
        <w:t xml:space="preserve">NLA Petrolia was informed of the pending receipt of </w:t>
      </w:r>
      <w:r w:rsidRPr="008764D9">
        <w:rPr>
          <w:rFonts w:cs="Arial"/>
        </w:rPr>
        <w:t>$4</w:t>
      </w:r>
      <w:r w:rsidR="00262531" w:rsidRPr="008764D9">
        <w:rPr>
          <w:rFonts w:cs="Arial"/>
        </w:rPr>
        <w:t>8</w:t>
      </w:r>
      <w:r w:rsidRPr="008764D9">
        <w:rPr>
          <w:rFonts w:cs="Arial"/>
        </w:rPr>
        <w:t>,000 from the settling of a</w:t>
      </w:r>
      <w:r w:rsidR="00451886" w:rsidRPr="008764D9">
        <w:rPr>
          <w:rFonts w:cs="Arial"/>
        </w:rPr>
        <w:t>n</w:t>
      </w:r>
      <w:r w:rsidRPr="008764D9">
        <w:rPr>
          <w:rFonts w:cs="Arial"/>
        </w:rPr>
        <w:t xml:space="preserve"> estate. Due to delays in probate these funds were delayed such that the first </w:t>
      </w:r>
      <w:r w:rsidR="00E20014" w:rsidRPr="008764D9">
        <w:rPr>
          <w:rFonts w:cs="Arial"/>
        </w:rPr>
        <w:t>half (</w:t>
      </w:r>
      <w:r w:rsidRPr="008764D9">
        <w:rPr>
          <w:rFonts w:cs="Arial"/>
        </w:rPr>
        <w:t>$2</w:t>
      </w:r>
      <w:r w:rsidR="00601826" w:rsidRPr="008764D9">
        <w:rPr>
          <w:rFonts w:cs="Arial"/>
        </w:rPr>
        <w:t>4</w:t>
      </w:r>
      <w:r w:rsidRPr="008764D9">
        <w:rPr>
          <w:rFonts w:cs="Arial"/>
        </w:rPr>
        <w:t>,000</w:t>
      </w:r>
      <w:r w:rsidR="00601826" w:rsidRPr="008764D9">
        <w:rPr>
          <w:rFonts w:cs="Arial"/>
        </w:rPr>
        <w:t>)</w:t>
      </w:r>
      <w:r w:rsidRPr="008764D9">
        <w:rPr>
          <w:rFonts w:cs="Arial"/>
        </w:rPr>
        <w:t xml:space="preserve"> came into </w:t>
      </w:r>
      <w:r w:rsidR="00E20014" w:rsidRPr="008764D9">
        <w:rPr>
          <w:rFonts w:cs="Arial"/>
        </w:rPr>
        <w:t>the accounts</w:t>
      </w:r>
      <w:r w:rsidRPr="008764D9">
        <w:rPr>
          <w:rFonts w:cs="Arial"/>
        </w:rPr>
        <w:t xml:space="preserve"> in January 2025</w:t>
      </w:r>
      <w:r w:rsidR="00AE1312" w:rsidRPr="008764D9">
        <w:rPr>
          <w:rFonts w:cs="Arial"/>
        </w:rPr>
        <w:t xml:space="preserve">. </w:t>
      </w:r>
      <w:r w:rsidR="00DC4AE9" w:rsidRPr="008764D9">
        <w:rPr>
          <w:rFonts w:cs="Arial"/>
        </w:rPr>
        <w:t xml:space="preserve">The second </w:t>
      </w:r>
      <w:r w:rsidR="005A1D6E" w:rsidRPr="008764D9">
        <w:rPr>
          <w:rFonts w:cs="Arial"/>
        </w:rPr>
        <w:t>instal</w:t>
      </w:r>
      <w:r w:rsidR="00423F93">
        <w:rPr>
          <w:rFonts w:cs="Arial"/>
        </w:rPr>
        <w:t>l</w:t>
      </w:r>
      <w:r w:rsidR="005A1D6E" w:rsidRPr="008764D9">
        <w:rPr>
          <w:rFonts w:cs="Arial"/>
        </w:rPr>
        <w:t>ment</w:t>
      </w:r>
      <w:r w:rsidR="00DC4AE9" w:rsidRPr="008764D9">
        <w:rPr>
          <w:rFonts w:cs="Arial"/>
        </w:rPr>
        <w:t xml:space="preserve"> of $24,000 did not come through in 2025</w:t>
      </w:r>
      <w:r w:rsidR="008764D9">
        <w:rPr>
          <w:rFonts w:cs="Arial"/>
        </w:rPr>
        <w:t xml:space="preserve">. </w:t>
      </w:r>
    </w:p>
    <w:p w14:paraId="3F7DE800" w14:textId="456E43CB" w:rsidR="00246720" w:rsidRDefault="00AE1312" w:rsidP="00DB2499">
      <w:pPr>
        <w:jc w:val="both"/>
        <w:rPr>
          <w:rFonts w:cs="Arial"/>
        </w:rPr>
      </w:pPr>
      <w:r w:rsidRPr="008764D9">
        <w:rPr>
          <w:rFonts w:cs="Arial"/>
        </w:rPr>
        <w:t xml:space="preserve">In </w:t>
      </w:r>
      <w:r w:rsidR="00787673" w:rsidRPr="008764D9">
        <w:rPr>
          <w:rFonts w:cs="Arial"/>
        </w:rPr>
        <w:t>January 2025, NLA was informed of</w:t>
      </w:r>
      <w:r w:rsidR="00825B62" w:rsidRPr="008764D9">
        <w:rPr>
          <w:rFonts w:cs="Arial"/>
        </w:rPr>
        <w:t xml:space="preserve"> </w:t>
      </w:r>
      <w:r w:rsidRPr="008764D9">
        <w:rPr>
          <w:rFonts w:cs="Arial"/>
        </w:rPr>
        <w:t xml:space="preserve">an additional </w:t>
      </w:r>
      <w:r w:rsidR="00825B62" w:rsidRPr="008764D9">
        <w:rPr>
          <w:rFonts w:cs="Arial"/>
        </w:rPr>
        <w:t>$1</w:t>
      </w:r>
      <w:r w:rsidR="00262531" w:rsidRPr="008764D9">
        <w:rPr>
          <w:rFonts w:cs="Arial"/>
        </w:rPr>
        <w:t>0</w:t>
      </w:r>
      <w:r w:rsidR="00825B62" w:rsidRPr="008764D9">
        <w:rPr>
          <w:rFonts w:cs="Arial"/>
        </w:rPr>
        <w:t>,000 bequeathed from another estate</w:t>
      </w:r>
      <w:r w:rsidR="00DC4AE9" w:rsidRPr="008764D9">
        <w:rPr>
          <w:rFonts w:cs="Arial"/>
        </w:rPr>
        <w:t xml:space="preserve">. These funds are expected to be issued in the first quarter of 2026. </w:t>
      </w:r>
    </w:p>
    <w:p w14:paraId="2CFA86AB" w14:textId="0AFDB253" w:rsidR="006E2F4D" w:rsidRPr="0025776E" w:rsidRDefault="00506E1C" w:rsidP="00DB2499">
      <w:pPr>
        <w:jc w:val="both"/>
        <w:rPr>
          <w:rFonts w:cs="Arial"/>
          <w:b/>
          <w:bCs/>
        </w:rPr>
      </w:pPr>
      <w:r w:rsidRPr="008764D9">
        <w:rPr>
          <w:rFonts w:cs="Arial"/>
          <w:i/>
          <w:iCs/>
          <w:u w:val="single"/>
        </w:rPr>
        <w:t xml:space="preserve">Operational </w:t>
      </w:r>
      <w:r w:rsidR="00F179A8">
        <w:rPr>
          <w:rFonts w:cs="Arial"/>
          <w:i/>
          <w:iCs/>
          <w:u w:val="single"/>
        </w:rPr>
        <w:t>E</w:t>
      </w:r>
      <w:r w:rsidRPr="008764D9">
        <w:rPr>
          <w:rFonts w:cs="Arial"/>
          <w:i/>
          <w:iCs/>
          <w:u w:val="single"/>
        </w:rPr>
        <w:t>xpenditures for NLA were $825,033 against a target budget of $820,000, or $5,033 above plan (0.6%).</w:t>
      </w:r>
    </w:p>
    <w:p w14:paraId="79E9ABAC" w14:textId="428EF5A4" w:rsidR="00DA582C" w:rsidRPr="00AB2699" w:rsidRDefault="008764D9" w:rsidP="00DB2499">
      <w:pPr>
        <w:jc w:val="both"/>
        <w:rPr>
          <w:rFonts w:cs="Arial"/>
          <w:u w:val="single"/>
        </w:rPr>
      </w:pPr>
      <w:r w:rsidRPr="008764D9">
        <w:rPr>
          <w:rFonts w:cs="Arial"/>
        </w:rPr>
        <w:t>As per historic reporting</w:t>
      </w:r>
      <w:r w:rsidR="00C127C7">
        <w:rPr>
          <w:rFonts w:cs="Arial"/>
        </w:rPr>
        <w:t>,</w:t>
      </w:r>
      <w:r>
        <w:rPr>
          <w:rFonts w:cs="Arial"/>
          <w:b/>
          <w:bCs/>
        </w:rPr>
        <w:t xml:space="preserve"> </w:t>
      </w:r>
      <w:r w:rsidR="00DA582C" w:rsidRPr="00AB2699">
        <w:rPr>
          <w:rFonts w:cs="Arial"/>
          <w:b/>
          <w:bCs/>
        </w:rPr>
        <w:t>Personnel</w:t>
      </w:r>
      <w:r w:rsidR="00DA582C" w:rsidRPr="00AB2699">
        <w:rPr>
          <w:rFonts w:cs="Arial"/>
        </w:rPr>
        <w:t xml:space="preserve"> </w:t>
      </w:r>
      <w:r w:rsidR="00E804AE" w:rsidRPr="00AB2699">
        <w:rPr>
          <w:rFonts w:cs="Arial"/>
        </w:rPr>
        <w:t>expenses</w:t>
      </w:r>
      <w:r w:rsidR="00DA582C" w:rsidRPr="00AB2699">
        <w:rPr>
          <w:rFonts w:cs="Arial"/>
        </w:rPr>
        <w:t xml:space="preserve"> include both the costs of regular staff and summer students</w:t>
      </w:r>
      <w:r w:rsidR="00F179A8">
        <w:rPr>
          <w:rFonts w:cs="Arial"/>
        </w:rPr>
        <w:t>.</w:t>
      </w:r>
      <w:r w:rsidR="002324B0" w:rsidRPr="00AB2699">
        <w:rPr>
          <w:rFonts w:cs="Arial"/>
        </w:rPr>
        <w:t xml:space="preserve"> </w:t>
      </w:r>
    </w:p>
    <w:p w14:paraId="7F0558D4" w14:textId="77777777" w:rsidR="002324B0" w:rsidRPr="002324B0" w:rsidRDefault="002324B0" w:rsidP="00DB2499">
      <w:pPr>
        <w:ind w:left="360"/>
        <w:jc w:val="both"/>
        <w:rPr>
          <w:rFonts w:cs="Arial"/>
          <w:b/>
          <w:bCs/>
          <w:sz w:val="20"/>
          <w:szCs w:val="20"/>
        </w:rPr>
      </w:pPr>
      <w:r w:rsidRPr="002324B0">
        <w:rPr>
          <w:rFonts w:cs="Arial"/>
          <w:b/>
          <w:bCs/>
          <w:sz w:val="20"/>
          <w:szCs w:val="20"/>
        </w:rPr>
        <w:t xml:space="preserve">Table 2 – Summary of NLA Petrolia Personnel Costs </w:t>
      </w:r>
    </w:p>
    <w:tbl>
      <w:tblPr>
        <w:tblW w:w="7580" w:type="dxa"/>
        <w:tblInd w:w="895" w:type="dxa"/>
        <w:tblLook w:val="04A0" w:firstRow="1" w:lastRow="0" w:firstColumn="1" w:lastColumn="0" w:noHBand="0" w:noVBand="1"/>
      </w:tblPr>
      <w:tblGrid>
        <w:gridCol w:w="3200"/>
        <w:gridCol w:w="1460"/>
        <w:gridCol w:w="1460"/>
        <w:gridCol w:w="1460"/>
      </w:tblGrid>
      <w:tr w:rsidR="002324B0" w:rsidRPr="0025776E" w14:paraId="395EEB23" w14:textId="77777777" w:rsidTr="008B5C67">
        <w:trPr>
          <w:trHeight w:val="330"/>
        </w:trPr>
        <w:tc>
          <w:tcPr>
            <w:tcW w:w="3200" w:type="dxa"/>
            <w:tcBorders>
              <w:top w:val="single" w:sz="4" w:space="0" w:color="auto"/>
              <w:left w:val="nil"/>
              <w:bottom w:val="single" w:sz="4" w:space="0" w:color="auto"/>
              <w:right w:val="nil"/>
            </w:tcBorders>
            <w:vAlign w:val="center"/>
            <w:hideMark/>
          </w:tcPr>
          <w:p w14:paraId="0B2DCA55" w14:textId="77777777" w:rsidR="002324B0" w:rsidRPr="0025776E" w:rsidRDefault="002324B0" w:rsidP="00DB2499">
            <w:pPr>
              <w:spacing w:after="0" w:line="240" w:lineRule="auto"/>
              <w:jc w:val="both"/>
              <w:rPr>
                <w:rFonts w:eastAsia="Times New Roman" w:cs="Arial"/>
                <w:b/>
                <w:bCs/>
                <w:i/>
                <w:iCs/>
                <w:color w:val="000000"/>
                <w:sz w:val="18"/>
                <w:szCs w:val="18"/>
                <w:lang w:eastAsia="en-CA"/>
              </w:rPr>
            </w:pPr>
            <w:r w:rsidRPr="0025776E">
              <w:rPr>
                <w:rFonts w:eastAsia="Times New Roman" w:cs="Arial"/>
                <w:b/>
                <w:bCs/>
                <w:i/>
                <w:iCs/>
                <w:color w:val="000000"/>
                <w:sz w:val="18"/>
                <w:szCs w:val="18"/>
                <w:lang w:eastAsia="en-CA"/>
              </w:rPr>
              <w:t>Personnel Costs</w:t>
            </w:r>
          </w:p>
        </w:tc>
        <w:tc>
          <w:tcPr>
            <w:tcW w:w="1460" w:type="dxa"/>
            <w:tcBorders>
              <w:top w:val="single" w:sz="4" w:space="0" w:color="auto"/>
              <w:left w:val="nil"/>
              <w:bottom w:val="single" w:sz="4" w:space="0" w:color="auto"/>
              <w:right w:val="nil"/>
            </w:tcBorders>
            <w:vAlign w:val="center"/>
            <w:hideMark/>
          </w:tcPr>
          <w:p w14:paraId="76B7E888" w14:textId="7976CB4A" w:rsidR="002324B0" w:rsidRPr="0025776E" w:rsidRDefault="002324B0" w:rsidP="00DB2499">
            <w:pPr>
              <w:spacing w:after="0" w:line="240" w:lineRule="auto"/>
              <w:jc w:val="both"/>
              <w:rPr>
                <w:rFonts w:eastAsia="Times New Roman" w:cs="Arial"/>
                <w:b/>
                <w:bCs/>
                <w:i/>
                <w:iCs/>
                <w:color w:val="000000"/>
                <w:sz w:val="18"/>
                <w:szCs w:val="18"/>
                <w:lang w:eastAsia="en-CA"/>
              </w:rPr>
            </w:pPr>
            <w:r w:rsidRPr="0025776E">
              <w:rPr>
                <w:rFonts w:eastAsia="Times New Roman" w:cs="Arial"/>
                <w:b/>
                <w:bCs/>
                <w:i/>
                <w:iCs/>
                <w:color w:val="000000"/>
                <w:sz w:val="18"/>
                <w:szCs w:val="18"/>
                <w:lang w:eastAsia="en-CA"/>
              </w:rPr>
              <w:t>2026 Plan</w:t>
            </w:r>
          </w:p>
        </w:tc>
        <w:tc>
          <w:tcPr>
            <w:tcW w:w="1460" w:type="dxa"/>
            <w:tcBorders>
              <w:top w:val="single" w:sz="4" w:space="0" w:color="auto"/>
              <w:left w:val="nil"/>
              <w:bottom w:val="single" w:sz="4" w:space="0" w:color="auto"/>
              <w:right w:val="nil"/>
            </w:tcBorders>
            <w:vAlign w:val="center"/>
            <w:hideMark/>
          </w:tcPr>
          <w:p w14:paraId="08609874" w14:textId="0CBDE2FC" w:rsidR="002324B0" w:rsidRPr="0025776E" w:rsidRDefault="002324B0" w:rsidP="00DB2499">
            <w:pPr>
              <w:spacing w:after="0" w:line="240" w:lineRule="auto"/>
              <w:jc w:val="both"/>
              <w:rPr>
                <w:rFonts w:eastAsia="Times New Roman" w:cs="Arial"/>
                <w:b/>
                <w:bCs/>
                <w:i/>
                <w:iCs/>
                <w:color w:val="000000"/>
                <w:sz w:val="18"/>
                <w:szCs w:val="18"/>
                <w:lang w:eastAsia="en-CA"/>
              </w:rPr>
            </w:pPr>
            <w:r w:rsidRPr="0025776E">
              <w:rPr>
                <w:rFonts w:eastAsia="Times New Roman" w:cs="Arial"/>
                <w:b/>
                <w:bCs/>
                <w:i/>
                <w:iCs/>
                <w:color w:val="000000"/>
                <w:sz w:val="18"/>
                <w:szCs w:val="18"/>
                <w:lang w:eastAsia="en-CA"/>
              </w:rPr>
              <w:t>2025 Actual</w:t>
            </w:r>
          </w:p>
        </w:tc>
        <w:tc>
          <w:tcPr>
            <w:tcW w:w="1460" w:type="dxa"/>
            <w:tcBorders>
              <w:top w:val="single" w:sz="4" w:space="0" w:color="auto"/>
              <w:left w:val="nil"/>
              <w:bottom w:val="single" w:sz="4" w:space="0" w:color="auto"/>
              <w:right w:val="nil"/>
            </w:tcBorders>
            <w:vAlign w:val="center"/>
            <w:hideMark/>
          </w:tcPr>
          <w:p w14:paraId="7CC5551B" w14:textId="0AFD97EB" w:rsidR="002324B0" w:rsidRPr="0025776E" w:rsidRDefault="002324B0" w:rsidP="00DB2499">
            <w:pPr>
              <w:spacing w:after="0" w:line="240" w:lineRule="auto"/>
              <w:jc w:val="both"/>
              <w:rPr>
                <w:rFonts w:eastAsia="Times New Roman" w:cs="Arial"/>
                <w:b/>
                <w:bCs/>
                <w:i/>
                <w:iCs/>
                <w:color w:val="000000"/>
                <w:sz w:val="18"/>
                <w:szCs w:val="18"/>
                <w:lang w:eastAsia="en-CA"/>
              </w:rPr>
            </w:pPr>
            <w:r w:rsidRPr="0025776E">
              <w:rPr>
                <w:rFonts w:eastAsia="Times New Roman" w:cs="Arial"/>
                <w:b/>
                <w:bCs/>
                <w:i/>
                <w:iCs/>
                <w:color w:val="000000"/>
                <w:sz w:val="18"/>
                <w:szCs w:val="18"/>
                <w:lang w:eastAsia="en-CA"/>
              </w:rPr>
              <w:t>2025 Plan</w:t>
            </w:r>
          </w:p>
        </w:tc>
      </w:tr>
      <w:tr w:rsidR="002324B0" w:rsidRPr="0025776E" w14:paraId="069ABADD" w14:textId="77777777" w:rsidTr="008B5C67">
        <w:trPr>
          <w:trHeight w:val="285"/>
        </w:trPr>
        <w:tc>
          <w:tcPr>
            <w:tcW w:w="3200" w:type="dxa"/>
            <w:tcBorders>
              <w:top w:val="nil"/>
              <w:left w:val="nil"/>
              <w:bottom w:val="nil"/>
              <w:right w:val="nil"/>
            </w:tcBorders>
            <w:vAlign w:val="center"/>
            <w:hideMark/>
          </w:tcPr>
          <w:p w14:paraId="096F8126" w14:textId="77777777" w:rsidR="002324B0" w:rsidRPr="0025776E" w:rsidRDefault="002324B0" w:rsidP="00DB2499">
            <w:pPr>
              <w:spacing w:after="0" w:line="240" w:lineRule="auto"/>
              <w:jc w:val="both"/>
              <w:rPr>
                <w:rFonts w:eastAsia="Times New Roman" w:cs="Arial"/>
                <w:color w:val="000000"/>
                <w:sz w:val="18"/>
                <w:szCs w:val="18"/>
                <w:lang w:eastAsia="en-CA"/>
              </w:rPr>
            </w:pPr>
            <w:r w:rsidRPr="0025776E">
              <w:rPr>
                <w:rFonts w:eastAsia="Times New Roman" w:cs="Arial"/>
                <w:color w:val="000000"/>
                <w:sz w:val="18"/>
                <w:szCs w:val="18"/>
                <w:lang w:eastAsia="en-CA"/>
              </w:rPr>
              <w:t xml:space="preserve">Regular Staff  </w:t>
            </w:r>
          </w:p>
        </w:tc>
        <w:tc>
          <w:tcPr>
            <w:tcW w:w="1460" w:type="dxa"/>
            <w:tcBorders>
              <w:top w:val="nil"/>
              <w:left w:val="nil"/>
              <w:bottom w:val="nil"/>
              <w:right w:val="nil"/>
            </w:tcBorders>
            <w:vAlign w:val="center"/>
            <w:hideMark/>
          </w:tcPr>
          <w:p w14:paraId="15BA43B5" w14:textId="6BD91A0F" w:rsidR="002324B0" w:rsidRPr="0025776E" w:rsidRDefault="002324B0" w:rsidP="00DB2499">
            <w:pPr>
              <w:spacing w:after="0" w:line="240" w:lineRule="auto"/>
              <w:jc w:val="both"/>
              <w:rPr>
                <w:rFonts w:eastAsia="Times New Roman" w:cs="Arial"/>
                <w:color w:val="000000"/>
                <w:sz w:val="18"/>
                <w:szCs w:val="18"/>
                <w:lang w:eastAsia="en-CA"/>
              </w:rPr>
            </w:pPr>
            <w:r w:rsidRPr="0025776E">
              <w:rPr>
                <w:rFonts w:eastAsia="Times New Roman" w:cs="Arial"/>
                <w:color w:val="000000"/>
                <w:sz w:val="18"/>
                <w:szCs w:val="18"/>
                <w:lang w:eastAsia="en-CA"/>
              </w:rPr>
              <w:t>$367,410</w:t>
            </w:r>
          </w:p>
        </w:tc>
        <w:tc>
          <w:tcPr>
            <w:tcW w:w="1460" w:type="dxa"/>
            <w:tcBorders>
              <w:top w:val="nil"/>
              <w:left w:val="nil"/>
              <w:bottom w:val="nil"/>
              <w:right w:val="nil"/>
            </w:tcBorders>
            <w:vAlign w:val="center"/>
            <w:hideMark/>
          </w:tcPr>
          <w:p w14:paraId="25C4335F" w14:textId="236C40C5" w:rsidR="002324B0" w:rsidRPr="0025776E" w:rsidRDefault="002324B0" w:rsidP="00DB2499">
            <w:pPr>
              <w:spacing w:after="0" w:line="240" w:lineRule="auto"/>
              <w:jc w:val="both"/>
              <w:rPr>
                <w:rFonts w:eastAsia="Times New Roman" w:cs="Arial"/>
                <w:color w:val="000000"/>
                <w:sz w:val="18"/>
                <w:szCs w:val="18"/>
                <w:lang w:eastAsia="en-CA"/>
              </w:rPr>
            </w:pPr>
            <w:r w:rsidRPr="0025776E">
              <w:rPr>
                <w:rFonts w:eastAsia="Times New Roman" w:cs="Arial"/>
                <w:color w:val="000000"/>
                <w:sz w:val="18"/>
                <w:szCs w:val="18"/>
                <w:lang w:eastAsia="en-CA"/>
              </w:rPr>
              <w:t>$363,147</w:t>
            </w:r>
          </w:p>
        </w:tc>
        <w:tc>
          <w:tcPr>
            <w:tcW w:w="1460" w:type="dxa"/>
            <w:tcBorders>
              <w:top w:val="nil"/>
              <w:left w:val="nil"/>
              <w:bottom w:val="nil"/>
              <w:right w:val="nil"/>
            </w:tcBorders>
            <w:vAlign w:val="center"/>
            <w:hideMark/>
          </w:tcPr>
          <w:p w14:paraId="72F39B53" w14:textId="3176D4FB" w:rsidR="002324B0" w:rsidRPr="0025776E" w:rsidRDefault="002324B0" w:rsidP="00DB2499">
            <w:pPr>
              <w:spacing w:after="0" w:line="240" w:lineRule="auto"/>
              <w:jc w:val="both"/>
              <w:rPr>
                <w:rFonts w:eastAsia="Times New Roman" w:cs="Arial"/>
                <w:color w:val="000000"/>
                <w:sz w:val="18"/>
                <w:szCs w:val="18"/>
                <w:lang w:eastAsia="en-CA"/>
              </w:rPr>
            </w:pPr>
            <w:r w:rsidRPr="0025776E">
              <w:rPr>
                <w:rFonts w:eastAsia="Times New Roman" w:cs="Arial"/>
                <w:color w:val="000000"/>
                <w:sz w:val="18"/>
                <w:szCs w:val="18"/>
                <w:lang w:eastAsia="en-CA"/>
              </w:rPr>
              <w:t>$356,000</w:t>
            </w:r>
          </w:p>
        </w:tc>
      </w:tr>
      <w:tr w:rsidR="002324B0" w:rsidRPr="0025776E" w14:paraId="3538CCE3" w14:textId="77777777" w:rsidTr="008B5C67">
        <w:trPr>
          <w:trHeight w:val="300"/>
        </w:trPr>
        <w:tc>
          <w:tcPr>
            <w:tcW w:w="3200" w:type="dxa"/>
            <w:tcBorders>
              <w:top w:val="nil"/>
              <w:left w:val="nil"/>
              <w:bottom w:val="double" w:sz="6" w:space="0" w:color="auto"/>
              <w:right w:val="nil"/>
            </w:tcBorders>
            <w:vAlign w:val="center"/>
            <w:hideMark/>
          </w:tcPr>
          <w:p w14:paraId="78FF5F90" w14:textId="77777777" w:rsidR="002324B0" w:rsidRPr="0025776E" w:rsidRDefault="002324B0" w:rsidP="00DB2499">
            <w:pPr>
              <w:spacing w:after="0" w:line="240" w:lineRule="auto"/>
              <w:jc w:val="both"/>
              <w:rPr>
                <w:rFonts w:eastAsia="Times New Roman" w:cs="Arial"/>
                <w:color w:val="000000"/>
                <w:sz w:val="18"/>
                <w:szCs w:val="18"/>
                <w:lang w:eastAsia="en-CA"/>
              </w:rPr>
            </w:pPr>
            <w:r w:rsidRPr="0025776E">
              <w:rPr>
                <w:rFonts w:eastAsia="Times New Roman" w:cs="Arial"/>
                <w:color w:val="000000"/>
                <w:sz w:val="18"/>
                <w:szCs w:val="18"/>
                <w:lang w:eastAsia="en-CA"/>
              </w:rPr>
              <w:t>Summer Students</w:t>
            </w:r>
          </w:p>
        </w:tc>
        <w:tc>
          <w:tcPr>
            <w:tcW w:w="1460" w:type="dxa"/>
            <w:tcBorders>
              <w:top w:val="nil"/>
              <w:left w:val="nil"/>
              <w:bottom w:val="double" w:sz="6" w:space="0" w:color="auto"/>
              <w:right w:val="nil"/>
            </w:tcBorders>
            <w:vAlign w:val="center"/>
            <w:hideMark/>
          </w:tcPr>
          <w:p w14:paraId="780208C0" w14:textId="262977E0" w:rsidR="002324B0" w:rsidRPr="0025776E" w:rsidRDefault="002324B0" w:rsidP="00DB2499">
            <w:pPr>
              <w:spacing w:after="0" w:line="240" w:lineRule="auto"/>
              <w:jc w:val="both"/>
              <w:rPr>
                <w:rFonts w:eastAsia="Times New Roman" w:cs="Arial"/>
                <w:color w:val="000000"/>
                <w:sz w:val="18"/>
                <w:szCs w:val="18"/>
                <w:lang w:eastAsia="en-CA"/>
              </w:rPr>
            </w:pPr>
            <w:r w:rsidRPr="0025776E">
              <w:rPr>
                <w:rFonts w:eastAsia="Times New Roman" w:cs="Arial"/>
                <w:color w:val="000000"/>
                <w:sz w:val="18"/>
                <w:szCs w:val="18"/>
                <w:lang w:eastAsia="en-CA"/>
              </w:rPr>
              <w:t>$53,000</w:t>
            </w:r>
          </w:p>
        </w:tc>
        <w:tc>
          <w:tcPr>
            <w:tcW w:w="1460" w:type="dxa"/>
            <w:tcBorders>
              <w:top w:val="nil"/>
              <w:left w:val="nil"/>
              <w:bottom w:val="double" w:sz="6" w:space="0" w:color="auto"/>
              <w:right w:val="nil"/>
            </w:tcBorders>
            <w:vAlign w:val="center"/>
            <w:hideMark/>
          </w:tcPr>
          <w:p w14:paraId="0116AE42" w14:textId="4347D558" w:rsidR="002324B0" w:rsidRPr="0025776E" w:rsidRDefault="002324B0" w:rsidP="00DB2499">
            <w:pPr>
              <w:spacing w:after="0" w:line="240" w:lineRule="auto"/>
              <w:jc w:val="both"/>
              <w:rPr>
                <w:rFonts w:eastAsia="Times New Roman" w:cs="Arial"/>
                <w:color w:val="000000"/>
                <w:sz w:val="18"/>
                <w:szCs w:val="18"/>
                <w:lang w:eastAsia="en-CA"/>
              </w:rPr>
            </w:pPr>
            <w:r w:rsidRPr="0025776E">
              <w:rPr>
                <w:rFonts w:eastAsia="Times New Roman" w:cs="Arial"/>
                <w:color w:val="000000"/>
                <w:sz w:val="18"/>
                <w:szCs w:val="18"/>
                <w:lang w:eastAsia="en-CA"/>
              </w:rPr>
              <w:t>$52,961</w:t>
            </w:r>
          </w:p>
        </w:tc>
        <w:tc>
          <w:tcPr>
            <w:tcW w:w="1460" w:type="dxa"/>
            <w:tcBorders>
              <w:top w:val="nil"/>
              <w:left w:val="nil"/>
              <w:bottom w:val="double" w:sz="6" w:space="0" w:color="auto"/>
              <w:right w:val="nil"/>
            </w:tcBorders>
            <w:vAlign w:val="center"/>
            <w:hideMark/>
          </w:tcPr>
          <w:p w14:paraId="5E27BADE" w14:textId="6366C24B" w:rsidR="002324B0" w:rsidRPr="0025776E" w:rsidRDefault="002324B0" w:rsidP="00DB2499">
            <w:pPr>
              <w:spacing w:after="0" w:line="240" w:lineRule="auto"/>
              <w:jc w:val="both"/>
              <w:rPr>
                <w:rFonts w:eastAsia="Times New Roman" w:cs="Arial"/>
                <w:color w:val="000000"/>
                <w:sz w:val="18"/>
                <w:szCs w:val="18"/>
                <w:lang w:eastAsia="en-CA"/>
              </w:rPr>
            </w:pPr>
            <w:r w:rsidRPr="0025776E">
              <w:rPr>
                <w:rFonts w:eastAsia="Times New Roman" w:cs="Arial"/>
                <w:color w:val="000000"/>
                <w:sz w:val="18"/>
                <w:szCs w:val="18"/>
                <w:lang w:eastAsia="en-CA"/>
              </w:rPr>
              <w:t>$62,500</w:t>
            </w:r>
          </w:p>
        </w:tc>
      </w:tr>
      <w:tr w:rsidR="002324B0" w:rsidRPr="0025776E" w14:paraId="1BEEE9BA" w14:textId="77777777" w:rsidTr="008B5C67">
        <w:trPr>
          <w:trHeight w:val="300"/>
        </w:trPr>
        <w:tc>
          <w:tcPr>
            <w:tcW w:w="3200" w:type="dxa"/>
            <w:tcBorders>
              <w:top w:val="nil"/>
              <w:left w:val="nil"/>
              <w:bottom w:val="nil"/>
              <w:right w:val="nil"/>
            </w:tcBorders>
            <w:vAlign w:val="center"/>
            <w:hideMark/>
          </w:tcPr>
          <w:p w14:paraId="5F18F788" w14:textId="77777777" w:rsidR="002324B0" w:rsidRPr="0025776E" w:rsidRDefault="002324B0" w:rsidP="00DB2499">
            <w:pPr>
              <w:spacing w:after="0" w:line="240" w:lineRule="auto"/>
              <w:jc w:val="both"/>
              <w:rPr>
                <w:rFonts w:eastAsia="Times New Roman" w:cs="Arial"/>
                <w:color w:val="000000"/>
                <w:sz w:val="18"/>
                <w:szCs w:val="18"/>
                <w:lang w:eastAsia="en-CA"/>
              </w:rPr>
            </w:pPr>
            <w:r w:rsidRPr="0025776E">
              <w:rPr>
                <w:rFonts w:eastAsia="Times New Roman" w:cs="Arial"/>
                <w:color w:val="000000"/>
                <w:sz w:val="18"/>
                <w:szCs w:val="18"/>
                <w:lang w:eastAsia="en-CA"/>
              </w:rPr>
              <w:t>Total Personnel Costs</w:t>
            </w:r>
          </w:p>
        </w:tc>
        <w:tc>
          <w:tcPr>
            <w:tcW w:w="1460" w:type="dxa"/>
            <w:tcBorders>
              <w:top w:val="nil"/>
              <w:left w:val="nil"/>
              <w:bottom w:val="nil"/>
              <w:right w:val="nil"/>
            </w:tcBorders>
            <w:vAlign w:val="center"/>
            <w:hideMark/>
          </w:tcPr>
          <w:p w14:paraId="5BDCF8CB" w14:textId="1E0CC908" w:rsidR="002324B0" w:rsidRPr="0025776E" w:rsidRDefault="002324B0" w:rsidP="00DB2499">
            <w:pPr>
              <w:spacing w:after="0" w:line="240" w:lineRule="auto"/>
              <w:jc w:val="both"/>
              <w:rPr>
                <w:rFonts w:eastAsia="Times New Roman" w:cs="Arial"/>
                <w:color w:val="000000"/>
                <w:sz w:val="18"/>
                <w:szCs w:val="18"/>
                <w:lang w:eastAsia="en-CA"/>
              </w:rPr>
            </w:pPr>
            <w:r w:rsidRPr="0025776E">
              <w:rPr>
                <w:rFonts w:eastAsia="Times New Roman" w:cs="Arial"/>
                <w:color w:val="000000"/>
                <w:sz w:val="18"/>
                <w:szCs w:val="18"/>
                <w:lang w:eastAsia="en-CA"/>
              </w:rPr>
              <w:t>$420,010</w:t>
            </w:r>
          </w:p>
        </w:tc>
        <w:tc>
          <w:tcPr>
            <w:tcW w:w="1460" w:type="dxa"/>
            <w:tcBorders>
              <w:top w:val="nil"/>
              <w:left w:val="nil"/>
              <w:bottom w:val="nil"/>
              <w:right w:val="nil"/>
            </w:tcBorders>
            <w:vAlign w:val="center"/>
            <w:hideMark/>
          </w:tcPr>
          <w:p w14:paraId="47415C29" w14:textId="7D4A00ED" w:rsidR="002324B0" w:rsidRPr="0025776E" w:rsidRDefault="002324B0" w:rsidP="00DB2499">
            <w:pPr>
              <w:spacing w:after="0" w:line="240" w:lineRule="auto"/>
              <w:jc w:val="both"/>
              <w:rPr>
                <w:rFonts w:eastAsia="Times New Roman" w:cs="Arial"/>
                <w:color w:val="000000"/>
                <w:sz w:val="18"/>
                <w:szCs w:val="18"/>
                <w:lang w:eastAsia="en-CA"/>
              </w:rPr>
            </w:pPr>
            <w:r w:rsidRPr="0025776E">
              <w:rPr>
                <w:rFonts w:eastAsia="Times New Roman" w:cs="Arial"/>
                <w:color w:val="000000"/>
                <w:sz w:val="18"/>
                <w:szCs w:val="18"/>
                <w:lang w:eastAsia="en-CA"/>
              </w:rPr>
              <w:t>$416,109</w:t>
            </w:r>
          </w:p>
        </w:tc>
        <w:tc>
          <w:tcPr>
            <w:tcW w:w="1460" w:type="dxa"/>
            <w:tcBorders>
              <w:top w:val="nil"/>
              <w:left w:val="nil"/>
              <w:bottom w:val="nil"/>
              <w:right w:val="nil"/>
            </w:tcBorders>
            <w:vAlign w:val="center"/>
            <w:hideMark/>
          </w:tcPr>
          <w:p w14:paraId="3179779F" w14:textId="65C602F8" w:rsidR="002324B0" w:rsidRPr="0025776E" w:rsidRDefault="002324B0" w:rsidP="00DB2499">
            <w:pPr>
              <w:spacing w:after="0" w:line="240" w:lineRule="auto"/>
              <w:jc w:val="both"/>
              <w:rPr>
                <w:rFonts w:eastAsia="Times New Roman" w:cs="Arial"/>
                <w:color w:val="000000"/>
                <w:sz w:val="18"/>
                <w:szCs w:val="18"/>
                <w:lang w:eastAsia="en-CA"/>
              </w:rPr>
            </w:pPr>
            <w:r w:rsidRPr="0025776E">
              <w:rPr>
                <w:rFonts w:eastAsia="Times New Roman" w:cs="Arial"/>
                <w:color w:val="000000"/>
                <w:sz w:val="18"/>
                <w:szCs w:val="18"/>
                <w:lang w:eastAsia="en-CA"/>
              </w:rPr>
              <w:t>$418,500</w:t>
            </w:r>
          </w:p>
        </w:tc>
      </w:tr>
    </w:tbl>
    <w:p w14:paraId="5A8A5A0E" w14:textId="77777777" w:rsidR="00F179A8" w:rsidRDefault="00F179A8" w:rsidP="00DB2499">
      <w:pPr>
        <w:jc w:val="both"/>
        <w:rPr>
          <w:rFonts w:cs="Arial"/>
        </w:rPr>
      </w:pPr>
    </w:p>
    <w:p w14:paraId="5E2455E2" w14:textId="45BC0EA3" w:rsidR="00E804AE" w:rsidRPr="00AB2699" w:rsidRDefault="00E804AE" w:rsidP="00DB2499">
      <w:pPr>
        <w:jc w:val="both"/>
        <w:rPr>
          <w:rFonts w:cs="Arial"/>
          <w:u w:val="single"/>
        </w:rPr>
      </w:pPr>
      <w:r w:rsidRPr="00AB2699">
        <w:rPr>
          <w:rFonts w:cs="Arial"/>
        </w:rPr>
        <w:t xml:space="preserve">Consolidated </w:t>
      </w:r>
      <w:r w:rsidRPr="00AB2699">
        <w:rPr>
          <w:rFonts w:cs="Arial"/>
          <w:b/>
          <w:bCs/>
        </w:rPr>
        <w:t>Ministries</w:t>
      </w:r>
      <w:r w:rsidRPr="00AB2699">
        <w:rPr>
          <w:rFonts w:cs="Arial"/>
        </w:rPr>
        <w:t xml:space="preserve"> expenses w</w:t>
      </w:r>
      <w:r w:rsidR="002324B0" w:rsidRPr="00AB2699">
        <w:rPr>
          <w:rFonts w:cs="Arial"/>
        </w:rPr>
        <w:t>ere</w:t>
      </w:r>
      <w:r w:rsidRPr="00AB2699">
        <w:rPr>
          <w:rFonts w:cs="Arial"/>
        </w:rPr>
        <w:t xml:space="preserve"> $11,736</w:t>
      </w:r>
      <w:r w:rsidR="002324B0" w:rsidRPr="00AB2699">
        <w:rPr>
          <w:rFonts w:cs="Arial"/>
        </w:rPr>
        <w:t xml:space="preserve"> </w:t>
      </w:r>
      <w:r w:rsidRPr="00AB2699">
        <w:rPr>
          <w:rFonts w:cs="Arial"/>
        </w:rPr>
        <w:t>higher</w:t>
      </w:r>
      <w:r w:rsidR="00506E1C" w:rsidRPr="00AB2699">
        <w:rPr>
          <w:rFonts w:cs="Arial"/>
        </w:rPr>
        <w:t xml:space="preserve"> </w:t>
      </w:r>
      <w:r w:rsidR="002324B0" w:rsidRPr="00AB2699">
        <w:rPr>
          <w:rFonts w:cs="Arial"/>
        </w:rPr>
        <w:t xml:space="preserve">(7%) </w:t>
      </w:r>
      <w:r w:rsidRPr="00AB2699">
        <w:rPr>
          <w:rFonts w:cs="Arial"/>
        </w:rPr>
        <w:t>than in 202</w:t>
      </w:r>
      <w:r w:rsidR="005D55E7" w:rsidRPr="00AB2699">
        <w:rPr>
          <w:rFonts w:cs="Arial"/>
        </w:rPr>
        <w:t>4</w:t>
      </w:r>
      <w:r w:rsidRPr="00AB2699">
        <w:rPr>
          <w:rFonts w:cs="Arial"/>
        </w:rPr>
        <w:t xml:space="preserve"> after 2 years of </w:t>
      </w:r>
      <w:r w:rsidR="008764D9">
        <w:rPr>
          <w:rFonts w:cs="Arial"/>
        </w:rPr>
        <w:t xml:space="preserve">significantly </w:t>
      </w:r>
      <w:r w:rsidRPr="00AB2699">
        <w:rPr>
          <w:rFonts w:cs="Arial"/>
        </w:rPr>
        <w:t>reduced spending in this area.</w:t>
      </w:r>
    </w:p>
    <w:p w14:paraId="12C88B71" w14:textId="5781A0FF" w:rsidR="00E804AE" w:rsidRPr="00AB2699" w:rsidRDefault="00E804AE" w:rsidP="00DB2499">
      <w:pPr>
        <w:jc w:val="both"/>
        <w:rPr>
          <w:rFonts w:cs="Arial"/>
          <w:u w:val="single"/>
        </w:rPr>
      </w:pPr>
      <w:r w:rsidRPr="00AB2699">
        <w:rPr>
          <w:rFonts w:cs="Arial"/>
          <w:b/>
          <w:bCs/>
        </w:rPr>
        <w:lastRenderedPageBreak/>
        <w:t>Missions</w:t>
      </w:r>
      <w:r w:rsidRPr="00AB2699">
        <w:rPr>
          <w:rFonts w:cs="Arial"/>
        </w:rPr>
        <w:t xml:space="preserve"> spending was $11,523 above plan in 2025. The base budget is based on planned support of missions listed on page </w:t>
      </w:r>
      <w:r w:rsidR="002324B0" w:rsidRPr="00AB2699">
        <w:rPr>
          <w:rFonts w:cs="Arial"/>
        </w:rPr>
        <w:t xml:space="preserve">6. </w:t>
      </w:r>
      <w:r w:rsidR="008764D9">
        <w:rPr>
          <w:rFonts w:cs="Arial"/>
        </w:rPr>
        <w:t>Fun</w:t>
      </w:r>
      <w:r w:rsidR="00E01503">
        <w:rPr>
          <w:rFonts w:cs="Arial"/>
        </w:rPr>
        <w:t>d</w:t>
      </w:r>
      <w:r w:rsidR="008764D9">
        <w:rPr>
          <w:rFonts w:cs="Arial"/>
        </w:rPr>
        <w:t>s raised</w:t>
      </w:r>
      <w:r w:rsidR="002324B0" w:rsidRPr="00AB2699">
        <w:rPr>
          <w:rFonts w:cs="Arial"/>
        </w:rPr>
        <w:t xml:space="preserve"> </w:t>
      </w:r>
      <w:proofErr w:type="gramStart"/>
      <w:r w:rsidR="002324B0" w:rsidRPr="00AB2699">
        <w:rPr>
          <w:rFonts w:cs="Arial"/>
        </w:rPr>
        <w:t>in excess of</w:t>
      </w:r>
      <w:proofErr w:type="gramEnd"/>
      <w:r w:rsidR="002324B0" w:rsidRPr="00AB2699">
        <w:rPr>
          <w:rFonts w:cs="Arial"/>
        </w:rPr>
        <w:t xml:space="preserve"> </w:t>
      </w:r>
      <w:r w:rsidR="005A4AD7">
        <w:rPr>
          <w:rFonts w:cs="Arial"/>
        </w:rPr>
        <w:t xml:space="preserve">the </w:t>
      </w:r>
      <w:r w:rsidR="008764D9">
        <w:rPr>
          <w:rFonts w:cs="Arial"/>
        </w:rPr>
        <w:t xml:space="preserve">base </w:t>
      </w:r>
      <w:proofErr w:type="gramStart"/>
      <w:r w:rsidR="005A4AD7">
        <w:rPr>
          <w:rFonts w:cs="Arial"/>
        </w:rPr>
        <w:t>missions</w:t>
      </w:r>
      <w:proofErr w:type="gramEnd"/>
      <w:r w:rsidR="005A4AD7">
        <w:rPr>
          <w:rFonts w:cs="Arial"/>
        </w:rPr>
        <w:t xml:space="preserve"> plan</w:t>
      </w:r>
      <w:r w:rsidR="002324B0" w:rsidRPr="00AB2699">
        <w:rPr>
          <w:rFonts w:cs="Arial"/>
        </w:rPr>
        <w:t xml:space="preserve"> is driven by special fundraising efforts throughout the year – </w:t>
      </w:r>
      <w:r w:rsidR="002324B0" w:rsidRPr="00AB2699">
        <w:rPr>
          <w:rFonts w:cs="Arial"/>
          <w:i/>
          <w:iCs/>
        </w:rPr>
        <w:t>e.g.</w:t>
      </w:r>
      <w:r w:rsidR="002324B0" w:rsidRPr="00AB2699">
        <w:rPr>
          <w:rFonts w:cs="Arial"/>
        </w:rPr>
        <w:t xml:space="preserve"> Kicks for Kids (CLC).</w:t>
      </w:r>
    </w:p>
    <w:p w14:paraId="6630B097" w14:textId="6BBA06EB" w:rsidR="00270899" w:rsidRPr="00AB2699" w:rsidRDefault="00E804AE" w:rsidP="00DB2499">
      <w:pPr>
        <w:jc w:val="both"/>
        <w:rPr>
          <w:rFonts w:cs="Arial"/>
          <w:u w:val="single"/>
        </w:rPr>
      </w:pPr>
      <w:r w:rsidRPr="00AB2699">
        <w:rPr>
          <w:rFonts w:cs="Arial"/>
          <w:b/>
          <w:bCs/>
        </w:rPr>
        <w:t>Administration</w:t>
      </w:r>
      <w:r w:rsidRPr="00AB2699">
        <w:rPr>
          <w:rFonts w:cs="Arial"/>
        </w:rPr>
        <w:t xml:space="preserve"> costs were $20,863 higher in 2025 vs. 2024. Almost half of this </w:t>
      </w:r>
      <w:r w:rsidR="002324B0" w:rsidRPr="00AB2699">
        <w:rPr>
          <w:rFonts w:cs="Arial"/>
        </w:rPr>
        <w:t>($</w:t>
      </w:r>
      <w:r w:rsidR="006E2F4D" w:rsidRPr="00AB2699">
        <w:rPr>
          <w:rFonts w:cs="Arial"/>
        </w:rPr>
        <w:t>9,960)</w:t>
      </w:r>
      <w:r w:rsidRPr="00AB2699">
        <w:rPr>
          <w:rFonts w:cs="Arial"/>
        </w:rPr>
        <w:t xml:space="preserve"> was related to new loan interest associated with the paving project</w:t>
      </w:r>
      <w:r w:rsidR="006E2F4D" w:rsidRPr="00AB2699">
        <w:rPr>
          <w:rFonts w:cs="Arial"/>
        </w:rPr>
        <w:t>.</w:t>
      </w:r>
    </w:p>
    <w:p w14:paraId="1A547B66" w14:textId="2FA1C768" w:rsidR="00182F33" w:rsidRPr="00AB2699" w:rsidRDefault="00825B62" w:rsidP="00DB2499">
      <w:pPr>
        <w:jc w:val="both"/>
        <w:rPr>
          <w:rFonts w:cs="Arial"/>
        </w:rPr>
      </w:pPr>
      <w:r w:rsidRPr="00AB2699">
        <w:rPr>
          <w:rFonts w:cs="Arial"/>
          <w:b/>
          <w:bCs/>
        </w:rPr>
        <w:t>Building</w:t>
      </w:r>
      <w:r w:rsidRPr="00AB2699">
        <w:rPr>
          <w:rFonts w:cs="Arial"/>
        </w:rPr>
        <w:t xml:space="preserve"> costs were </w:t>
      </w:r>
      <w:r w:rsidR="002324B0" w:rsidRPr="00AB2699">
        <w:rPr>
          <w:rFonts w:cs="Arial"/>
        </w:rPr>
        <w:t>$8,402</w:t>
      </w:r>
      <w:r w:rsidRPr="00AB2699">
        <w:rPr>
          <w:rFonts w:cs="Arial"/>
        </w:rPr>
        <w:t xml:space="preserve"> lower than </w:t>
      </w:r>
      <w:r w:rsidR="002324B0" w:rsidRPr="00AB2699">
        <w:rPr>
          <w:rFonts w:cs="Arial"/>
        </w:rPr>
        <w:t>2024</w:t>
      </w:r>
      <w:r w:rsidRPr="00AB2699">
        <w:rPr>
          <w:rFonts w:cs="Arial"/>
        </w:rPr>
        <w:t xml:space="preserve"> due to </w:t>
      </w:r>
      <w:r w:rsidR="002324B0" w:rsidRPr="00AB2699">
        <w:rPr>
          <w:rFonts w:cs="Arial"/>
        </w:rPr>
        <w:t xml:space="preserve">minimal </w:t>
      </w:r>
      <w:r w:rsidR="006E2F4D" w:rsidRPr="00AB2699">
        <w:rPr>
          <w:rFonts w:cs="Arial"/>
        </w:rPr>
        <w:t>Maintenance &amp; Repair</w:t>
      </w:r>
      <w:r w:rsidRPr="00AB2699">
        <w:rPr>
          <w:rFonts w:cs="Arial"/>
        </w:rPr>
        <w:t xml:space="preserve"> related projects during the year. </w:t>
      </w:r>
    </w:p>
    <w:p w14:paraId="5EB74DC4" w14:textId="2134F658" w:rsidR="00825B62" w:rsidRDefault="002324B0" w:rsidP="00DB2499">
      <w:pPr>
        <w:jc w:val="both"/>
        <w:rPr>
          <w:rFonts w:cs="Arial"/>
          <w:b/>
          <w:bCs/>
        </w:rPr>
      </w:pPr>
      <w:r>
        <w:rPr>
          <w:rFonts w:cs="Arial"/>
          <w:b/>
          <w:bCs/>
        </w:rPr>
        <w:t>O</w:t>
      </w:r>
      <w:r w:rsidR="00825B62" w:rsidRPr="00AD0F47">
        <w:rPr>
          <w:rFonts w:cs="Arial"/>
          <w:b/>
          <w:bCs/>
        </w:rPr>
        <w:t>perational Loss/Surplus</w:t>
      </w:r>
      <w:r w:rsidR="008764D9">
        <w:rPr>
          <w:rFonts w:cs="Arial"/>
          <w:b/>
          <w:bCs/>
        </w:rPr>
        <w:t xml:space="preserve"> Summary</w:t>
      </w:r>
    </w:p>
    <w:p w14:paraId="043923C2" w14:textId="34592235" w:rsidR="008764D9" w:rsidRDefault="008764D9" w:rsidP="00DB2499">
      <w:pPr>
        <w:jc w:val="both"/>
        <w:rPr>
          <w:rFonts w:cs="Arial"/>
        </w:rPr>
      </w:pPr>
      <w:r>
        <w:rPr>
          <w:rFonts w:cs="Arial"/>
        </w:rPr>
        <w:t xml:space="preserve">A summary of the operational </w:t>
      </w:r>
      <w:r w:rsidR="009200B6">
        <w:rPr>
          <w:rFonts w:cs="Arial"/>
        </w:rPr>
        <w:t>receipts and expenses is shown in Table 3</w:t>
      </w:r>
      <w:r w:rsidR="008B58B5">
        <w:rPr>
          <w:rFonts w:cs="Arial"/>
        </w:rPr>
        <w:t>:</w:t>
      </w:r>
    </w:p>
    <w:p w14:paraId="5A389646" w14:textId="43D71BEB" w:rsidR="00B77EA6" w:rsidRPr="002324B0" w:rsidRDefault="00B77EA6" w:rsidP="00DB2499">
      <w:pPr>
        <w:ind w:left="360"/>
        <w:jc w:val="both"/>
        <w:rPr>
          <w:rFonts w:cs="Arial"/>
          <w:b/>
          <w:bCs/>
          <w:sz w:val="20"/>
          <w:szCs w:val="20"/>
        </w:rPr>
      </w:pPr>
      <w:r w:rsidRPr="002324B0">
        <w:rPr>
          <w:rFonts w:cs="Arial"/>
          <w:b/>
          <w:bCs/>
          <w:sz w:val="20"/>
          <w:szCs w:val="20"/>
        </w:rPr>
        <w:t xml:space="preserve">Table </w:t>
      </w:r>
      <w:r>
        <w:rPr>
          <w:rFonts w:cs="Arial"/>
          <w:b/>
          <w:bCs/>
          <w:sz w:val="20"/>
          <w:szCs w:val="20"/>
        </w:rPr>
        <w:t>3</w:t>
      </w:r>
      <w:r w:rsidRPr="002324B0">
        <w:rPr>
          <w:rFonts w:cs="Arial"/>
          <w:b/>
          <w:bCs/>
          <w:sz w:val="20"/>
          <w:szCs w:val="20"/>
        </w:rPr>
        <w:t xml:space="preserve"> – Summary of NLA </w:t>
      </w:r>
      <w:r>
        <w:rPr>
          <w:rFonts w:cs="Arial"/>
          <w:b/>
          <w:bCs/>
          <w:sz w:val="20"/>
          <w:szCs w:val="20"/>
        </w:rPr>
        <w:t>Petrolia 2025 Operational Receipts and Expenses</w:t>
      </w:r>
      <w:r w:rsidRPr="002324B0">
        <w:rPr>
          <w:rFonts w:cs="Arial"/>
          <w:b/>
          <w:bCs/>
          <w:sz w:val="20"/>
          <w:szCs w:val="20"/>
        </w:rPr>
        <w:t xml:space="preserve"> </w:t>
      </w:r>
    </w:p>
    <w:tbl>
      <w:tblPr>
        <w:tblW w:w="5892" w:type="dxa"/>
        <w:jc w:val="center"/>
        <w:tblLook w:val="04A0" w:firstRow="1" w:lastRow="0" w:firstColumn="1" w:lastColumn="0" w:noHBand="0" w:noVBand="1"/>
      </w:tblPr>
      <w:tblGrid>
        <w:gridCol w:w="2231"/>
        <w:gridCol w:w="1230"/>
        <w:gridCol w:w="1230"/>
        <w:gridCol w:w="1201"/>
      </w:tblGrid>
      <w:tr w:rsidR="00A42536" w:rsidRPr="00310A2D" w14:paraId="52DC36C2" w14:textId="48BF2383" w:rsidTr="00A42536">
        <w:trPr>
          <w:trHeight w:val="330"/>
          <w:jc w:val="center"/>
        </w:trPr>
        <w:tc>
          <w:tcPr>
            <w:tcW w:w="2231" w:type="dxa"/>
            <w:tcBorders>
              <w:top w:val="single" w:sz="4" w:space="0" w:color="auto"/>
              <w:left w:val="nil"/>
              <w:bottom w:val="single" w:sz="4" w:space="0" w:color="auto"/>
              <w:right w:val="nil"/>
            </w:tcBorders>
            <w:vAlign w:val="center"/>
            <w:hideMark/>
          </w:tcPr>
          <w:p w14:paraId="3CA89599" w14:textId="47D9AD28" w:rsidR="00A42536" w:rsidRPr="0025776E" w:rsidRDefault="00A42536" w:rsidP="00DB2499">
            <w:pPr>
              <w:spacing w:after="0" w:line="240" w:lineRule="auto"/>
              <w:jc w:val="both"/>
              <w:rPr>
                <w:rFonts w:eastAsia="Times New Roman" w:cs="Arial"/>
                <w:b/>
                <w:bCs/>
                <w:i/>
                <w:iCs/>
                <w:color w:val="000000"/>
                <w:sz w:val="16"/>
                <w:szCs w:val="16"/>
                <w:lang w:eastAsia="en-CA"/>
              </w:rPr>
            </w:pPr>
            <w:r w:rsidRPr="0025776E">
              <w:rPr>
                <w:rFonts w:eastAsia="Times New Roman" w:cs="Arial"/>
                <w:b/>
                <w:bCs/>
                <w:i/>
                <w:iCs/>
                <w:color w:val="000000"/>
                <w:sz w:val="16"/>
                <w:szCs w:val="16"/>
                <w:lang w:eastAsia="en-CA"/>
              </w:rPr>
              <w:t>Operational Activities</w:t>
            </w:r>
          </w:p>
        </w:tc>
        <w:tc>
          <w:tcPr>
            <w:tcW w:w="1230" w:type="dxa"/>
            <w:tcBorders>
              <w:top w:val="single" w:sz="4" w:space="0" w:color="auto"/>
              <w:left w:val="nil"/>
              <w:bottom w:val="single" w:sz="4" w:space="0" w:color="auto"/>
              <w:right w:val="nil"/>
            </w:tcBorders>
            <w:vAlign w:val="center"/>
            <w:hideMark/>
          </w:tcPr>
          <w:p w14:paraId="2A7FF4A3" w14:textId="04488A7C" w:rsidR="00A42536" w:rsidRPr="0025776E" w:rsidRDefault="00A42536" w:rsidP="00DB2499">
            <w:pPr>
              <w:spacing w:after="0" w:line="240" w:lineRule="auto"/>
              <w:jc w:val="both"/>
              <w:rPr>
                <w:rFonts w:eastAsia="Times New Roman" w:cs="Arial"/>
                <w:b/>
                <w:bCs/>
                <w:i/>
                <w:iCs/>
                <w:color w:val="000000"/>
                <w:sz w:val="16"/>
                <w:szCs w:val="16"/>
                <w:lang w:eastAsia="en-CA"/>
              </w:rPr>
            </w:pPr>
            <w:r w:rsidRPr="0025776E">
              <w:rPr>
                <w:rFonts w:eastAsia="Times New Roman" w:cs="Arial"/>
                <w:b/>
                <w:bCs/>
                <w:i/>
                <w:iCs/>
                <w:color w:val="000000"/>
                <w:sz w:val="16"/>
                <w:szCs w:val="16"/>
                <w:lang w:eastAsia="en-CA"/>
              </w:rPr>
              <w:t xml:space="preserve">2025 </w:t>
            </w:r>
            <w:r w:rsidRPr="0025776E">
              <w:rPr>
                <w:rFonts w:eastAsia="Times New Roman" w:cs="Arial"/>
                <w:b/>
                <w:bCs/>
                <w:i/>
                <w:iCs/>
                <w:color w:val="000000"/>
                <w:sz w:val="16"/>
                <w:szCs w:val="16"/>
                <w:lang w:eastAsia="en-CA"/>
              </w:rPr>
              <w:t>Plan</w:t>
            </w:r>
          </w:p>
        </w:tc>
        <w:tc>
          <w:tcPr>
            <w:tcW w:w="1230" w:type="dxa"/>
            <w:tcBorders>
              <w:top w:val="single" w:sz="4" w:space="0" w:color="auto"/>
              <w:left w:val="nil"/>
              <w:bottom w:val="single" w:sz="4" w:space="0" w:color="auto"/>
              <w:right w:val="nil"/>
            </w:tcBorders>
            <w:vAlign w:val="center"/>
            <w:hideMark/>
          </w:tcPr>
          <w:p w14:paraId="09D8D3D4" w14:textId="2B214239" w:rsidR="00A42536" w:rsidRPr="0025776E" w:rsidRDefault="00A42536" w:rsidP="00DB2499">
            <w:pPr>
              <w:spacing w:after="0" w:line="240" w:lineRule="auto"/>
              <w:jc w:val="both"/>
              <w:rPr>
                <w:rFonts w:eastAsia="Times New Roman" w:cs="Arial"/>
                <w:b/>
                <w:bCs/>
                <w:i/>
                <w:iCs/>
                <w:color w:val="000000"/>
                <w:sz w:val="16"/>
                <w:szCs w:val="16"/>
                <w:lang w:eastAsia="en-CA"/>
              </w:rPr>
            </w:pPr>
            <w:r w:rsidRPr="0025776E">
              <w:rPr>
                <w:rFonts w:eastAsia="Times New Roman" w:cs="Arial"/>
                <w:b/>
                <w:bCs/>
                <w:i/>
                <w:iCs/>
                <w:color w:val="000000"/>
                <w:sz w:val="16"/>
                <w:szCs w:val="16"/>
                <w:lang w:eastAsia="en-CA"/>
              </w:rPr>
              <w:t>2025</w:t>
            </w:r>
            <w:r w:rsidRPr="0025776E">
              <w:rPr>
                <w:rFonts w:eastAsia="Times New Roman" w:cs="Arial"/>
                <w:b/>
                <w:bCs/>
                <w:i/>
                <w:iCs/>
                <w:color w:val="000000"/>
                <w:sz w:val="16"/>
                <w:szCs w:val="16"/>
                <w:lang w:eastAsia="en-CA"/>
              </w:rPr>
              <w:t xml:space="preserve"> Actual</w:t>
            </w:r>
          </w:p>
        </w:tc>
        <w:tc>
          <w:tcPr>
            <w:tcW w:w="1201" w:type="dxa"/>
            <w:tcBorders>
              <w:top w:val="single" w:sz="4" w:space="0" w:color="auto"/>
              <w:left w:val="nil"/>
              <w:bottom w:val="single" w:sz="4" w:space="0" w:color="auto"/>
              <w:right w:val="nil"/>
            </w:tcBorders>
            <w:vAlign w:val="center"/>
            <w:hideMark/>
          </w:tcPr>
          <w:p w14:paraId="5E4331D9" w14:textId="68EC7FE8" w:rsidR="00A42536" w:rsidRPr="0025776E" w:rsidRDefault="00A42536" w:rsidP="00DB2499">
            <w:pPr>
              <w:spacing w:after="0" w:line="240" w:lineRule="auto"/>
              <w:jc w:val="both"/>
              <w:rPr>
                <w:rFonts w:eastAsia="Times New Roman" w:cs="Arial"/>
                <w:b/>
                <w:bCs/>
                <w:i/>
                <w:iCs/>
                <w:color w:val="000000"/>
                <w:sz w:val="16"/>
                <w:szCs w:val="16"/>
                <w:lang w:eastAsia="en-CA"/>
              </w:rPr>
            </w:pPr>
            <w:r w:rsidRPr="0025776E">
              <w:rPr>
                <w:rFonts w:eastAsia="Times New Roman" w:cs="Arial"/>
                <w:b/>
                <w:bCs/>
                <w:i/>
                <w:iCs/>
                <w:color w:val="000000"/>
                <w:sz w:val="16"/>
                <w:szCs w:val="16"/>
                <w:lang w:eastAsia="en-CA"/>
              </w:rPr>
              <w:t>Delta</w:t>
            </w:r>
          </w:p>
        </w:tc>
      </w:tr>
      <w:tr w:rsidR="00A42536" w:rsidRPr="00310A2D" w14:paraId="79496177" w14:textId="236884EE" w:rsidTr="00A42536">
        <w:trPr>
          <w:trHeight w:val="285"/>
          <w:jc w:val="center"/>
        </w:trPr>
        <w:tc>
          <w:tcPr>
            <w:tcW w:w="2231" w:type="dxa"/>
            <w:tcBorders>
              <w:top w:val="nil"/>
              <w:left w:val="nil"/>
              <w:bottom w:val="nil"/>
              <w:right w:val="nil"/>
            </w:tcBorders>
            <w:vAlign w:val="center"/>
            <w:hideMark/>
          </w:tcPr>
          <w:p w14:paraId="652DA404" w14:textId="5D60F905" w:rsidR="00A42536" w:rsidRPr="0025776E" w:rsidRDefault="00A42536" w:rsidP="00DB2499">
            <w:pPr>
              <w:spacing w:after="0" w:line="240" w:lineRule="auto"/>
              <w:jc w:val="both"/>
              <w:rPr>
                <w:rFonts w:eastAsia="Times New Roman" w:cs="Arial"/>
                <w:color w:val="000000"/>
                <w:sz w:val="16"/>
                <w:szCs w:val="16"/>
                <w:lang w:eastAsia="en-CA"/>
              </w:rPr>
            </w:pPr>
            <w:r w:rsidRPr="0025776E">
              <w:rPr>
                <w:rFonts w:eastAsia="Times New Roman" w:cs="Arial"/>
                <w:color w:val="000000"/>
                <w:sz w:val="16"/>
                <w:szCs w:val="16"/>
                <w:lang w:eastAsia="en-CA"/>
              </w:rPr>
              <w:t>Receipts</w:t>
            </w:r>
            <w:r w:rsidRPr="0025776E">
              <w:rPr>
                <w:rFonts w:eastAsia="Times New Roman" w:cs="Arial"/>
                <w:color w:val="000000"/>
                <w:sz w:val="16"/>
                <w:szCs w:val="16"/>
                <w:lang w:eastAsia="en-CA"/>
              </w:rPr>
              <w:t xml:space="preserve">  </w:t>
            </w:r>
          </w:p>
        </w:tc>
        <w:tc>
          <w:tcPr>
            <w:tcW w:w="1230" w:type="dxa"/>
            <w:tcBorders>
              <w:top w:val="nil"/>
              <w:left w:val="nil"/>
              <w:bottom w:val="nil"/>
              <w:right w:val="nil"/>
            </w:tcBorders>
            <w:vAlign w:val="center"/>
            <w:hideMark/>
          </w:tcPr>
          <w:p w14:paraId="22FA0ABE" w14:textId="3708CDD8" w:rsidR="00A42536" w:rsidRPr="0025776E" w:rsidRDefault="00A42536" w:rsidP="00DB2499">
            <w:pPr>
              <w:spacing w:after="0" w:line="240" w:lineRule="auto"/>
              <w:jc w:val="both"/>
              <w:rPr>
                <w:rFonts w:eastAsia="Times New Roman" w:cs="Arial"/>
                <w:color w:val="000000"/>
                <w:sz w:val="16"/>
                <w:szCs w:val="16"/>
                <w:lang w:eastAsia="en-CA"/>
              </w:rPr>
            </w:pPr>
            <w:r w:rsidRPr="0025776E">
              <w:rPr>
                <w:rFonts w:eastAsia="Times New Roman" w:cs="Arial"/>
                <w:color w:val="000000"/>
                <w:sz w:val="16"/>
                <w:szCs w:val="16"/>
                <w:lang w:eastAsia="en-CA"/>
              </w:rPr>
              <w:t>$820,000</w:t>
            </w:r>
          </w:p>
        </w:tc>
        <w:tc>
          <w:tcPr>
            <w:tcW w:w="1230" w:type="dxa"/>
            <w:tcBorders>
              <w:top w:val="nil"/>
              <w:left w:val="nil"/>
              <w:bottom w:val="nil"/>
              <w:right w:val="nil"/>
            </w:tcBorders>
            <w:vAlign w:val="center"/>
            <w:hideMark/>
          </w:tcPr>
          <w:p w14:paraId="6D7AD3F7" w14:textId="75856CFD" w:rsidR="00A42536" w:rsidRPr="0025776E" w:rsidRDefault="00A42536" w:rsidP="00DB2499">
            <w:pPr>
              <w:spacing w:after="0" w:line="240" w:lineRule="auto"/>
              <w:jc w:val="both"/>
              <w:rPr>
                <w:rFonts w:eastAsia="Times New Roman" w:cs="Arial"/>
                <w:color w:val="000000"/>
                <w:sz w:val="16"/>
                <w:szCs w:val="16"/>
                <w:lang w:eastAsia="en-CA"/>
              </w:rPr>
            </w:pPr>
            <w:r w:rsidRPr="0025776E">
              <w:rPr>
                <w:rFonts w:eastAsia="Times New Roman" w:cs="Arial"/>
                <w:color w:val="000000"/>
                <w:sz w:val="16"/>
                <w:szCs w:val="16"/>
                <w:lang w:eastAsia="en-CA"/>
              </w:rPr>
              <w:t>$</w:t>
            </w:r>
            <w:r w:rsidRPr="0025776E">
              <w:rPr>
                <w:rFonts w:eastAsia="Times New Roman" w:cs="Arial"/>
                <w:color w:val="000000"/>
                <w:sz w:val="16"/>
                <w:szCs w:val="16"/>
                <w:lang w:eastAsia="en-CA"/>
              </w:rPr>
              <w:t>788,6</w:t>
            </w:r>
            <w:r w:rsidR="00A163E8">
              <w:rPr>
                <w:rFonts w:eastAsia="Times New Roman" w:cs="Arial"/>
                <w:color w:val="000000"/>
                <w:sz w:val="16"/>
                <w:szCs w:val="16"/>
                <w:lang w:eastAsia="en-CA"/>
              </w:rPr>
              <w:t>8</w:t>
            </w:r>
            <w:r w:rsidRPr="0025776E">
              <w:rPr>
                <w:rFonts w:eastAsia="Times New Roman" w:cs="Arial"/>
                <w:color w:val="000000"/>
                <w:sz w:val="16"/>
                <w:szCs w:val="16"/>
                <w:lang w:eastAsia="en-CA"/>
              </w:rPr>
              <w:t>8</w:t>
            </w:r>
          </w:p>
        </w:tc>
        <w:tc>
          <w:tcPr>
            <w:tcW w:w="1201" w:type="dxa"/>
            <w:tcBorders>
              <w:top w:val="nil"/>
              <w:left w:val="nil"/>
              <w:bottom w:val="nil"/>
              <w:right w:val="nil"/>
            </w:tcBorders>
            <w:vAlign w:val="center"/>
            <w:hideMark/>
          </w:tcPr>
          <w:p w14:paraId="1C22ACBC" w14:textId="658ABB20" w:rsidR="00A42536" w:rsidRPr="0025776E" w:rsidRDefault="00A42536" w:rsidP="00DB2499">
            <w:pPr>
              <w:spacing w:after="0" w:line="240" w:lineRule="auto"/>
              <w:jc w:val="both"/>
              <w:rPr>
                <w:rFonts w:eastAsia="Times New Roman" w:cs="Arial"/>
                <w:color w:val="000000"/>
                <w:sz w:val="16"/>
                <w:szCs w:val="16"/>
                <w:lang w:eastAsia="en-CA"/>
              </w:rPr>
            </w:pPr>
            <w:r w:rsidRPr="0025776E">
              <w:rPr>
                <w:rFonts w:eastAsia="Times New Roman" w:cs="Arial"/>
                <w:color w:val="000000"/>
                <w:sz w:val="16"/>
                <w:szCs w:val="16"/>
                <w:lang w:eastAsia="en-CA"/>
              </w:rPr>
              <w:t>-$31,3</w:t>
            </w:r>
            <w:r w:rsidR="00A163E8">
              <w:rPr>
                <w:rFonts w:eastAsia="Times New Roman" w:cs="Arial"/>
                <w:color w:val="000000"/>
                <w:sz w:val="16"/>
                <w:szCs w:val="16"/>
                <w:lang w:eastAsia="en-CA"/>
              </w:rPr>
              <w:t>1</w:t>
            </w:r>
            <w:r w:rsidRPr="0025776E">
              <w:rPr>
                <w:rFonts w:eastAsia="Times New Roman" w:cs="Arial"/>
                <w:color w:val="000000"/>
                <w:sz w:val="16"/>
                <w:szCs w:val="16"/>
                <w:lang w:eastAsia="en-CA"/>
              </w:rPr>
              <w:t xml:space="preserve">2 </w:t>
            </w:r>
          </w:p>
        </w:tc>
      </w:tr>
      <w:tr w:rsidR="00A42536" w:rsidRPr="00310A2D" w14:paraId="3133D0AE" w14:textId="31B57AA3" w:rsidTr="00A42536">
        <w:trPr>
          <w:trHeight w:val="300"/>
          <w:jc w:val="center"/>
        </w:trPr>
        <w:tc>
          <w:tcPr>
            <w:tcW w:w="2231" w:type="dxa"/>
            <w:tcBorders>
              <w:top w:val="nil"/>
              <w:left w:val="nil"/>
              <w:bottom w:val="double" w:sz="6" w:space="0" w:color="auto"/>
              <w:right w:val="nil"/>
            </w:tcBorders>
            <w:vAlign w:val="center"/>
            <w:hideMark/>
          </w:tcPr>
          <w:p w14:paraId="0F2D02C7" w14:textId="0B661179" w:rsidR="00A42536" w:rsidRPr="0025776E" w:rsidRDefault="00A42536" w:rsidP="00DB2499">
            <w:pPr>
              <w:spacing w:after="0" w:line="240" w:lineRule="auto"/>
              <w:jc w:val="both"/>
              <w:rPr>
                <w:rFonts w:eastAsia="Times New Roman" w:cs="Arial"/>
                <w:color w:val="000000"/>
                <w:sz w:val="16"/>
                <w:szCs w:val="16"/>
                <w:lang w:eastAsia="en-CA"/>
              </w:rPr>
            </w:pPr>
            <w:r w:rsidRPr="0025776E">
              <w:rPr>
                <w:rFonts w:eastAsia="Times New Roman" w:cs="Arial"/>
                <w:color w:val="000000"/>
                <w:sz w:val="16"/>
                <w:szCs w:val="16"/>
                <w:lang w:eastAsia="en-CA"/>
              </w:rPr>
              <w:t>Expenses</w:t>
            </w:r>
          </w:p>
        </w:tc>
        <w:tc>
          <w:tcPr>
            <w:tcW w:w="1230" w:type="dxa"/>
            <w:tcBorders>
              <w:top w:val="nil"/>
              <w:left w:val="nil"/>
              <w:bottom w:val="double" w:sz="6" w:space="0" w:color="auto"/>
              <w:right w:val="nil"/>
            </w:tcBorders>
            <w:vAlign w:val="center"/>
            <w:hideMark/>
          </w:tcPr>
          <w:p w14:paraId="4CD0392D" w14:textId="0A35A5CD" w:rsidR="00A42536" w:rsidRPr="0025776E" w:rsidRDefault="00A42536" w:rsidP="00DB2499">
            <w:pPr>
              <w:spacing w:after="0" w:line="240" w:lineRule="auto"/>
              <w:jc w:val="both"/>
              <w:rPr>
                <w:rFonts w:eastAsia="Times New Roman" w:cs="Arial"/>
                <w:color w:val="000000"/>
                <w:sz w:val="16"/>
                <w:szCs w:val="16"/>
                <w:lang w:eastAsia="en-CA"/>
              </w:rPr>
            </w:pPr>
            <w:r w:rsidRPr="0025776E">
              <w:rPr>
                <w:rFonts w:eastAsia="Times New Roman" w:cs="Arial"/>
                <w:color w:val="000000"/>
                <w:sz w:val="16"/>
                <w:szCs w:val="16"/>
                <w:lang w:eastAsia="en-CA"/>
              </w:rPr>
              <w:t>$</w:t>
            </w:r>
            <w:r w:rsidRPr="0025776E">
              <w:rPr>
                <w:rFonts w:eastAsia="Times New Roman" w:cs="Arial"/>
                <w:color w:val="000000"/>
                <w:sz w:val="16"/>
                <w:szCs w:val="16"/>
                <w:lang w:eastAsia="en-CA"/>
              </w:rPr>
              <w:t>820,000</w:t>
            </w:r>
          </w:p>
        </w:tc>
        <w:tc>
          <w:tcPr>
            <w:tcW w:w="1230" w:type="dxa"/>
            <w:tcBorders>
              <w:top w:val="nil"/>
              <w:left w:val="nil"/>
              <w:bottom w:val="double" w:sz="6" w:space="0" w:color="auto"/>
              <w:right w:val="nil"/>
            </w:tcBorders>
            <w:vAlign w:val="center"/>
            <w:hideMark/>
          </w:tcPr>
          <w:p w14:paraId="6B2E459E" w14:textId="762B9082" w:rsidR="00A42536" w:rsidRPr="0025776E" w:rsidRDefault="00A42536" w:rsidP="00DB2499">
            <w:pPr>
              <w:spacing w:after="0" w:line="240" w:lineRule="auto"/>
              <w:jc w:val="both"/>
              <w:rPr>
                <w:rFonts w:eastAsia="Times New Roman" w:cs="Arial"/>
                <w:color w:val="000000"/>
                <w:sz w:val="16"/>
                <w:szCs w:val="16"/>
                <w:lang w:eastAsia="en-CA"/>
              </w:rPr>
            </w:pPr>
            <w:r w:rsidRPr="0025776E">
              <w:rPr>
                <w:rFonts w:eastAsia="Times New Roman" w:cs="Arial"/>
                <w:color w:val="000000"/>
                <w:sz w:val="16"/>
                <w:szCs w:val="16"/>
                <w:lang w:eastAsia="en-CA"/>
              </w:rPr>
              <w:t>$</w:t>
            </w:r>
            <w:r w:rsidRPr="0025776E">
              <w:rPr>
                <w:rFonts w:eastAsia="Times New Roman" w:cs="Arial"/>
                <w:color w:val="000000"/>
                <w:sz w:val="16"/>
                <w:szCs w:val="16"/>
                <w:lang w:eastAsia="en-CA"/>
              </w:rPr>
              <w:t>825,033</w:t>
            </w:r>
          </w:p>
        </w:tc>
        <w:tc>
          <w:tcPr>
            <w:tcW w:w="1201" w:type="dxa"/>
            <w:tcBorders>
              <w:top w:val="nil"/>
              <w:left w:val="nil"/>
              <w:bottom w:val="double" w:sz="6" w:space="0" w:color="auto"/>
              <w:right w:val="nil"/>
            </w:tcBorders>
            <w:vAlign w:val="center"/>
            <w:hideMark/>
          </w:tcPr>
          <w:p w14:paraId="6931A92B" w14:textId="503CC847" w:rsidR="00A42536" w:rsidRPr="0025776E" w:rsidRDefault="00A42536" w:rsidP="00DB2499">
            <w:pPr>
              <w:spacing w:after="0" w:line="240" w:lineRule="auto"/>
              <w:jc w:val="both"/>
              <w:rPr>
                <w:rFonts w:eastAsia="Times New Roman" w:cs="Arial"/>
                <w:color w:val="000000"/>
                <w:sz w:val="16"/>
                <w:szCs w:val="16"/>
                <w:lang w:eastAsia="en-CA"/>
              </w:rPr>
            </w:pPr>
            <w:r w:rsidRPr="0025776E">
              <w:rPr>
                <w:rFonts w:eastAsia="Times New Roman" w:cs="Arial"/>
                <w:color w:val="000000"/>
                <w:sz w:val="16"/>
                <w:szCs w:val="16"/>
                <w:lang w:eastAsia="en-CA"/>
              </w:rPr>
              <w:t>$5,033</w:t>
            </w:r>
          </w:p>
        </w:tc>
      </w:tr>
      <w:tr w:rsidR="00A42536" w:rsidRPr="00310A2D" w14:paraId="61C55C04" w14:textId="08F0F9CC" w:rsidTr="00A42536">
        <w:trPr>
          <w:trHeight w:val="300"/>
          <w:jc w:val="center"/>
        </w:trPr>
        <w:tc>
          <w:tcPr>
            <w:tcW w:w="2231" w:type="dxa"/>
            <w:tcBorders>
              <w:top w:val="nil"/>
              <w:left w:val="nil"/>
              <w:bottom w:val="nil"/>
              <w:right w:val="nil"/>
            </w:tcBorders>
            <w:vAlign w:val="center"/>
            <w:hideMark/>
          </w:tcPr>
          <w:p w14:paraId="2BD978EE" w14:textId="2601898F" w:rsidR="00A42536" w:rsidRPr="0025776E" w:rsidRDefault="00A42536" w:rsidP="00DB2499">
            <w:pPr>
              <w:spacing w:after="0" w:line="240" w:lineRule="auto"/>
              <w:jc w:val="both"/>
              <w:rPr>
                <w:rFonts w:eastAsia="Times New Roman" w:cs="Arial"/>
                <w:color w:val="000000"/>
                <w:sz w:val="16"/>
                <w:szCs w:val="16"/>
                <w:lang w:eastAsia="en-CA"/>
              </w:rPr>
            </w:pPr>
            <w:r w:rsidRPr="0025776E">
              <w:rPr>
                <w:rFonts w:eastAsia="Times New Roman" w:cs="Arial"/>
                <w:color w:val="000000"/>
                <w:sz w:val="16"/>
                <w:szCs w:val="16"/>
                <w:lang w:eastAsia="en-CA"/>
              </w:rPr>
              <w:t>Surplus/(Loss)</w:t>
            </w:r>
          </w:p>
        </w:tc>
        <w:tc>
          <w:tcPr>
            <w:tcW w:w="1230" w:type="dxa"/>
            <w:tcBorders>
              <w:top w:val="nil"/>
              <w:left w:val="nil"/>
              <w:bottom w:val="nil"/>
              <w:right w:val="nil"/>
            </w:tcBorders>
            <w:vAlign w:val="center"/>
            <w:hideMark/>
          </w:tcPr>
          <w:p w14:paraId="51011482" w14:textId="0A3FDFA0" w:rsidR="00A42536" w:rsidRPr="0025776E" w:rsidRDefault="00A42536" w:rsidP="00DB2499">
            <w:pPr>
              <w:spacing w:after="0" w:line="240" w:lineRule="auto"/>
              <w:jc w:val="both"/>
              <w:rPr>
                <w:rFonts w:eastAsia="Times New Roman" w:cs="Arial"/>
                <w:color w:val="000000"/>
                <w:sz w:val="16"/>
                <w:szCs w:val="16"/>
                <w:lang w:eastAsia="en-CA"/>
              </w:rPr>
            </w:pPr>
            <w:r w:rsidRPr="0025776E">
              <w:rPr>
                <w:rFonts w:eastAsia="Times New Roman" w:cs="Arial"/>
                <w:color w:val="000000"/>
                <w:sz w:val="16"/>
                <w:szCs w:val="16"/>
                <w:lang w:eastAsia="en-CA"/>
              </w:rPr>
              <w:t>0</w:t>
            </w:r>
          </w:p>
        </w:tc>
        <w:tc>
          <w:tcPr>
            <w:tcW w:w="1230" w:type="dxa"/>
            <w:tcBorders>
              <w:top w:val="nil"/>
              <w:left w:val="nil"/>
              <w:bottom w:val="nil"/>
              <w:right w:val="nil"/>
            </w:tcBorders>
            <w:vAlign w:val="center"/>
            <w:hideMark/>
          </w:tcPr>
          <w:p w14:paraId="317C9518" w14:textId="7C303277" w:rsidR="00A42536" w:rsidRPr="0025776E" w:rsidRDefault="002F482C" w:rsidP="00DB2499">
            <w:pPr>
              <w:spacing w:after="0" w:line="240" w:lineRule="auto"/>
              <w:jc w:val="both"/>
              <w:rPr>
                <w:rFonts w:eastAsia="Times New Roman" w:cs="Arial"/>
                <w:color w:val="000000"/>
                <w:sz w:val="16"/>
                <w:szCs w:val="16"/>
                <w:lang w:eastAsia="en-CA"/>
              </w:rPr>
            </w:pPr>
            <w:r>
              <w:rPr>
                <w:rFonts w:eastAsia="Times New Roman" w:cs="Arial"/>
                <w:color w:val="000000"/>
                <w:sz w:val="16"/>
                <w:szCs w:val="16"/>
                <w:lang w:eastAsia="en-CA"/>
              </w:rPr>
              <w:t>-</w:t>
            </w:r>
            <w:r w:rsidR="00A42536" w:rsidRPr="0025776E">
              <w:rPr>
                <w:rFonts w:eastAsia="Times New Roman" w:cs="Arial"/>
                <w:color w:val="000000"/>
                <w:sz w:val="16"/>
                <w:szCs w:val="16"/>
                <w:lang w:eastAsia="en-CA"/>
              </w:rPr>
              <w:t>$</w:t>
            </w:r>
            <w:r w:rsidR="00A42536" w:rsidRPr="0025776E">
              <w:rPr>
                <w:rFonts w:eastAsia="Times New Roman" w:cs="Arial"/>
                <w:color w:val="000000"/>
                <w:sz w:val="16"/>
                <w:szCs w:val="16"/>
                <w:lang w:eastAsia="en-CA"/>
              </w:rPr>
              <w:t>36,355</w:t>
            </w:r>
          </w:p>
        </w:tc>
        <w:tc>
          <w:tcPr>
            <w:tcW w:w="1201" w:type="dxa"/>
            <w:tcBorders>
              <w:top w:val="nil"/>
              <w:left w:val="nil"/>
              <w:bottom w:val="nil"/>
              <w:right w:val="nil"/>
            </w:tcBorders>
            <w:vAlign w:val="center"/>
            <w:hideMark/>
          </w:tcPr>
          <w:p w14:paraId="137099B4" w14:textId="3828C2BE" w:rsidR="00A42536" w:rsidRPr="0025776E" w:rsidRDefault="002F482C" w:rsidP="00DB2499">
            <w:pPr>
              <w:spacing w:after="0" w:line="240" w:lineRule="auto"/>
              <w:jc w:val="both"/>
              <w:rPr>
                <w:rFonts w:eastAsia="Times New Roman" w:cs="Arial"/>
                <w:color w:val="000000"/>
                <w:sz w:val="16"/>
                <w:szCs w:val="16"/>
                <w:lang w:eastAsia="en-CA"/>
              </w:rPr>
            </w:pPr>
            <w:r>
              <w:rPr>
                <w:rFonts w:eastAsia="Times New Roman" w:cs="Arial"/>
                <w:color w:val="000000"/>
                <w:sz w:val="16"/>
                <w:szCs w:val="16"/>
                <w:lang w:eastAsia="en-CA"/>
              </w:rPr>
              <w:t xml:space="preserve"> n/a</w:t>
            </w:r>
          </w:p>
        </w:tc>
      </w:tr>
    </w:tbl>
    <w:p w14:paraId="0B9C673E" w14:textId="77777777" w:rsidR="00F179A8" w:rsidRDefault="00F179A8" w:rsidP="00DB2499">
      <w:pPr>
        <w:jc w:val="both"/>
        <w:rPr>
          <w:rFonts w:cs="Arial"/>
        </w:rPr>
      </w:pPr>
    </w:p>
    <w:p w14:paraId="3A736FBC" w14:textId="4735DC8E" w:rsidR="005D55E7" w:rsidRDefault="000316FD" w:rsidP="00DB2499">
      <w:pPr>
        <w:jc w:val="both"/>
        <w:rPr>
          <w:rFonts w:cs="Arial"/>
        </w:rPr>
      </w:pPr>
      <w:r>
        <w:rPr>
          <w:rFonts w:cs="Arial"/>
        </w:rPr>
        <w:t>T</w:t>
      </w:r>
      <w:r w:rsidR="00506E1C" w:rsidRPr="00245A52">
        <w:rPr>
          <w:rFonts w:cs="Arial"/>
        </w:rPr>
        <w:t>otal</w:t>
      </w:r>
      <w:r w:rsidR="006E2F4D" w:rsidRPr="00245A52">
        <w:rPr>
          <w:rFonts w:cs="Arial"/>
        </w:rPr>
        <w:t xml:space="preserve"> </w:t>
      </w:r>
      <w:r w:rsidR="006E2F4D" w:rsidRPr="00245A52">
        <w:rPr>
          <w:rFonts w:cs="Arial"/>
          <w:i/>
          <w:iCs/>
        </w:rPr>
        <w:t>operational receipts</w:t>
      </w:r>
      <w:r w:rsidR="006E2F4D" w:rsidRPr="00245A52">
        <w:rPr>
          <w:rFonts w:cs="Arial"/>
        </w:rPr>
        <w:t xml:space="preserve"> for NLA were $788,6</w:t>
      </w:r>
      <w:r w:rsidR="00A163E8">
        <w:rPr>
          <w:rFonts w:cs="Arial"/>
        </w:rPr>
        <w:t>8</w:t>
      </w:r>
      <w:r w:rsidR="006E2F4D" w:rsidRPr="00245A52">
        <w:rPr>
          <w:rFonts w:cs="Arial"/>
        </w:rPr>
        <w:t xml:space="preserve">8 against </w:t>
      </w:r>
      <w:r w:rsidR="00506E1C" w:rsidRPr="0084137A">
        <w:rPr>
          <w:rFonts w:cs="Arial"/>
          <w:i/>
          <w:iCs/>
        </w:rPr>
        <w:t>operational expenses</w:t>
      </w:r>
      <w:r w:rsidR="00506E1C" w:rsidRPr="00245A52">
        <w:rPr>
          <w:rFonts w:cs="Arial"/>
        </w:rPr>
        <w:t xml:space="preserve"> of $825,033 NLA </w:t>
      </w:r>
      <w:r>
        <w:rPr>
          <w:rFonts w:cs="Arial"/>
        </w:rPr>
        <w:t xml:space="preserve">resulting in </w:t>
      </w:r>
      <w:r w:rsidR="00CF3C0C">
        <w:rPr>
          <w:rFonts w:cs="Arial"/>
        </w:rPr>
        <w:t xml:space="preserve">an </w:t>
      </w:r>
      <w:r w:rsidR="00506E1C" w:rsidRPr="008C0C25">
        <w:rPr>
          <w:rFonts w:cs="Arial"/>
          <w:i/>
          <w:iCs/>
        </w:rPr>
        <w:t>operating deficit</w:t>
      </w:r>
      <w:r w:rsidR="00506E1C" w:rsidRPr="00245A52">
        <w:rPr>
          <w:rFonts w:cs="Arial"/>
        </w:rPr>
        <w:t xml:space="preserve"> of $36,</w:t>
      </w:r>
      <w:r w:rsidR="00ED7D15">
        <w:rPr>
          <w:rFonts w:cs="Arial"/>
        </w:rPr>
        <w:t>3</w:t>
      </w:r>
      <w:r w:rsidR="00CF3C0C">
        <w:rPr>
          <w:rFonts w:cs="Arial"/>
        </w:rPr>
        <w:t>5</w:t>
      </w:r>
      <w:r w:rsidR="00506E1C" w:rsidRPr="00245A52">
        <w:rPr>
          <w:rFonts w:cs="Arial"/>
        </w:rPr>
        <w:t xml:space="preserve">5 for the 2025 year. </w:t>
      </w:r>
      <w:r w:rsidR="00245A52">
        <w:rPr>
          <w:rFonts w:cs="Arial"/>
        </w:rPr>
        <w:t xml:space="preserve">As noted </w:t>
      </w:r>
      <w:r w:rsidR="00764387">
        <w:rPr>
          <w:rFonts w:cs="Arial"/>
        </w:rPr>
        <w:t>earlier</w:t>
      </w:r>
      <w:r w:rsidR="00245A52">
        <w:rPr>
          <w:rFonts w:cs="Arial"/>
        </w:rPr>
        <w:t xml:space="preserve"> much of this shortfall comes from </w:t>
      </w:r>
      <w:r w:rsidR="00ED0EA2">
        <w:rPr>
          <w:rFonts w:cs="Arial"/>
        </w:rPr>
        <w:t>the $3</w:t>
      </w:r>
      <w:r w:rsidR="0084137A">
        <w:rPr>
          <w:rFonts w:cs="Arial"/>
        </w:rPr>
        <w:t>4</w:t>
      </w:r>
      <w:r w:rsidR="00ED0EA2">
        <w:rPr>
          <w:rFonts w:cs="Arial"/>
        </w:rPr>
        <w:t>,000 of</w:t>
      </w:r>
      <w:r w:rsidR="0084137A">
        <w:rPr>
          <w:rFonts w:cs="Arial"/>
        </w:rPr>
        <w:t xml:space="preserve"> expected</w:t>
      </w:r>
      <w:r w:rsidR="00ED0EA2">
        <w:rPr>
          <w:rFonts w:cs="Arial"/>
        </w:rPr>
        <w:t xml:space="preserve"> bereavement memorial donations not coming through in 2025. </w:t>
      </w:r>
    </w:p>
    <w:p w14:paraId="2659425F" w14:textId="32021283" w:rsidR="00F179A8" w:rsidRDefault="00727E19" w:rsidP="00DB2499">
      <w:pPr>
        <w:jc w:val="both"/>
        <w:rPr>
          <w:rFonts w:cs="Arial"/>
        </w:rPr>
      </w:pPr>
      <w:r w:rsidRPr="00727E19">
        <w:rPr>
          <w:rFonts w:cs="Arial"/>
        </w:rPr>
        <w:t xml:space="preserve">NLA operates </w:t>
      </w:r>
      <w:r>
        <w:rPr>
          <w:rFonts w:cs="Arial"/>
        </w:rPr>
        <w:t>two bank accounts</w:t>
      </w:r>
      <w:r w:rsidR="004444EA">
        <w:rPr>
          <w:rFonts w:cs="Arial"/>
        </w:rPr>
        <w:t>, a</w:t>
      </w:r>
      <w:r w:rsidRPr="00727E19">
        <w:rPr>
          <w:rFonts w:cs="Arial"/>
        </w:rPr>
        <w:t xml:space="preserve"> chequing account</w:t>
      </w:r>
      <w:r w:rsidR="00487985">
        <w:rPr>
          <w:rFonts w:cs="Arial"/>
        </w:rPr>
        <w:t xml:space="preserve"> for general receipts</w:t>
      </w:r>
      <w:r w:rsidR="003237BC">
        <w:rPr>
          <w:rFonts w:cs="Arial"/>
        </w:rPr>
        <w:t xml:space="preserve"> and general operational expenses (payroll, utilities, </w:t>
      </w:r>
      <w:r w:rsidR="003237BC" w:rsidRPr="003237BC">
        <w:rPr>
          <w:rFonts w:cs="Arial"/>
          <w:i/>
          <w:iCs/>
        </w:rPr>
        <w:t>etc</w:t>
      </w:r>
      <w:r w:rsidR="003237BC">
        <w:rPr>
          <w:rFonts w:cs="Arial"/>
        </w:rPr>
        <w:t xml:space="preserve">.) </w:t>
      </w:r>
      <w:r w:rsidRPr="00727E19">
        <w:rPr>
          <w:rFonts w:cs="Arial"/>
        </w:rPr>
        <w:t xml:space="preserve">and a project account where we </w:t>
      </w:r>
      <w:r w:rsidR="003237BC">
        <w:rPr>
          <w:rFonts w:cs="Arial"/>
        </w:rPr>
        <w:t>move</w:t>
      </w:r>
      <w:r w:rsidRPr="00727E19">
        <w:rPr>
          <w:rFonts w:cs="Arial"/>
        </w:rPr>
        <w:t xml:space="preserve"> funds raised for special</w:t>
      </w:r>
      <w:r w:rsidR="004444EA">
        <w:rPr>
          <w:rFonts w:cs="Arial"/>
        </w:rPr>
        <w:t xml:space="preserve"> activities (Overflow, Summer Camps, Paving Project, etc.)</w:t>
      </w:r>
      <w:r w:rsidR="003237BC">
        <w:rPr>
          <w:rFonts w:cs="Arial"/>
        </w:rPr>
        <w:t>.</w:t>
      </w:r>
      <w:r w:rsidR="00487985">
        <w:rPr>
          <w:rFonts w:cs="Arial"/>
        </w:rPr>
        <w:t xml:space="preserve"> </w:t>
      </w:r>
    </w:p>
    <w:p w14:paraId="5D6D730C" w14:textId="27E705BA" w:rsidR="000028EC" w:rsidRDefault="00487985" w:rsidP="00DB2499">
      <w:pPr>
        <w:jc w:val="both"/>
        <w:rPr>
          <w:rFonts w:cs="Arial"/>
        </w:rPr>
      </w:pPr>
      <w:r>
        <w:rPr>
          <w:rFonts w:cs="Arial"/>
        </w:rPr>
        <w:t xml:space="preserve">Since NLA does not maintain an operational line of credit the only recourse for managing </w:t>
      </w:r>
      <w:r w:rsidR="003237BC">
        <w:rPr>
          <w:rFonts w:cs="Arial"/>
        </w:rPr>
        <w:t>peri</w:t>
      </w:r>
      <w:r w:rsidR="008A1490">
        <w:rPr>
          <w:rFonts w:cs="Arial"/>
        </w:rPr>
        <w:t>ods</w:t>
      </w:r>
      <w:r w:rsidR="008941ED">
        <w:rPr>
          <w:rFonts w:cs="Arial"/>
        </w:rPr>
        <w:t xml:space="preserve"> of</w:t>
      </w:r>
      <w:r w:rsidR="008A1490">
        <w:rPr>
          <w:rFonts w:cs="Arial"/>
        </w:rPr>
        <w:t xml:space="preserve"> </w:t>
      </w:r>
      <w:r>
        <w:rPr>
          <w:rFonts w:cs="Arial"/>
        </w:rPr>
        <w:t xml:space="preserve">deficit spending </w:t>
      </w:r>
      <w:r w:rsidR="00A67DE2">
        <w:rPr>
          <w:rFonts w:cs="Arial"/>
        </w:rPr>
        <w:t>(</w:t>
      </w:r>
      <w:r w:rsidR="00AD2E4D">
        <w:rPr>
          <w:rFonts w:cs="Arial"/>
        </w:rPr>
        <w:t xml:space="preserve">where there are insufficient funds in our operating account </w:t>
      </w:r>
      <w:r w:rsidR="008A1490">
        <w:rPr>
          <w:rFonts w:cs="Arial"/>
        </w:rPr>
        <w:t>to</w:t>
      </w:r>
      <w:r>
        <w:rPr>
          <w:rFonts w:cs="Arial"/>
        </w:rPr>
        <w:t xml:space="preserve"> meet </w:t>
      </w:r>
      <w:r w:rsidR="008A1490">
        <w:rPr>
          <w:rFonts w:cs="Arial"/>
        </w:rPr>
        <w:t>operational needs</w:t>
      </w:r>
      <w:r w:rsidR="00A67DE2">
        <w:rPr>
          <w:rFonts w:cs="Arial"/>
        </w:rPr>
        <w:t>)</w:t>
      </w:r>
      <w:r>
        <w:rPr>
          <w:rFonts w:cs="Arial"/>
        </w:rPr>
        <w:t xml:space="preserve"> is to draw the funds from </w:t>
      </w:r>
      <w:r w:rsidR="008A1490">
        <w:rPr>
          <w:rFonts w:cs="Arial"/>
        </w:rPr>
        <w:t>the project</w:t>
      </w:r>
      <w:r>
        <w:rPr>
          <w:rFonts w:cs="Arial"/>
        </w:rPr>
        <w:t xml:space="preserve"> account</w:t>
      </w:r>
      <w:r w:rsidR="008A1490">
        <w:rPr>
          <w:rFonts w:cs="Arial"/>
        </w:rPr>
        <w:t xml:space="preserve">. </w:t>
      </w:r>
      <w:r w:rsidR="00A6645C">
        <w:rPr>
          <w:rFonts w:cs="Arial"/>
        </w:rPr>
        <w:t xml:space="preserve">As such, the </w:t>
      </w:r>
      <w:r w:rsidR="00E54522">
        <w:rPr>
          <w:rFonts w:cs="Arial"/>
        </w:rPr>
        <w:t xml:space="preserve">$36,655 deficit was drawn from funds </w:t>
      </w:r>
      <w:r w:rsidR="00BB5545">
        <w:rPr>
          <w:rFonts w:cs="Arial"/>
        </w:rPr>
        <w:t>from our pro</w:t>
      </w:r>
      <w:r w:rsidR="00276A7B">
        <w:rPr>
          <w:rFonts w:cs="Arial"/>
        </w:rPr>
        <w:t>ject account.</w:t>
      </w:r>
    </w:p>
    <w:p w14:paraId="18A24B68" w14:textId="1B9DB3BF" w:rsidR="007B3C8D" w:rsidRDefault="007B3C8D" w:rsidP="00DB2499">
      <w:pPr>
        <w:jc w:val="both"/>
        <w:rPr>
          <w:rFonts w:cs="Arial"/>
        </w:rPr>
      </w:pPr>
      <w:r>
        <w:t>Since the operating account is the primary account for booking all revenue deficit</w:t>
      </w:r>
      <w:r w:rsidR="001D401F">
        <w:t>,</w:t>
      </w:r>
      <w:r>
        <w:t xml:space="preserve"> spending can arise from fluctuations in both giving and spending, sometimes on a week-to-week basis. Operational costs are generally fixed and rateable while receipts are not. While it is not the general intent of the board to direct project funds to operating activities, paying our tithe, our staff, and our bills while meeting our commitments to our sponsored missionaries is of primary importance.</w:t>
      </w:r>
    </w:p>
    <w:p w14:paraId="201DBC5D" w14:textId="651A63C6" w:rsidR="0059670F" w:rsidRDefault="009B36F5" w:rsidP="00DB2499">
      <w:pPr>
        <w:jc w:val="both"/>
        <w:rPr>
          <w:rFonts w:cs="Arial"/>
        </w:rPr>
      </w:pPr>
      <w:r>
        <w:rPr>
          <w:rFonts w:cs="Arial"/>
        </w:rPr>
        <w:t xml:space="preserve">We </w:t>
      </w:r>
      <w:r w:rsidR="009C2550">
        <w:rPr>
          <w:rFonts w:cs="Arial"/>
        </w:rPr>
        <w:t>closely monitor</w:t>
      </w:r>
      <w:r>
        <w:rPr>
          <w:rFonts w:cs="Arial"/>
        </w:rPr>
        <w:t xml:space="preserve"> </w:t>
      </w:r>
      <w:r w:rsidR="0045762E">
        <w:rPr>
          <w:rFonts w:cs="Arial"/>
        </w:rPr>
        <w:t>the movement of cash between these accounts</w:t>
      </w:r>
      <w:r>
        <w:rPr>
          <w:rFonts w:cs="Arial"/>
        </w:rPr>
        <w:t xml:space="preserve"> </w:t>
      </w:r>
      <w:r w:rsidR="00CF0BD6">
        <w:rPr>
          <w:rFonts w:cs="Arial"/>
        </w:rPr>
        <w:t xml:space="preserve">each month at our regular </w:t>
      </w:r>
      <w:r w:rsidR="002F7B69">
        <w:rPr>
          <w:rFonts w:cs="Arial"/>
        </w:rPr>
        <w:t>B</w:t>
      </w:r>
      <w:r w:rsidR="00CF0BD6">
        <w:rPr>
          <w:rFonts w:cs="Arial"/>
        </w:rPr>
        <w:t>oard meetings</w:t>
      </w:r>
      <w:r w:rsidR="00FC2E2B">
        <w:rPr>
          <w:rFonts w:cs="Arial"/>
        </w:rPr>
        <w:t xml:space="preserve"> </w:t>
      </w:r>
      <w:r w:rsidR="007C6FE8">
        <w:rPr>
          <w:rFonts w:cs="Arial"/>
        </w:rPr>
        <w:t xml:space="preserve">to ensure we are meeting both our short-term operational needs while </w:t>
      </w:r>
      <w:r w:rsidR="00EA2090">
        <w:rPr>
          <w:rFonts w:cs="Arial"/>
        </w:rPr>
        <w:t>meeting</w:t>
      </w:r>
      <w:r w:rsidR="007C6FE8">
        <w:rPr>
          <w:rFonts w:cs="Arial"/>
        </w:rPr>
        <w:t xml:space="preserve"> </w:t>
      </w:r>
      <w:r w:rsidR="00FC2E2B">
        <w:rPr>
          <w:rFonts w:cs="Arial"/>
        </w:rPr>
        <w:t>our</w:t>
      </w:r>
      <w:r w:rsidR="0045762E">
        <w:rPr>
          <w:rFonts w:cs="Arial"/>
        </w:rPr>
        <w:t xml:space="preserve"> longer term</w:t>
      </w:r>
      <w:r w:rsidR="00FC2E2B">
        <w:rPr>
          <w:rFonts w:cs="Arial"/>
        </w:rPr>
        <w:t xml:space="preserve"> final financial obligation</w:t>
      </w:r>
      <w:r w:rsidR="0045762E">
        <w:rPr>
          <w:rFonts w:cs="Arial"/>
        </w:rPr>
        <w:t>s</w:t>
      </w:r>
      <w:r w:rsidR="007C6FE8">
        <w:rPr>
          <w:rFonts w:cs="Arial"/>
        </w:rPr>
        <w:t xml:space="preserve"> (</w:t>
      </w:r>
      <w:r w:rsidR="007C6FE8" w:rsidRPr="00232FD1">
        <w:rPr>
          <w:rFonts w:cs="Arial"/>
          <w:i/>
          <w:iCs/>
        </w:rPr>
        <w:t>e.g</w:t>
      </w:r>
      <w:r w:rsidR="007C6FE8">
        <w:rPr>
          <w:rFonts w:cs="Arial"/>
        </w:rPr>
        <w:t>.</w:t>
      </w:r>
      <w:r w:rsidR="00232FD1">
        <w:rPr>
          <w:rFonts w:cs="Arial"/>
        </w:rPr>
        <w:t xml:space="preserve"> obligations for the final paving project payment in June 2026).</w:t>
      </w:r>
    </w:p>
    <w:p w14:paraId="2DF76963" w14:textId="77777777" w:rsidR="00B77EA6" w:rsidRDefault="00B77EA6" w:rsidP="00DB2499">
      <w:pPr>
        <w:jc w:val="both"/>
        <w:rPr>
          <w:rFonts w:cs="Arial"/>
        </w:rPr>
      </w:pPr>
    </w:p>
    <w:p w14:paraId="032C431D" w14:textId="77777777" w:rsidR="00EA2090" w:rsidRDefault="00EA2090" w:rsidP="00DB2499">
      <w:pPr>
        <w:jc w:val="both"/>
        <w:rPr>
          <w:rFonts w:cs="Arial"/>
          <w:b/>
          <w:bCs/>
          <w:sz w:val="28"/>
          <w:szCs w:val="32"/>
        </w:rPr>
      </w:pPr>
    </w:p>
    <w:p w14:paraId="1F8EE3A8" w14:textId="77777777" w:rsidR="00EA2090" w:rsidRDefault="00EA2090" w:rsidP="00DB2499">
      <w:pPr>
        <w:jc w:val="both"/>
        <w:rPr>
          <w:rFonts w:cs="Arial"/>
          <w:b/>
          <w:bCs/>
          <w:sz w:val="28"/>
          <w:szCs w:val="32"/>
        </w:rPr>
      </w:pPr>
    </w:p>
    <w:p w14:paraId="24D7BEA4" w14:textId="54175E70" w:rsidR="00825B62" w:rsidRPr="0059670F" w:rsidRDefault="00825B62" w:rsidP="00DB2499">
      <w:pPr>
        <w:jc w:val="both"/>
        <w:rPr>
          <w:rFonts w:cs="Arial"/>
        </w:rPr>
      </w:pPr>
      <w:r w:rsidRPr="00506E1C">
        <w:rPr>
          <w:rFonts w:cs="Arial"/>
          <w:b/>
          <w:bCs/>
          <w:sz w:val="28"/>
          <w:szCs w:val="32"/>
        </w:rPr>
        <w:lastRenderedPageBreak/>
        <w:t>Paving Project</w:t>
      </w:r>
      <w:r w:rsidR="00543648" w:rsidRPr="00506E1C">
        <w:rPr>
          <w:rFonts w:cs="Arial"/>
          <w:b/>
          <w:bCs/>
          <w:sz w:val="28"/>
          <w:szCs w:val="32"/>
        </w:rPr>
        <w:t xml:space="preserve"> </w:t>
      </w:r>
      <w:r w:rsidR="00450EE0">
        <w:rPr>
          <w:rFonts w:cs="Arial"/>
          <w:b/>
          <w:bCs/>
          <w:sz w:val="28"/>
          <w:szCs w:val="32"/>
        </w:rPr>
        <w:t>Summary</w:t>
      </w:r>
    </w:p>
    <w:p w14:paraId="40C04D7E" w14:textId="2107A75D" w:rsidR="0084137A" w:rsidRDefault="00232FD1" w:rsidP="00DB2499">
      <w:pPr>
        <w:jc w:val="both"/>
        <w:rPr>
          <w:rFonts w:cs="Arial"/>
        </w:rPr>
      </w:pPr>
      <w:r>
        <w:rPr>
          <w:rFonts w:cs="Arial"/>
        </w:rPr>
        <w:t xml:space="preserve">I am sure we have all noticed the </w:t>
      </w:r>
      <w:r w:rsidR="00287CBD">
        <w:rPr>
          <w:rFonts w:cs="Arial"/>
        </w:rPr>
        <w:t xml:space="preserve">new parking lot which not only improves our parking situation but also brings </w:t>
      </w:r>
      <w:r w:rsidR="00E8653D">
        <w:rPr>
          <w:rFonts w:cs="Arial"/>
        </w:rPr>
        <w:t>much needed</w:t>
      </w:r>
      <w:r w:rsidR="00287CBD">
        <w:rPr>
          <w:rFonts w:cs="Arial"/>
        </w:rPr>
        <w:t xml:space="preserve"> drainage </w:t>
      </w:r>
      <w:r w:rsidR="00D3204B">
        <w:rPr>
          <w:rFonts w:cs="Arial"/>
        </w:rPr>
        <w:t xml:space="preserve">upgrades </w:t>
      </w:r>
      <w:r w:rsidR="00287CBD">
        <w:rPr>
          <w:rFonts w:cs="Arial"/>
        </w:rPr>
        <w:t xml:space="preserve">and </w:t>
      </w:r>
      <w:r w:rsidR="00D3204B">
        <w:rPr>
          <w:rFonts w:cs="Arial"/>
        </w:rPr>
        <w:t xml:space="preserve">significantly improved </w:t>
      </w:r>
      <w:r w:rsidR="00287CBD">
        <w:rPr>
          <w:rFonts w:cs="Arial"/>
        </w:rPr>
        <w:t xml:space="preserve">lighting. </w:t>
      </w:r>
      <w:r w:rsidR="000F5E47">
        <w:rPr>
          <w:rFonts w:cs="Arial"/>
        </w:rPr>
        <w:t xml:space="preserve">The </w:t>
      </w:r>
      <w:r w:rsidR="00E051C3">
        <w:rPr>
          <w:rFonts w:cs="Arial"/>
        </w:rPr>
        <w:t>total cost of the paving project was $620,</w:t>
      </w:r>
      <w:r w:rsidR="005832EC">
        <w:rPr>
          <w:rFonts w:cs="Arial"/>
        </w:rPr>
        <w:t xml:space="preserve">251 and is summarized in </w:t>
      </w:r>
      <w:r w:rsidR="00802860">
        <w:rPr>
          <w:rFonts w:cs="Arial"/>
        </w:rPr>
        <w:t>T</w:t>
      </w:r>
      <w:r w:rsidR="005832EC">
        <w:rPr>
          <w:rFonts w:cs="Arial"/>
        </w:rPr>
        <w:t xml:space="preserve">able </w:t>
      </w:r>
      <w:r w:rsidR="0084137A">
        <w:rPr>
          <w:rFonts w:cs="Arial"/>
        </w:rPr>
        <w:t>4:</w:t>
      </w:r>
    </w:p>
    <w:p w14:paraId="436EDE75" w14:textId="4799ABCE" w:rsidR="009C2550" w:rsidRPr="00B77EA6" w:rsidRDefault="0084137A" w:rsidP="00DB2499">
      <w:pPr>
        <w:jc w:val="both"/>
        <w:rPr>
          <w:rFonts w:cs="Arial"/>
          <w:b/>
          <w:bCs/>
          <w:sz w:val="18"/>
          <w:szCs w:val="18"/>
        </w:rPr>
      </w:pPr>
      <w:r w:rsidRPr="00B77EA6">
        <w:rPr>
          <w:rFonts w:cs="Arial"/>
          <w:b/>
          <w:bCs/>
          <w:sz w:val="18"/>
          <w:szCs w:val="18"/>
        </w:rPr>
        <w:t>Table 4 – NLA Paving Project Cost Summary</w:t>
      </w:r>
    </w:p>
    <w:tbl>
      <w:tblPr>
        <w:tblW w:w="7193" w:type="dxa"/>
        <w:jc w:val="center"/>
        <w:tblLook w:val="04A0" w:firstRow="1" w:lastRow="0" w:firstColumn="1" w:lastColumn="0" w:noHBand="0" w:noVBand="1"/>
      </w:tblPr>
      <w:tblGrid>
        <w:gridCol w:w="2724"/>
        <w:gridCol w:w="1633"/>
        <w:gridCol w:w="983"/>
        <w:gridCol w:w="222"/>
        <w:gridCol w:w="1633"/>
      </w:tblGrid>
      <w:tr w:rsidR="0045046F" w:rsidRPr="0059670F" w14:paraId="33391F6B" w14:textId="77777777" w:rsidTr="0059670F">
        <w:trPr>
          <w:trHeight w:val="265"/>
          <w:jc w:val="center"/>
        </w:trPr>
        <w:tc>
          <w:tcPr>
            <w:tcW w:w="2724" w:type="dxa"/>
            <w:tcBorders>
              <w:top w:val="nil"/>
              <w:left w:val="nil"/>
              <w:bottom w:val="nil"/>
              <w:right w:val="nil"/>
            </w:tcBorders>
            <w:shd w:val="clear" w:color="000000" w:fill="FFFFFF"/>
            <w:noWrap/>
            <w:vAlign w:val="bottom"/>
            <w:hideMark/>
          </w:tcPr>
          <w:p w14:paraId="4437C4AD" w14:textId="2FD007B0"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p>
        </w:tc>
        <w:tc>
          <w:tcPr>
            <w:tcW w:w="1633" w:type="dxa"/>
            <w:tcBorders>
              <w:top w:val="nil"/>
              <w:left w:val="nil"/>
              <w:bottom w:val="nil"/>
              <w:right w:val="nil"/>
            </w:tcBorders>
            <w:shd w:val="clear" w:color="000000" w:fill="FFFFFF"/>
            <w:noWrap/>
            <w:vAlign w:val="bottom"/>
            <w:hideMark/>
          </w:tcPr>
          <w:p w14:paraId="2A80FA17" w14:textId="77777777"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r w:rsidRPr="0059670F">
              <w:rPr>
                <w:rFonts w:ascii="Aptos body" w:eastAsia="Times New Roman" w:hAnsi="Aptos body" w:cs="Arial"/>
                <w:color w:val="000000"/>
                <w:sz w:val="18"/>
                <w:szCs w:val="18"/>
                <w:lang w:eastAsia="en-CA"/>
              </w:rPr>
              <w:t xml:space="preserve"> Net Cost </w:t>
            </w:r>
          </w:p>
        </w:tc>
        <w:tc>
          <w:tcPr>
            <w:tcW w:w="981" w:type="dxa"/>
            <w:tcBorders>
              <w:top w:val="nil"/>
              <w:left w:val="nil"/>
              <w:bottom w:val="nil"/>
              <w:right w:val="nil"/>
            </w:tcBorders>
            <w:shd w:val="clear" w:color="000000" w:fill="FFFFFF"/>
            <w:noWrap/>
            <w:vAlign w:val="bottom"/>
            <w:hideMark/>
          </w:tcPr>
          <w:p w14:paraId="310704A5" w14:textId="77777777"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r w:rsidRPr="0059670F">
              <w:rPr>
                <w:rFonts w:ascii="Aptos body" w:eastAsia="Times New Roman" w:hAnsi="Aptos body" w:cs="Arial"/>
                <w:color w:val="000000"/>
                <w:sz w:val="18"/>
                <w:szCs w:val="18"/>
                <w:lang w:eastAsia="en-CA"/>
              </w:rPr>
              <w:t>HST</w:t>
            </w:r>
          </w:p>
        </w:tc>
        <w:tc>
          <w:tcPr>
            <w:tcW w:w="220" w:type="dxa"/>
          </w:tcPr>
          <w:p w14:paraId="1B567A99" w14:textId="77777777"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p>
        </w:tc>
        <w:tc>
          <w:tcPr>
            <w:tcW w:w="1633" w:type="dxa"/>
            <w:tcBorders>
              <w:top w:val="nil"/>
              <w:left w:val="nil"/>
              <w:bottom w:val="nil"/>
              <w:right w:val="nil"/>
            </w:tcBorders>
            <w:shd w:val="clear" w:color="000000" w:fill="FFFFFF"/>
            <w:noWrap/>
            <w:vAlign w:val="bottom"/>
            <w:hideMark/>
          </w:tcPr>
          <w:p w14:paraId="754A01EF" w14:textId="10B2182F"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r w:rsidRPr="0059670F">
              <w:rPr>
                <w:rFonts w:ascii="Aptos body" w:eastAsia="Times New Roman" w:hAnsi="Aptos body" w:cs="Arial"/>
                <w:color w:val="000000"/>
                <w:sz w:val="18"/>
                <w:szCs w:val="18"/>
                <w:lang w:eastAsia="en-CA"/>
              </w:rPr>
              <w:t>Total Cost</w:t>
            </w:r>
          </w:p>
        </w:tc>
      </w:tr>
      <w:tr w:rsidR="0045046F" w:rsidRPr="0059670F" w14:paraId="30F5BEBB" w14:textId="77777777" w:rsidTr="0059670F">
        <w:trPr>
          <w:trHeight w:val="265"/>
          <w:jc w:val="center"/>
        </w:trPr>
        <w:tc>
          <w:tcPr>
            <w:tcW w:w="2724" w:type="dxa"/>
            <w:tcBorders>
              <w:top w:val="nil"/>
              <w:left w:val="nil"/>
              <w:bottom w:val="nil"/>
              <w:right w:val="nil"/>
            </w:tcBorders>
            <w:shd w:val="clear" w:color="000000" w:fill="FFFFFF"/>
            <w:noWrap/>
            <w:vAlign w:val="bottom"/>
            <w:hideMark/>
          </w:tcPr>
          <w:p w14:paraId="31770D6F" w14:textId="77777777"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r w:rsidRPr="0059670F">
              <w:rPr>
                <w:rFonts w:ascii="Aptos body" w:eastAsia="Times New Roman" w:hAnsi="Aptos body" w:cs="Arial"/>
                <w:color w:val="000000"/>
                <w:sz w:val="18"/>
                <w:szCs w:val="18"/>
                <w:lang w:eastAsia="en-CA"/>
              </w:rPr>
              <w:t xml:space="preserve">Engineering </w:t>
            </w:r>
          </w:p>
        </w:tc>
        <w:tc>
          <w:tcPr>
            <w:tcW w:w="1633" w:type="dxa"/>
            <w:tcBorders>
              <w:top w:val="nil"/>
              <w:left w:val="nil"/>
              <w:bottom w:val="nil"/>
              <w:right w:val="nil"/>
            </w:tcBorders>
            <w:shd w:val="clear" w:color="000000" w:fill="FFFFFF"/>
            <w:noWrap/>
            <w:vAlign w:val="bottom"/>
            <w:hideMark/>
          </w:tcPr>
          <w:p w14:paraId="3F4B32B1" w14:textId="77777777"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r w:rsidRPr="0059670F">
              <w:rPr>
                <w:rFonts w:ascii="Aptos body" w:eastAsia="Times New Roman" w:hAnsi="Aptos body" w:cs="Arial"/>
                <w:color w:val="000000"/>
                <w:sz w:val="18"/>
                <w:szCs w:val="18"/>
                <w:lang w:eastAsia="en-CA"/>
              </w:rPr>
              <w:t xml:space="preserve"> $           15,280 </w:t>
            </w:r>
          </w:p>
        </w:tc>
        <w:tc>
          <w:tcPr>
            <w:tcW w:w="981" w:type="dxa"/>
            <w:tcBorders>
              <w:top w:val="nil"/>
              <w:left w:val="nil"/>
              <w:bottom w:val="nil"/>
              <w:right w:val="nil"/>
            </w:tcBorders>
            <w:shd w:val="clear" w:color="000000" w:fill="FFFFFF"/>
            <w:noWrap/>
            <w:vAlign w:val="bottom"/>
            <w:hideMark/>
          </w:tcPr>
          <w:p w14:paraId="42E48233" w14:textId="77777777"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r w:rsidRPr="0059670F">
              <w:rPr>
                <w:rFonts w:ascii="Aptos body" w:eastAsia="Times New Roman" w:hAnsi="Aptos body" w:cs="Arial"/>
                <w:color w:val="000000"/>
                <w:sz w:val="18"/>
                <w:szCs w:val="18"/>
                <w:lang w:eastAsia="en-CA"/>
              </w:rPr>
              <w:t xml:space="preserve"> $     1,384 </w:t>
            </w:r>
          </w:p>
        </w:tc>
        <w:tc>
          <w:tcPr>
            <w:tcW w:w="220" w:type="dxa"/>
          </w:tcPr>
          <w:p w14:paraId="71AB40BC" w14:textId="77777777"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p>
        </w:tc>
        <w:tc>
          <w:tcPr>
            <w:tcW w:w="1633" w:type="dxa"/>
            <w:tcBorders>
              <w:top w:val="nil"/>
              <w:left w:val="nil"/>
              <w:bottom w:val="nil"/>
              <w:right w:val="nil"/>
            </w:tcBorders>
            <w:shd w:val="clear" w:color="000000" w:fill="FFFFFF"/>
            <w:noWrap/>
            <w:vAlign w:val="bottom"/>
            <w:hideMark/>
          </w:tcPr>
          <w:p w14:paraId="5363A675" w14:textId="6FCB9F4D"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r w:rsidRPr="0059670F">
              <w:rPr>
                <w:rFonts w:ascii="Aptos body" w:eastAsia="Times New Roman" w:hAnsi="Aptos body" w:cs="Arial"/>
                <w:color w:val="000000"/>
                <w:sz w:val="18"/>
                <w:szCs w:val="18"/>
                <w:lang w:eastAsia="en-CA"/>
              </w:rPr>
              <w:t xml:space="preserve"> $     16,664 </w:t>
            </w:r>
          </w:p>
        </w:tc>
      </w:tr>
      <w:tr w:rsidR="0045046F" w:rsidRPr="0059670F" w14:paraId="1ED30483" w14:textId="77777777" w:rsidTr="0059670F">
        <w:trPr>
          <w:trHeight w:val="265"/>
          <w:jc w:val="center"/>
        </w:trPr>
        <w:tc>
          <w:tcPr>
            <w:tcW w:w="2724" w:type="dxa"/>
            <w:tcBorders>
              <w:top w:val="nil"/>
              <w:left w:val="nil"/>
              <w:bottom w:val="nil"/>
              <w:right w:val="nil"/>
            </w:tcBorders>
            <w:shd w:val="clear" w:color="000000" w:fill="FFFFFF"/>
            <w:noWrap/>
            <w:vAlign w:val="bottom"/>
            <w:hideMark/>
          </w:tcPr>
          <w:p w14:paraId="5EA2D8CF" w14:textId="77777777"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r w:rsidRPr="0059670F">
              <w:rPr>
                <w:rFonts w:ascii="Aptos body" w:eastAsia="Times New Roman" w:hAnsi="Aptos body" w:cs="Arial"/>
                <w:color w:val="000000"/>
                <w:sz w:val="18"/>
                <w:szCs w:val="18"/>
                <w:lang w:eastAsia="en-CA"/>
              </w:rPr>
              <w:t>Lighting/Electrical</w:t>
            </w:r>
          </w:p>
        </w:tc>
        <w:tc>
          <w:tcPr>
            <w:tcW w:w="1633" w:type="dxa"/>
            <w:tcBorders>
              <w:top w:val="nil"/>
              <w:left w:val="nil"/>
              <w:bottom w:val="nil"/>
              <w:right w:val="nil"/>
            </w:tcBorders>
            <w:shd w:val="clear" w:color="000000" w:fill="FFFFFF"/>
            <w:noWrap/>
            <w:vAlign w:val="bottom"/>
            <w:hideMark/>
          </w:tcPr>
          <w:p w14:paraId="286464FA" w14:textId="77777777"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r w:rsidRPr="0059670F">
              <w:rPr>
                <w:rFonts w:ascii="Aptos body" w:eastAsia="Times New Roman" w:hAnsi="Aptos body" w:cs="Arial"/>
                <w:color w:val="000000"/>
                <w:sz w:val="18"/>
                <w:szCs w:val="18"/>
                <w:lang w:eastAsia="en-CA"/>
              </w:rPr>
              <w:t xml:space="preserve"> $           22,320 </w:t>
            </w:r>
          </w:p>
        </w:tc>
        <w:tc>
          <w:tcPr>
            <w:tcW w:w="981" w:type="dxa"/>
            <w:tcBorders>
              <w:top w:val="nil"/>
              <w:left w:val="nil"/>
              <w:bottom w:val="nil"/>
              <w:right w:val="nil"/>
            </w:tcBorders>
            <w:shd w:val="clear" w:color="000000" w:fill="FFFFFF"/>
            <w:noWrap/>
            <w:vAlign w:val="bottom"/>
            <w:hideMark/>
          </w:tcPr>
          <w:p w14:paraId="2E829440" w14:textId="77777777"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r w:rsidRPr="0059670F">
              <w:rPr>
                <w:rFonts w:ascii="Aptos body" w:eastAsia="Times New Roman" w:hAnsi="Aptos body" w:cs="Arial"/>
                <w:color w:val="000000"/>
                <w:sz w:val="18"/>
                <w:szCs w:val="18"/>
                <w:lang w:eastAsia="en-CA"/>
              </w:rPr>
              <w:t xml:space="preserve"> $     2,022 </w:t>
            </w:r>
          </w:p>
        </w:tc>
        <w:tc>
          <w:tcPr>
            <w:tcW w:w="220" w:type="dxa"/>
          </w:tcPr>
          <w:p w14:paraId="72A27E46" w14:textId="77777777"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p>
        </w:tc>
        <w:tc>
          <w:tcPr>
            <w:tcW w:w="1633" w:type="dxa"/>
            <w:tcBorders>
              <w:top w:val="nil"/>
              <w:left w:val="nil"/>
              <w:bottom w:val="nil"/>
              <w:right w:val="nil"/>
            </w:tcBorders>
            <w:shd w:val="clear" w:color="000000" w:fill="FFFFFF"/>
            <w:noWrap/>
            <w:vAlign w:val="bottom"/>
            <w:hideMark/>
          </w:tcPr>
          <w:p w14:paraId="627E3563" w14:textId="65B52D94"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r w:rsidRPr="0059670F">
              <w:rPr>
                <w:rFonts w:ascii="Aptos body" w:eastAsia="Times New Roman" w:hAnsi="Aptos body" w:cs="Arial"/>
                <w:color w:val="000000"/>
                <w:sz w:val="18"/>
                <w:szCs w:val="18"/>
                <w:lang w:eastAsia="en-CA"/>
              </w:rPr>
              <w:t xml:space="preserve"> $     24,342 </w:t>
            </w:r>
          </w:p>
        </w:tc>
      </w:tr>
      <w:tr w:rsidR="0045046F" w:rsidRPr="0059670F" w14:paraId="2A8EE81C" w14:textId="77777777" w:rsidTr="0059670F">
        <w:trPr>
          <w:trHeight w:val="265"/>
          <w:jc w:val="center"/>
        </w:trPr>
        <w:tc>
          <w:tcPr>
            <w:tcW w:w="2724" w:type="dxa"/>
            <w:tcBorders>
              <w:top w:val="nil"/>
              <w:left w:val="nil"/>
              <w:bottom w:val="nil"/>
              <w:right w:val="nil"/>
            </w:tcBorders>
            <w:shd w:val="clear" w:color="000000" w:fill="FFFFFF"/>
            <w:noWrap/>
            <w:vAlign w:val="bottom"/>
            <w:hideMark/>
          </w:tcPr>
          <w:p w14:paraId="2060DE7F" w14:textId="0B776107" w:rsidR="0045046F" w:rsidRPr="0059670F" w:rsidRDefault="00C52B34" w:rsidP="00DB2499">
            <w:pPr>
              <w:spacing w:after="0" w:line="240" w:lineRule="auto"/>
              <w:jc w:val="both"/>
              <w:rPr>
                <w:rFonts w:ascii="Aptos body" w:eastAsia="Times New Roman" w:hAnsi="Aptos body" w:cs="Arial"/>
                <w:color w:val="000000"/>
                <w:sz w:val="18"/>
                <w:szCs w:val="18"/>
                <w:lang w:eastAsia="en-CA"/>
              </w:rPr>
            </w:pPr>
            <w:r w:rsidRPr="0059670F">
              <w:rPr>
                <w:rFonts w:ascii="Aptos body" w:eastAsia="Times New Roman" w:hAnsi="Aptos body" w:cs="Arial"/>
                <w:color w:val="000000"/>
                <w:sz w:val="18"/>
                <w:szCs w:val="18"/>
                <w:lang w:eastAsia="en-CA"/>
              </w:rPr>
              <w:t>Permitting</w:t>
            </w:r>
            <w:r w:rsidR="0045046F" w:rsidRPr="0059670F">
              <w:rPr>
                <w:rFonts w:ascii="Aptos body" w:eastAsia="Times New Roman" w:hAnsi="Aptos body" w:cs="Arial"/>
                <w:color w:val="000000"/>
                <w:sz w:val="18"/>
                <w:szCs w:val="18"/>
                <w:lang w:eastAsia="en-CA"/>
              </w:rPr>
              <w:t>, Legal Fees</w:t>
            </w:r>
          </w:p>
        </w:tc>
        <w:tc>
          <w:tcPr>
            <w:tcW w:w="1633" w:type="dxa"/>
            <w:tcBorders>
              <w:top w:val="nil"/>
              <w:left w:val="nil"/>
              <w:bottom w:val="nil"/>
              <w:right w:val="nil"/>
            </w:tcBorders>
            <w:shd w:val="clear" w:color="000000" w:fill="FFFFFF"/>
            <w:noWrap/>
            <w:vAlign w:val="bottom"/>
            <w:hideMark/>
          </w:tcPr>
          <w:p w14:paraId="3F447DDC" w14:textId="77777777"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r w:rsidRPr="0059670F">
              <w:rPr>
                <w:rFonts w:ascii="Aptos body" w:eastAsia="Times New Roman" w:hAnsi="Aptos body" w:cs="Arial"/>
                <w:color w:val="000000"/>
                <w:sz w:val="18"/>
                <w:szCs w:val="18"/>
                <w:lang w:eastAsia="en-CA"/>
              </w:rPr>
              <w:t xml:space="preserve"> $             5,919 </w:t>
            </w:r>
          </w:p>
        </w:tc>
        <w:tc>
          <w:tcPr>
            <w:tcW w:w="981" w:type="dxa"/>
            <w:tcBorders>
              <w:top w:val="nil"/>
              <w:left w:val="nil"/>
              <w:bottom w:val="nil"/>
              <w:right w:val="nil"/>
            </w:tcBorders>
            <w:shd w:val="clear" w:color="000000" w:fill="FFFFFF"/>
            <w:noWrap/>
            <w:vAlign w:val="bottom"/>
            <w:hideMark/>
          </w:tcPr>
          <w:p w14:paraId="419D44F4" w14:textId="77777777"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r w:rsidRPr="0059670F">
              <w:rPr>
                <w:rFonts w:ascii="Aptos body" w:eastAsia="Times New Roman" w:hAnsi="Aptos body" w:cs="Arial"/>
                <w:color w:val="000000"/>
                <w:sz w:val="18"/>
                <w:szCs w:val="18"/>
                <w:lang w:eastAsia="en-CA"/>
              </w:rPr>
              <w:t xml:space="preserve"> $        449 </w:t>
            </w:r>
          </w:p>
        </w:tc>
        <w:tc>
          <w:tcPr>
            <w:tcW w:w="220" w:type="dxa"/>
          </w:tcPr>
          <w:p w14:paraId="1C530948" w14:textId="77777777"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p>
        </w:tc>
        <w:tc>
          <w:tcPr>
            <w:tcW w:w="1633" w:type="dxa"/>
            <w:tcBorders>
              <w:top w:val="nil"/>
              <w:left w:val="nil"/>
              <w:bottom w:val="nil"/>
              <w:right w:val="nil"/>
            </w:tcBorders>
            <w:shd w:val="clear" w:color="000000" w:fill="FFFFFF"/>
            <w:noWrap/>
            <w:vAlign w:val="bottom"/>
            <w:hideMark/>
          </w:tcPr>
          <w:p w14:paraId="496B0AEC" w14:textId="54B77010"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r w:rsidRPr="0059670F">
              <w:rPr>
                <w:rFonts w:ascii="Aptos body" w:eastAsia="Times New Roman" w:hAnsi="Aptos body" w:cs="Arial"/>
                <w:color w:val="000000"/>
                <w:sz w:val="18"/>
                <w:szCs w:val="18"/>
                <w:lang w:eastAsia="en-CA"/>
              </w:rPr>
              <w:t xml:space="preserve"> $       6,368 </w:t>
            </w:r>
          </w:p>
        </w:tc>
      </w:tr>
      <w:tr w:rsidR="0045046F" w:rsidRPr="0059670F" w14:paraId="3DD1C9C3" w14:textId="77777777" w:rsidTr="0059670F">
        <w:trPr>
          <w:trHeight w:val="265"/>
          <w:jc w:val="center"/>
        </w:trPr>
        <w:tc>
          <w:tcPr>
            <w:tcW w:w="2724" w:type="dxa"/>
            <w:tcBorders>
              <w:top w:val="nil"/>
              <w:left w:val="nil"/>
              <w:bottom w:val="nil"/>
              <w:right w:val="nil"/>
            </w:tcBorders>
            <w:shd w:val="clear" w:color="000000" w:fill="FFFFFF"/>
            <w:noWrap/>
            <w:vAlign w:val="bottom"/>
            <w:hideMark/>
          </w:tcPr>
          <w:p w14:paraId="476B54FC" w14:textId="18794968"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r w:rsidRPr="0059670F">
              <w:rPr>
                <w:rFonts w:ascii="Aptos body" w:eastAsia="Times New Roman" w:hAnsi="Aptos body" w:cs="Arial"/>
                <w:color w:val="000000"/>
                <w:sz w:val="18"/>
                <w:szCs w:val="18"/>
                <w:lang w:eastAsia="en-CA"/>
              </w:rPr>
              <w:t>Lan</w:t>
            </w:r>
            <w:r w:rsidR="00C52B34" w:rsidRPr="0059670F">
              <w:rPr>
                <w:rFonts w:ascii="Aptos body" w:eastAsia="Times New Roman" w:hAnsi="Aptos body" w:cs="Arial"/>
                <w:color w:val="000000"/>
                <w:sz w:val="18"/>
                <w:szCs w:val="18"/>
                <w:lang w:eastAsia="en-CA"/>
              </w:rPr>
              <w:t>d</w:t>
            </w:r>
            <w:r w:rsidRPr="0059670F">
              <w:rPr>
                <w:rFonts w:ascii="Aptos body" w:eastAsia="Times New Roman" w:hAnsi="Aptos body" w:cs="Arial"/>
                <w:color w:val="000000"/>
                <w:sz w:val="18"/>
                <w:szCs w:val="18"/>
                <w:lang w:eastAsia="en-CA"/>
              </w:rPr>
              <w:t>scaping/Tree Removal</w:t>
            </w:r>
          </w:p>
        </w:tc>
        <w:tc>
          <w:tcPr>
            <w:tcW w:w="1633" w:type="dxa"/>
            <w:tcBorders>
              <w:top w:val="nil"/>
              <w:left w:val="nil"/>
              <w:bottom w:val="nil"/>
              <w:right w:val="nil"/>
            </w:tcBorders>
            <w:shd w:val="clear" w:color="000000" w:fill="FFFFFF"/>
            <w:noWrap/>
            <w:vAlign w:val="bottom"/>
            <w:hideMark/>
          </w:tcPr>
          <w:p w14:paraId="7BA82714" w14:textId="77777777"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r w:rsidRPr="0059670F">
              <w:rPr>
                <w:rFonts w:ascii="Aptos body" w:eastAsia="Times New Roman" w:hAnsi="Aptos body" w:cs="Arial"/>
                <w:color w:val="000000"/>
                <w:sz w:val="18"/>
                <w:szCs w:val="18"/>
                <w:lang w:eastAsia="en-CA"/>
              </w:rPr>
              <w:t xml:space="preserve"> $             3,181 </w:t>
            </w:r>
          </w:p>
        </w:tc>
        <w:tc>
          <w:tcPr>
            <w:tcW w:w="981" w:type="dxa"/>
            <w:tcBorders>
              <w:top w:val="nil"/>
              <w:left w:val="nil"/>
              <w:bottom w:val="nil"/>
              <w:right w:val="nil"/>
            </w:tcBorders>
            <w:shd w:val="clear" w:color="000000" w:fill="FFFFFF"/>
            <w:noWrap/>
            <w:vAlign w:val="bottom"/>
            <w:hideMark/>
          </w:tcPr>
          <w:p w14:paraId="7CF01ACE" w14:textId="77777777"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r w:rsidRPr="0059670F">
              <w:rPr>
                <w:rFonts w:ascii="Aptos body" w:eastAsia="Times New Roman" w:hAnsi="Aptos body" w:cs="Arial"/>
                <w:color w:val="000000"/>
                <w:sz w:val="18"/>
                <w:szCs w:val="18"/>
                <w:lang w:eastAsia="en-CA"/>
              </w:rPr>
              <w:t xml:space="preserve"> $        288 </w:t>
            </w:r>
          </w:p>
        </w:tc>
        <w:tc>
          <w:tcPr>
            <w:tcW w:w="220" w:type="dxa"/>
          </w:tcPr>
          <w:p w14:paraId="69B5DF3B" w14:textId="77777777"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p>
        </w:tc>
        <w:tc>
          <w:tcPr>
            <w:tcW w:w="1633" w:type="dxa"/>
            <w:tcBorders>
              <w:top w:val="nil"/>
              <w:left w:val="nil"/>
              <w:bottom w:val="nil"/>
              <w:right w:val="nil"/>
            </w:tcBorders>
            <w:shd w:val="clear" w:color="000000" w:fill="FFFFFF"/>
            <w:noWrap/>
            <w:vAlign w:val="bottom"/>
            <w:hideMark/>
          </w:tcPr>
          <w:p w14:paraId="22414A72" w14:textId="719E8735"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r w:rsidRPr="0059670F">
              <w:rPr>
                <w:rFonts w:ascii="Aptos body" w:eastAsia="Times New Roman" w:hAnsi="Aptos body" w:cs="Arial"/>
                <w:color w:val="000000"/>
                <w:sz w:val="18"/>
                <w:szCs w:val="18"/>
                <w:lang w:eastAsia="en-CA"/>
              </w:rPr>
              <w:t xml:space="preserve"> $       3,470 </w:t>
            </w:r>
          </w:p>
        </w:tc>
      </w:tr>
      <w:tr w:rsidR="0045046F" w:rsidRPr="0059670F" w14:paraId="2182478A" w14:textId="77777777" w:rsidTr="0059670F">
        <w:trPr>
          <w:trHeight w:val="265"/>
          <w:jc w:val="center"/>
        </w:trPr>
        <w:tc>
          <w:tcPr>
            <w:tcW w:w="2724" w:type="dxa"/>
            <w:tcBorders>
              <w:top w:val="nil"/>
              <w:left w:val="nil"/>
              <w:bottom w:val="nil"/>
              <w:right w:val="nil"/>
            </w:tcBorders>
            <w:shd w:val="clear" w:color="000000" w:fill="FFFFFF"/>
            <w:noWrap/>
            <w:vAlign w:val="bottom"/>
            <w:hideMark/>
          </w:tcPr>
          <w:p w14:paraId="34360938" w14:textId="77777777"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r w:rsidRPr="0059670F">
              <w:rPr>
                <w:rFonts w:ascii="Aptos body" w:eastAsia="Times New Roman" w:hAnsi="Aptos body" w:cs="Arial"/>
                <w:color w:val="000000"/>
                <w:sz w:val="18"/>
                <w:szCs w:val="18"/>
                <w:lang w:eastAsia="en-CA"/>
              </w:rPr>
              <w:t>Other/Misc.</w:t>
            </w:r>
          </w:p>
        </w:tc>
        <w:tc>
          <w:tcPr>
            <w:tcW w:w="1633" w:type="dxa"/>
            <w:tcBorders>
              <w:top w:val="nil"/>
              <w:left w:val="nil"/>
              <w:bottom w:val="nil"/>
              <w:right w:val="nil"/>
            </w:tcBorders>
            <w:shd w:val="clear" w:color="000000" w:fill="FFFFFF"/>
            <w:noWrap/>
            <w:vAlign w:val="bottom"/>
            <w:hideMark/>
          </w:tcPr>
          <w:p w14:paraId="180C78D8" w14:textId="77777777"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r w:rsidRPr="0059670F">
              <w:rPr>
                <w:rFonts w:ascii="Aptos body" w:eastAsia="Times New Roman" w:hAnsi="Aptos body" w:cs="Arial"/>
                <w:color w:val="000000"/>
                <w:sz w:val="18"/>
                <w:szCs w:val="18"/>
                <w:lang w:eastAsia="en-CA"/>
              </w:rPr>
              <w:t xml:space="preserve"> $             4,699 </w:t>
            </w:r>
          </w:p>
        </w:tc>
        <w:tc>
          <w:tcPr>
            <w:tcW w:w="981" w:type="dxa"/>
            <w:tcBorders>
              <w:top w:val="nil"/>
              <w:left w:val="nil"/>
              <w:bottom w:val="nil"/>
              <w:right w:val="nil"/>
            </w:tcBorders>
            <w:shd w:val="clear" w:color="000000" w:fill="FFFFFF"/>
            <w:noWrap/>
            <w:vAlign w:val="bottom"/>
            <w:hideMark/>
          </w:tcPr>
          <w:p w14:paraId="3184C598" w14:textId="77777777"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r w:rsidRPr="0059670F">
              <w:rPr>
                <w:rFonts w:ascii="Aptos body" w:eastAsia="Times New Roman" w:hAnsi="Aptos body" w:cs="Arial"/>
                <w:color w:val="000000"/>
                <w:sz w:val="18"/>
                <w:szCs w:val="18"/>
                <w:lang w:eastAsia="en-CA"/>
              </w:rPr>
              <w:t xml:space="preserve"> $        420 </w:t>
            </w:r>
          </w:p>
        </w:tc>
        <w:tc>
          <w:tcPr>
            <w:tcW w:w="220" w:type="dxa"/>
          </w:tcPr>
          <w:p w14:paraId="51DEBEFA" w14:textId="77777777"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p>
        </w:tc>
        <w:tc>
          <w:tcPr>
            <w:tcW w:w="1633" w:type="dxa"/>
            <w:tcBorders>
              <w:top w:val="nil"/>
              <w:left w:val="nil"/>
              <w:bottom w:val="nil"/>
              <w:right w:val="nil"/>
            </w:tcBorders>
            <w:shd w:val="clear" w:color="000000" w:fill="FFFFFF"/>
            <w:noWrap/>
            <w:vAlign w:val="bottom"/>
            <w:hideMark/>
          </w:tcPr>
          <w:p w14:paraId="4D9D2ADD" w14:textId="0C69CCB4"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r w:rsidRPr="0059670F">
              <w:rPr>
                <w:rFonts w:ascii="Aptos body" w:eastAsia="Times New Roman" w:hAnsi="Aptos body" w:cs="Arial"/>
                <w:color w:val="000000"/>
                <w:sz w:val="18"/>
                <w:szCs w:val="18"/>
                <w:lang w:eastAsia="en-CA"/>
              </w:rPr>
              <w:t xml:space="preserve"> $       5,120 </w:t>
            </w:r>
          </w:p>
        </w:tc>
      </w:tr>
      <w:tr w:rsidR="0045046F" w:rsidRPr="0059670F" w14:paraId="46DC0D08" w14:textId="77777777" w:rsidTr="0059670F">
        <w:trPr>
          <w:trHeight w:val="276"/>
          <w:jc w:val="center"/>
        </w:trPr>
        <w:tc>
          <w:tcPr>
            <w:tcW w:w="2724" w:type="dxa"/>
            <w:tcBorders>
              <w:top w:val="nil"/>
              <w:left w:val="nil"/>
              <w:bottom w:val="double" w:sz="6" w:space="0" w:color="auto"/>
              <w:right w:val="nil"/>
            </w:tcBorders>
            <w:shd w:val="clear" w:color="000000" w:fill="FFFFFF"/>
            <w:noWrap/>
            <w:vAlign w:val="bottom"/>
            <w:hideMark/>
          </w:tcPr>
          <w:p w14:paraId="1DFF3826" w14:textId="77777777"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r w:rsidRPr="0059670F">
              <w:rPr>
                <w:rFonts w:ascii="Aptos body" w:eastAsia="Times New Roman" w:hAnsi="Aptos body" w:cs="Arial"/>
                <w:color w:val="000000"/>
                <w:sz w:val="18"/>
                <w:szCs w:val="18"/>
                <w:lang w:eastAsia="en-CA"/>
              </w:rPr>
              <w:t xml:space="preserve">Paving Contract </w:t>
            </w:r>
          </w:p>
        </w:tc>
        <w:tc>
          <w:tcPr>
            <w:tcW w:w="1633" w:type="dxa"/>
            <w:tcBorders>
              <w:top w:val="nil"/>
              <w:left w:val="nil"/>
              <w:bottom w:val="double" w:sz="6" w:space="0" w:color="auto"/>
              <w:right w:val="nil"/>
            </w:tcBorders>
            <w:shd w:val="clear" w:color="000000" w:fill="FFFFFF"/>
            <w:noWrap/>
            <w:vAlign w:val="bottom"/>
            <w:hideMark/>
          </w:tcPr>
          <w:p w14:paraId="6319DA6D" w14:textId="77777777"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r w:rsidRPr="0059670F">
              <w:rPr>
                <w:rFonts w:ascii="Aptos body" w:eastAsia="Times New Roman" w:hAnsi="Aptos body" w:cs="Arial"/>
                <w:color w:val="000000"/>
                <w:sz w:val="18"/>
                <w:szCs w:val="18"/>
                <w:lang w:eastAsia="en-CA"/>
              </w:rPr>
              <w:t xml:space="preserve"> $         519,044 </w:t>
            </w:r>
          </w:p>
        </w:tc>
        <w:tc>
          <w:tcPr>
            <w:tcW w:w="981" w:type="dxa"/>
            <w:tcBorders>
              <w:top w:val="nil"/>
              <w:left w:val="nil"/>
              <w:bottom w:val="double" w:sz="6" w:space="0" w:color="auto"/>
              <w:right w:val="nil"/>
            </w:tcBorders>
            <w:shd w:val="clear" w:color="000000" w:fill="FFFFFF"/>
            <w:noWrap/>
            <w:vAlign w:val="bottom"/>
            <w:hideMark/>
          </w:tcPr>
          <w:p w14:paraId="71DD7285" w14:textId="77777777"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r w:rsidRPr="0059670F">
              <w:rPr>
                <w:rFonts w:ascii="Aptos body" w:eastAsia="Times New Roman" w:hAnsi="Aptos body" w:cs="Arial"/>
                <w:color w:val="000000"/>
                <w:sz w:val="18"/>
                <w:szCs w:val="18"/>
                <w:lang w:eastAsia="en-CA"/>
              </w:rPr>
              <w:t xml:space="preserve"> $   45,244 </w:t>
            </w:r>
          </w:p>
        </w:tc>
        <w:tc>
          <w:tcPr>
            <w:tcW w:w="220" w:type="dxa"/>
          </w:tcPr>
          <w:p w14:paraId="09D8913C" w14:textId="77777777"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p>
        </w:tc>
        <w:tc>
          <w:tcPr>
            <w:tcW w:w="1633" w:type="dxa"/>
            <w:tcBorders>
              <w:top w:val="nil"/>
              <w:left w:val="nil"/>
              <w:bottom w:val="double" w:sz="6" w:space="0" w:color="auto"/>
              <w:right w:val="nil"/>
            </w:tcBorders>
            <w:shd w:val="clear" w:color="000000" w:fill="FFFFFF"/>
            <w:noWrap/>
            <w:vAlign w:val="bottom"/>
            <w:hideMark/>
          </w:tcPr>
          <w:p w14:paraId="577F39DF" w14:textId="40153D2C"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r w:rsidRPr="0059670F">
              <w:rPr>
                <w:rFonts w:ascii="Aptos body" w:eastAsia="Times New Roman" w:hAnsi="Aptos body" w:cs="Arial"/>
                <w:color w:val="000000"/>
                <w:sz w:val="18"/>
                <w:szCs w:val="18"/>
                <w:lang w:eastAsia="en-CA"/>
              </w:rPr>
              <w:t xml:space="preserve"> $   564,288 </w:t>
            </w:r>
          </w:p>
        </w:tc>
      </w:tr>
      <w:tr w:rsidR="0045046F" w:rsidRPr="0059670F" w14:paraId="185FBC2C" w14:textId="77777777" w:rsidTr="0059670F">
        <w:trPr>
          <w:trHeight w:val="276"/>
          <w:jc w:val="center"/>
        </w:trPr>
        <w:tc>
          <w:tcPr>
            <w:tcW w:w="2724" w:type="dxa"/>
            <w:tcBorders>
              <w:top w:val="nil"/>
              <w:left w:val="nil"/>
              <w:bottom w:val="nil"/>
              <w:right w:val="nil"/>
            </w:tcBorders>
            <w:shd w:val="clear" w:color="000000" w:fill="FFFFFF"/>
            <w:noWrap/>
            <w:vAlign w:val="bottom"/>
            <w:hideMark/>
          </w:tcPr>
          <w:p w14:paraId="02ECD0C4" w14:textId="77777777"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r w:rsidRPr="0059670F">
              <w:rPr>
                <w:rFonts w:ascii="Aptos body" w:eastAsia="Times New Roman" w:hAnsi="Aptos body" w:cs="Arial"/>
                <w:color w:val="000000"/>
                <w:sz w:val="18"/>
                <w:szCs w:val="18"/>
                <w:lang w:eastAsia="en-CA"/>
              </w:rPr>
              <w:t>Total Project Cost</w:t>
            </w:r>
          </w:p>
        </w:tc>
        <w:tc>
          <w:tcPr>
            <w:tcW w:w="1633" w:type="dxa"/>
            <w:tcBorders>
              <w:top w:val="nil"/>
              <w:left w:val="nil"/>
              <w:bottom w:val="nil"/>
              <w:right w:val="nil"/>
            </w:tcBorders>
            <w:shd w:val="clear" w:color="000000" w:fill="FFFFFF"/>
            <w:noWrap/>
            <w:vAlign w:val="bottom"/>
            <w:hideMark/>
          </w:tcPr>
          <w:p w14:paraId="52118F0C" w14:textId="34283741"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r w:rsidRPr="0059670F">
              <w:rPr>
                <w:rFonts w:ascii="Aptos body" w:eastAsia="Times New Roman" w:hAnsi="Aptos body" w:cs="Arial"/>
                <w:color w:val="000000"/>
                <w:sz w:val="18"/>
                <w:szCs w:val="18"/>
                <w:lang w:eastAsia="en-CA"/>
              </w:rPr>
              <w:t xml:space="preserve"> $         570,443</w:t>
            </w:r>
            <w:r w:rsidR="004B1C60" w:rsidRPr="0059670F">
              <w:rPr>
                <w:rStyle w:val="FootnoteReference"/>
                <w:rFonts w:ascii="Aptos body" w:eastAsia="Times New Roman" w:hAnsi="Aptos body" w:cs="Arial"/>
                <w:color w:val="000000"/>
                <w:sz w:val="18"/>
                <w:szCs w:val="18"/>
                <w:lang w:eastAsia="en-CA"/>
              </w:rPr>
              <w:footnoteReference w:id="7"/>
            </w:r>
            <w:r w:rsidRPr="0059670F">
              <w:rPr>
                <w:rFonts w:ascii="Aptos body" w:eastAsia="Times New Roman" w:hAnsi="Aptos body" w:cs="Arial"/>
                <w:color w:val="000000"/>
                <w:sz w:val="18"/>
                <w:szCs w:val="18"/>
                <w:lang w:eastAsia="en-CA"/>
              </w:rPr>
              <w:t xml:space="preserve"> </w:t>
            </w:r>
          </w:p>
        </w:tc>
        <w:tc>
          <w:tcPr>
            <w:tcW w:w="981" w:type="dxa"/>
            <w:tcBorders>
              <w:top w:val="nil"/>
              <w:left w:val="nil"/>
              <w:bottom w:val="nil"/>
              <w:right w:val="nil"/>
            </w:tcBorders>
            <w:shd w:val="clear" w:color="000000" w:fill="FFFFFF"/>
            <w:noWrap/>
            <w:vAlign w:val="bottom"/>
            <w:hideMark/>
          </w:tcPr>
          <w:p w14:paraId="06A9A0C6" w14:textId="77777777"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r w:rsidRPr="0059670F">
              <w:rPr>
                <w:rFonts w:ascii="Aptos body" w:eastAsia="Times New Roman" w:hAnsi="Aptos body" w:cs="Arial"/>
                <w:color w:val="000000"/>
                <w:sz w:val="18"/>
                <w:szCs w:val="18"/>
                <w:lang w:eastAsia="en-CA"/>
              </w:rPr>
              <w:t xml:space="preserve"> $   49,808 </w:t>
            </w:r>
          </w:p>
        </w:tc>
        <w:tc>
          <w:tcPr>
            <w:tcW w:w="220" w:type="dxa"/>
          </w:tcPr>
          <w:p w14:paraId="0BE9EABB" w14:textId="77777777"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p>
        </w:tc>
        <w:tc>
          <w:tcPr>
            <w:tcW w:w="1633" w:type="dxa"/>
            <w:tcBorders>
              <w:top w:val="nil"/>
              <w:left w:val="nil"/>
              <w:bottom w:val="nil"/>
              <w:right w:val="nil"/>
            </w:tcBorders>
            <w:shd w:val="clear" w:color="000000" w:fill="FFFFFF"/>
            <w:noWrap/>
            <w:vAlign w:val="bottom"/>
            <w:hideMark/>
          </w:tcPr>
          <w:p w14:paraId="34897524" w14:textId="1A1DFFC5"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r w:rsidRPr="0059670F">
              <w:rPr>
                <w:rFonts w:ascii="Aptos body" w:eastAsia="Times New Roman" w:hAnsi="Aptos body" w:cs="Arial"/>
                <w:color w:val="000000"/>
                <w:sz w:val="18"/>
                <w:szCs w:val="18"/>
                <w:lang w:eastAsia="en-CA"/>
              </w:rPr>
              <w:t xml:space="preserve"> $   620,251 </w:t>
            </w:r>
          </w:p>
        </w:tc>
      </w:tr>
      <w:tr w:rsidR="0045046F" w:rsidRPr="0059670F" w14:paraId="77BEDD53" w14:textId="77777777" w:rsidTr="0059670F">
        <w:trPr>
          <w:trHeight w:val="265"/>
          <w:jc w:val="center"/>
        </w:trPr>
        <w:tc>
          <w:tcPr>
            <w:tcW w:w="5340" w:type="dxa"/>
            <w:gridSpan w:val="3"/>
            <w:tcBorders>
              <w:top w:val="nil"/>
              <w:left w:val="nil"/>
              <w:bottom w:val="nil"/>
              <w:right w:val="nil"/>
            </w:tcBorders>
            <w:shd w:val="clear" w:color="000000" w:fill="FFFFFF"/>
            <w:noWrap/>
            <w:vAlign w:val="bottom"/>
            <w:hideMark/>
          </w:tcPr>
          <w:p w14:paraId="48252E79" w14:textId="77777777"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r w:rsidRPr="0059670F">
              <w:rPr>
                <w:rFonts w:ascii="Aptos body" w:eastAsia="Times New Roman" w:hAnsi="Aptos body" w:cs="Arial"/>
                <w:color w:val="000000"/>
                <w:sz w:val="18"/>
                <w:szCs w:val="18"/>
                <w:lang w:eastAsia="en-CA"/>
              </w:rPr>
              <w:t>Paid to Date</w:t>
            </w:r>
          </w:p>
        </w:tc>
        <w:tc>
          <w:tcPr>
            <w:tcW w:w="220" w:type="dxa"/>
          </w:tcPr>
          <w:p w14:paraId="39BD3F97" w14:textId="77777777"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p>
        </w:tc>
        <w:tc>
          <w:tcPr>
            <w:tcW w:w="1633" w:type="dxa"/>
            <w:tcBorders>
              <w:top w:val="nil"/>
              <w:left w:val="nil"/>
              <w:bottom w:val="nil"/>
              <w:right w:val="nil"/>
            </w:tcBorders>
            <w:shd w:val="clear" w:color="000000" w:fill="FFFFFF"/>
            <w:noWrap/>
            <w:vAlign w:val="bottom"/>
            <w:hideMark/>
          </w:tcPr>
          <w:p w14:paraId="5574AA87" w14:textId="160C56D1"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r w:rsidRPr="0059670F">
              <w:rPr>
                <w:rFonts w:ascii="Aptos body" w:eastAsia="Times New Roman" w:hAnsi="Aptos body" w:cs="Arial"/>
                <w:color w:val="000000"/>
                <w:sz w:val="18"/>
                <w:szCs w:val="18"/>
                <w:lang w:eastAsia="en-CA"/>
              </w:rPr>
              <w:t xml:space="preserve"> $   </w:t>
            </w:r>
            <w:r w:rsidR="002F27E5">
              <w:rPr>
                <w:rFonts w:ascii="Aptos body" w:eastAsia="Times New Roman" w:hAnsi="Aptos body" w:cs="Arial"/>
                <w:color w:val="000000"/>
                <w:sz w:val="18"/>
                <w:szCs w:val="18"/>
                <w:lang w:eastAsia="en-CA"/>
              </w:rPr>
              <w:t>355,363</w:t>
            </w:r>
            <w:r w:rsidRPr="0059670F">
              <w:rPr>
                <w:rFonts w:ascii="Aptos body" w:eastAsia="Times New Roman" w:hAnsi="Aptos body" w:cs="Arial"/>
                <w:color w:val="000000"/>
                <w:sz w:val="18"/>
                <w:szCs w:val="18"/>
                <w:lang w:eastAsia="en-CA"/>
              </w:rPr>
              <w:t xml:space="preserve"> </w:t>
            </w:r>
          </w:p>
        </w:tc>
      </w:tr>
      <w:tr w:rsidR="0045046F" w:rsidRPr="0059670F" w14:paraId="14B0EF88" w14:textId="77777777" w:rsidTr="0059670F">
        <w:trPr>
          <w:trHeight w:val="265"/>
          <w:jc w:val="center"/>
        </w:trPr>
        <w:tc>
          <w:tcPr>
            <w:tcW w:w="5340" w:type="dxa"/>
            <w:gridSpan w:val="3"/>
            <w:tcBorders>
              <w:top w:val="nil"/>
              <w:left w:val="nil"/>
              <w:bottom w:val="nil"/>
              <w:right w:val="nil"/>
            </w:tcBorders>
            <w:shd w:val="clear" w:color="000000" w:fill="FFFFFF"/>
            <w:noWrap/>
            <w:vAlign w:val="bottom"/>
            <w:hideMark/>
          </w:tcPr>
          <w:p w14:paraId="703DA2A6" w14:textId="77777777"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r w:rsidRPr="0059670F">
              <w:rPr>
                <w:rFonts w:ascii="Aptos body" w:eastAsia="Times New Roman" w:hAnsi="Aptos body" w:cs="Arial"/>
                <w:color w:val="000000"/>
                <w:sz w:val="18"/>
                <w:szCs w:val="18"/>
                <w:lang w:eastAsia="en-CA"/>
              </w:rPr>
              <w:t>Outstanding</w:t>
            </w:r>
          </w:p>
        </w:tc>
        <w:tc>
          <w:tcPr>
            <w:tcW w:w="220" w:type="dxa"/>
          </w:tcPr>
          <w:p w14:paraId="7C825D91" w14:textId="77777777"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p>
        </w:tc>
        <w:tc>
          <w:tcPr>
            <w:tcW w:w="1633" w:type="dxa"/>
            <w:tcBorders>
              <w:top w:val="nil"/>
              <w:left w:val="nil"/>
              <w:bottom w:val="nil"/>
              <w:right w:val="nil"/>
            </w:tcBorders>
            <w:shd w:val="clear" w:color="000000" w:fill="FFFFFF"/>
            <w:noWrap/>
            <w:vAlign w:val="bottom"/>
            <w:hideMark/>
          </w:tcPr>
          <w:p w14:paraId="0795B0EC" w14:textId="00B111E7"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r w:rsidRPr="0059670F">
              <w:rPr>
                <w:rFonts w:ascii="Aptos body" w:eastAsia="Times New Roman" w:hAnsi="Aptos body" w:cs="Arial"/>
                <w:color w:val="000000"/>
                <w:sz w:val="18"/>
                <w:szCs w:val="18"/>
                <w:lang w:eastAsia="en-CA"/>
              </w:rPr>
              <w:t xml:space="preserve"> $   264,</w:t>
            </w:r>
            <w:r w:rsidR="00C10B41">
              <w:rPr>
                <w:rFonts w:ascii="Aptos body" w:eastAsia="Times New Roman" w:hAnsi="Aptos body" w:cs="Arial"/>
                <w:color w:val="000000"/>
                <w:sz w:val="18"/>
                <w:szCs w:val="18"/>
                <w:lang w:eastAsia="en-CA"/>
              </w:rPr>
              <w:t>288</w:t>
            </w:r>
            <w:r w:rsidRPr="0059670F">
              <w:rPr>
                <w:rFonts w:ascii="Aptos body" w:eastAsia="Times New Roman" w:hAnsi="Aptos body" w:cs="Arial"/>
                <w:color w:val="000000"/>
                <w:sz w:val="18"/>
                <w:szCs w:val="18"/>
                <w:lang w:eastAsia="en-CA"/>
              </w:rPr>
              <w:t xml:space="preserve"> </w:t>
            </w:r>
          </w:p>
        </w:tc>
      </w:tr>
      <w:tr w:rsidR="0045046F" w:rsidRPr="0059670F" w14:paraId="03BC81CE" w14:textId="77777777" w:rsidTr="0059670F">
        <w:trPr>
          <w:trHeight w:val="265"/>
          <w:jc w:val="center"/>
        </w:trPr>
        <w:tc>
          <w:tcPr>
            <w:tcW w:w="5340" w:type="dxa"/>
            <w:gridSpan w:val="3"/>
            <w:tcBorders>
              <w:top w:val="nil"/>
              <w:left w:val="nil"/>
              <w:bottom w:val="nil"/>
              <w:right w:val="nil"/>
            </w:tcBorders>
            <w:shd w:val="clear" w:color="000000" w:fill="FFFFFF"/>
            <w:noWrap/>
            <w:vAlign w:val="bottom"/>
            <w:hideMark/>
          </w:tcPr>
          <w:p w14:paraId="62E1E4CF" w14:textId="77777777"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r w:rsidRPr="0059670F">
              <w:rPr>
                <w:rFonts w:ascii="Aptos body" w:eastAsia="Times New Roman" w:hAnsi="Aptos body" w:cs="Arial"/>
                <w:color w:val="000000"/>
                <w:sz w:val="18"/>
                <w:szCs w:val="18"/>
                <w:lang w:eastAsia="en-CA"/>
              </w:rPr>
              <w:t>LOC Available</w:t>
            </w:r>
          </w:p>
        </w:tc>
        <w:tc>
          <w:tcPr>
            <w:tcW w:w="220" w:type="dxa"/>
          </w:tcPr>
          <w:p w14:paraId="0813A620" w14:textId="77777777"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p>
        </w:tc>
        <w:tc>
          <w:tcPr>
            <w:tcW w:w="1633" w:type="dxa"/>
            <w:tcBorders>
              <w:top w:val="nil"/>
              <w:left w:val="nil"/>
              <w:bottom w:val="nil"/>
              <w:right w:val="nil"/>
            </w:tcBorders>
            <w:shd w:val="clear" w:color="000000" w:fill="FFFFFF"/>
            <w:noWrap/>
            <w:vAlign w:val="bottom"/>
            <w:hideMark/>
          </w:tcPr>
          <w:p w14:paraId="0F13C014" w14:textId="5831E6CE"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r w:rsidRPr="0059670F">
              <w:rPr>
                <w:rFonts w:ascii="Aptos body" w:eastAsia="Times New Roman" w:hAnsi="Aptos body" w:cs="Arial"/>
                <w:color w:val="000000"/>
                <w:sz w:val="18"/>
                <w:szCs w:val="18"/>
                <w:lang w:eastAsia="en-CA"/>
              </w:rPr>
              <w:t xml:space="preserve"> $   </w:t>
            </w:r>
            <w:r w:rsidR="008550E0">
              <w:rPr>
                <w:rFonts w:ascii="Aptos body" w:eastAsia="Times New Roman" w:hAnsi="Aptos body" w:cs="Arial"/>
                <w:color w:val="000000"/>
                <w:sz w:val="18"/>
                <w:szCs w:val="18"/>
                <w:lang w:eastAsia="en-CA"/>
              </w:rPr>
              <w:t>15</w:t>
            </w:r>
            <w:r w:rsidR="00ED051A">
              <w:rPr>
                <w:rFonts w:ascii="Aptos body" w:eastAsia="Times New Roman" w:hAnsi="Aptos body" w:cs="Arial"/>
                <w:color w:val="000000"/>
                <w:sz w:val="18"/>
                <w:szCs w:val="18"/>
                <w:lang w:eastAsia="en-CA"/>
              </w:rPr>
              <w:t>0,323</w:t>
            </w:r>
            <w:r w:rsidRPr="0059670F">
              <w:rPr>
                <w:rFonts w:ascii="Aptos body" w:eastAsia="Times New Roman" w:hAnsi="Aptos body" w:cs="Arial"/>
                <w:color w:val="000000"/>
                <w:sz w:val="18"/>
                <w:szCs w:val="18"/>
                <w:lang w:eastAsia="en-CA"/>
              </w:rPr>
              <w:t xml:space="preserve"> </w:t>
            </w:r>
          </w:p>
        </w:tc>
      </w:tr>
      <w:tr w:rsidR="0045046F" w:rsidRPr="0059670F" w14:paraId="3404E238" w14:textId="77777777" w:rsidTr="0059670F">
        <w:trPr>
          <w:trHeight w:val="265"/>
          <w:jc w:val="center"/>
        </w:trPr>
        <w:tc>
          <w:tcPr>
            <w:tcW w:w="5340" w:type="dxa"/>
            <w:gridSpan w:val="3"/>
            <w:tcBorders>
              <w:top w:val="nil"/>
              <w:left w:val="nil"/>
              <w:bottom w:val="nil"/>
              <w:right w:val="nil"/>
            </w:tcBorders>
            <w:shd w:val="clear" w:color="000000" w:fill="FFFFFF"/>
            <w:noWrap/>
            <w:vAlign w:val="bottom"/>
            <w:hideMark/>
          </w:tcPr>
          <w:p w14:paraId="71CC7AB3" w14:textId="77777777"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r w:rsidRPr="0059670F">
              <w:rPr>
                <w:rFonts w:ascii="Aptos body" w:eastAsia="Times New Roman" w:hAnsi="Aptos body" w:cs="Arial"/>
                <w:color w:val="000000"/>
                <w:sz w:val="18"/>
                <w:szCs w:val="18"/>
                <w:lang w:eastAsia="en-CA"/>
              </w:rPr>
              <w:t>Funds Required (June 2026)</w:t>
            </w:r>
          </w:p>
        </w:tc>
        <w:tc>
          <w:tcPr>
            <w:tcW w:w="220" w:type="dxa"/>
          </w:tcPr>
          <w:p w14:paraId="67AF6B19" w14:textId="77777777"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p>
        </w:tc>
        <w:tc>
          <w:tcPr>
            <w:tcW w:w="1633" w:type="dxa"/>
            <w:tcBorders>
              <w:top w:val="nil"/>
              <w:left w:val="nil"/>
              <w:bottom w:val="nil"/>
              <w:right w:val="nil"/>
            </w:tcBorders>
            <w:shd w:val="clear" w:color="000000" w:fill="FFFFFF"/>
            <w:noWrap/>
            <w:vAlign w:val="bottom"/>
            <w:hideMark/>
          </w:tcPr>
          <w:p w14:paraId="4C8C0E14" w14:textId="1A19A191" w:rsidR="0045046F" w:rsidRPr="0059670F" w:rsidRDefault="0045046F" w:rsidP="00DB2499">
            <w:pPr>
              <w:spacing w:after="0" w:line="240" w:lineRule="auto"/>
              <w:jc w:val="both"/>
              <w:rPr>
                <w:rFonts w:ascii="Aptos body" w:eastAsia="Times New Roman" w:hAnsi="Aptos body" w:cs="Arial"/>
                <w:color w:val="000000"/>
                <w:sz w:val="18"/>
                <w:szCs w:val="18"/>
                <w:lang w:eastAsia="en-CA"/>
              </w:rPr>
            </w:pPr>
            <w:r w:rsidRPr="0059670F">
              <w:rPr>
                <w:rFonts w:ascii="Aptos body" w:eastAsia="Times New Roman" w:hAnsi="Aptos body" w:cs="Arial"/>
                <w:color w:val="000000"/>
                <w:sz w:val="18"/>
                <w:szCs w:val="18"/>
                <w:lang w:eastAsia="en-CA"/>
              </w:rPr>
              <w:t xml:space="preserve"> $   </w:t>
            </w:r>
            <w:r w:rsidR="00ED051A">
              <w:rPr>
                <w:rFonts w:ascii="Aptos body" w:eastAsia="Times New Roman" w:hAnsi="Aptos body" w:cs="Arial"/>
                <w:color w:val="000000"/>
                <w:sz w:val="18"/>
                <w:szCs w:val="18"/>
                <w:lang w:eastAsia="en-CA"/>
              </w:rPr>
              <w:t>113,965</w:t>
            </w:r>
            <w:r w:rsidRPr="0059670F">
              <w:rPr>
                <w:rFonts w:ascii="Aptos body" w:eastAsia="Times New Roman" w:hAnsi="Aptos body" w:cs="Arial"/>
                <w:color w:val="000000"/>
                <w:sz w:val="18"/>
                <w:szCs w:val="18"/>
                <w:lang w:eastAsia="en-CA"/>
              </w:rPr>
              <w:t xml:space="preserve"> </w:t>
            </w:r>
          </w:p>
        </w:tc>
      </w:tr>
    </w:tbl>
    <w:p w14:paraId="06BECFD9" w14:textId="77777777" w:rsidR="0025776E" w:rsidRDefault="0025776E" w:rsidP="00DB2499">
      <w:pPr>
        <w:jc w:val="both"/>
        <w:rPr>
          <w:rFonts w:cs="Arial"/>
        </w:rPr>
      </w:pPr>
    </w:p>
    <w:p w14:paraId="2F57D974" w14:textId="64DC7360" w:rsidR="00F237E6" w:rsidRDefault="000F5E47" w:rsidP="00DB2499">
      <w:pPr>
        <w:jc w:val="both"/>
        <w:rPr>
          <w:rFonts w:cs="Arial"/>
        </w:rPr>
      </w:pPr>
      <w:r>
        <w:rPr>
          <w:rFonts w:cs="Arial"/>
        </w:rPr>
        <w:t>Most of the costs of the project (</w:t>
      </w:r>
      <w:r w:rsidR="00A07359">
        <w:rPr>
          <w:rFonts w:cs="Arial"/>
        </w:rPr>
        <w:t>$</w:t>
      </w:r>
      <w:r w:rsidR="009A4F34">
        <w:rPr>
          <w:rFonts w:cs="Arial"/>
        </w:rPr>
        <w:t>355,363</w:t>
      </w:r>
      <w:r w:rsidR="00A07359">
        <w:rPr>
          <w:rFonts w:cs="Arial"/>
        </w:rPr>
        <w:t>) have already been paid for through our Line of Credit which included $</w:t>
      </w:r>
      <w:r w:rsidR="00BE3C50">
        <w:rPr>
          <w:rFonts w:cs="Arial"/>
        </w:rPr>
        <w:t>49,</w:t>
      </w:r>
      <w:r w:rsidR="00AC681F">
        <w:rPr>
          <w:rFonts w:cs="Arial"/>
        </w:rPr>
        <w:t>677</w:t>
      </w:r>
      <w:r w:rsidR="00A07359">
        <w:rPr>
          <w:rFonts w:cs="Arial"/>
        </w:rPr>
        <w:t xml:space="preserve"> to cover various 2024/5 expenses and $300,000 to cover the first installment of the Paving Contract.</w:t>
      </w:r>
      <w:r w:rsidR="0059670F">
        <w:rPr>
          <w:rFonts w:cs="Arial"/>
        </w:rPr>
        <w:t xml:space="preserve"> </w:t>
      </w:r>
      <w:r w:rsidR="00A07359">
        <w:rPr>
          <w:rFonts w:cs="Arial"/>
        </w:rPr>
        <w:t>As an additional benefit</w:t>
      </w:r>
      <w:r w:rsidR="0084137A">
        <w:rPr>
          <w:rFonts w:cs="Arial"/>
        </w:rPr>
        <w:t xml:space="preserve"> </w:t>
      </w:r>
      <w:r w:rsidR="007C27D8">
        <w:rPr>
          <w:rFonts w:cs="Arial"/>
        </w:rPr>
        <w:t xml:space="preserve">to NLA, </w:t>
      </w:r>
      <w:r w:rsidR="0084137A">
        <w:rPr>
          <w:rFonts w:cs="Arial"/>
        </w:rPr>
        <w:t>the paving contractor agreed</w:t>
      </w:r>
      <w:r w:rsidR="00A07359">
        <w:rPr>
          <w:rFonts w:cs="Arial"/>
        </w:rPr>
        <w:t xml:space="preserve"> to </w:t>
      </w:r>
      <w:r w:rsidR="00F237E6">
        <w:rPr>
          <w:rFonts w:cs="Arial"/>
        </w:rPr>
        <w:t>hold $264,000 of the final payment for 1 year which will be due in June of 2026. To cover this</w:t>
      </w:r>
      <w:r w:rsidR="0084137A">
        <w:rPr>
          <w:rFonts w:cs="Arial"/>
        </w:rPr>
        <w:t>,</w:t>
      </w:r>
      <w:r w:rsidR="00F237E6">
        <w:rPr>
          <w:rFonts w:cs="Arial"/>
        </w:rPr>
        <w:t xml:space="preserve"> we have two sources of funds:</w:t>
      </w:r>
    </w:p>
    <w:p w14:paraId="20D62A02" w14:textId="784319E4" w:rsidR="00F237E6" w:rsidRDefault="00F237E6" w:rsidP="00DB2499">
      <w:pPr>
        <w:pStyle w:val="ListParagraph"/>
        <w:numPr>
          <w:ilvl w:val="0"/>
          <w:numId w:val="16"/>
        </w:numPr>
        <w:jc w:val="both"/>
        <w:rPr>
          <w:rFonts w:cs="Arial"/>
        </w:rPr>
      </w:pPr>
      <w:r>
        <w:rPr>
          <w:rFonts w:cs="Arial"/>
        </w:rPr>
        <w:t>The additional $150,</w:t>
      </w:r>
      <w:r w:rsidR="00ED051A">
        <w:rPr>
          <w:rFonts w:cs="Arial"/>
        </w:rPr>
        <w:t>323</w:t>
      </w:r>
      <w:r>
        <w:rPr>
          <w:rFonts w:cs="Arial"/>
        </w:rPr>
        <w:t xml:space="preserve"> in our Line of Credit</w:t>
      </w:r>
      <w:r w:rsidR="009B58FB">
        <w:rPr>
          <w:rFonts w:cs="Arial"/>
        </w:rPr>
        <w:t>.</w:t>
      </w:r>
    </w:p>
    <w:p w14:paraId="09F48195" w14:textId="41452EDF" w:rsidR="00F237E6" w:rsidRDefault="008701EB" w:rsidP="00DB2499">
      <w:pPr>
        <w:pStyle w:val="ListParagraph"/>
        <w:numPr>
          <w:ilvl w:val="0"/>
          <w:numId w:val="16"/>
        </w:numPr>
        <w:jc w:val="both"/>
        <w:rPr>
          <w:rFonts w:cs="Arial"/>
        </w:rPr>
      </w:pPr>
      <w:r>
        <w:rPr>
          <w:rFonts w:cs="Arial"/>
        </w:rPr>
        <w:t>Funds from the project account (from fundraising)</w:t>
      </w:r>
      <w:r w:rsidR="009B58FB">
        <w:rPr>
          <w:rFonts w:cs="Arial"/>
        </w:rPr>
        <w:t>.</w:t>
      </w:r>
    </w:p>
    <w:p w14:paraId="52A298EF" w14:textId="1E10D9E9" w:rsidR="000D2D3B" w:rsidRDefault="0084137A" w:rsidP="00DB2499">
      <w:pPr>
        <w:jc w:val="both"/>
        <w:rPr>
          <w:rFonts w:cs="Arial"/>
        </w:rPr>
      </w:pPr>
      <w:r w:rsidRPr="000D2433">
        <w:rPr>
          <w:rFonts w:cs="Arial"/>
        </w:rPr>
        <w:t>Using the remaining</w:t>
      </w:r>
      <w:r w:rsidR="000D2D3B" w:rsidRPr="000D2433">
        <w:rPr>
          <w:rFonts w:cs="Arial"/>
        </w:rPr>
        <w:t xml:space="preserve"> LOC we will be required to pay $</w:t>
      </w:r>
      <w:r w:rsidR="00ED051A">
        <w:rPr>
          <w:rFonts w:cs="Arial"/>
        </w:rPr>
        <w:t>113,965</w:t>
      </w:r>
      <w:r w:rsidR="00377DFE" w:rsidRPr="000D2433">
        <w:rPr>
          <w:rFonts w:cs="Arial"/>
        </w:rPr>
        <w:t xml:space="preserve"> in June 2026</w:t>
      </w:r>
      <w:r w:rsidR="00045BA6" w:rsidRPr="000D2433">
        <w:rPr>
          <w:rFonts w:cs="Arial"/>
        </w:rPr>
        <w:t>. At this time</w:t>
      </w:r>
      <w:r w:rsidR="00D97537">
        <w:rPr>
          <w:rFonts w:cs="Arial"/>
        </w:rPr>
        <w:t>,</w:t>
      </w:r>
      <w:r w:rsidR="00045BA6" w:rsidRPr="000D2433">
        <w:rPr>
          <w:rFonts w:cs="Arial"/>
        </w:rPr>
        <w:t xml:space="preserve"> we feel</w:t>
      </w:r>
      <w:r w:rsidRPr="000D2433">
        <w:rPr>
          <w:rFonts w:cs="Arial"/>
        </w:rPr>
        <w:t xml:space="preserve"> quite</w:t>
      </w:r>
      <w:r w:rsidR="00045BA6" w:rsidRPr="000D2433">
        <w:rPr>
          <w:rFonts w:cs="Arial"/>
        </w:rPr>
        <w:t xml:space="preserve"> comfortable these funds will be available </w:t>
      </w:r>
      <w:r w:rsidR="000F7A1F" w:rsidRPr="000D2433">
        <w:rPr>
          <w:rFonts w:cs="Arial"/>
        </w:rPr>
        <w:t xml:space="preserve">at that time. When the line of credit is finally applied to </w:t>
      </w:r>
      <w:r w:rsidR="00CD5F17">
        <w:rPr>
          <w:rFonts w:cs="Arial"/>
        </w:rPr>
        <w:t xml:space="preserve">the </w:t>
      </w:r>
      <w:r w:rsidR="000F7A1F" w:rsidRPr="000D2433">
        <w:rPr>
          <w:rFonts w:cs="Arial"/>
        </w:rPr>
        <w:t>project</w:t>
      </w:r>
      <w:r w:rsidR="00CD5F17">
        <w:rPr>
          <w:rFonts w:cs="Arial"/>
        </w:rPr>
        <w:t xml:space="preserve"> costs,</w:t>
      </w:r>
      <w:r w:rsidR="000F7A1F" w:rsidRPr="000D2433">
        <w:rPr>
          <w:rFonts w:cs="Arial"/>
        </w:rPr>
        <w:t xml:space="preserve"> it will be rolled into a mortgage </w:t>
      </w:r>
      <w:r w:rsidR="000D2433">
        <w:rPr>
          <w:rFonts w:cs="Arial"/>
        </w:rPr>
        <w:t>(</w:t>
      </w:r>
      <w:r w:rsidR="000D2433" w:rsidRPr="000D2433">
        <w:rPr>
          <w:rFonts w:cs="Arial"/>
        </w:rPr>
        <w:t>$500,000 at prime + 1.0%</w:t>
      </w:r>
      <w:r w:rsidR="00D046EE">
        <w:rPr>
          <w:rFonts w:cs="Arial"/>
        </w:rPr>
        <w:t>)</w:t>
      </w:r>
      <w:r w:rsidR="00C84E31">
        <w:rPr>
          <w:rFonts w:cs="Arial"/>
        </w:rPr>
        <w:t>.</w:t>
      </w:r>
      <w:r w:rsidR="0059670F">
        <w:rPr>
          <w:rFonts w:cs="Arial"/>
        </w:rPr>
        <w:t xml:space="preserve"> </w:t>
      </w:r>
      <w:r w:rsidR="001603E8">
        <w:rPr>
          <w:rFonts w:cs="Arial"/>
        </w:rPr>
        <w:t xml:space="preserve">It is highly recommended we retain any remaining paving funds in our </w:t>
      </w:r>
      <w:r w:rsidR="004C713C">
        <w:rPr>
          <w:rFonts w:cs="Arial"/>
        </w:rPr>
        <w:t>project</w:t>
      </w:r>
      <w:r w:rsidR="001603E8">
        <w:rPr>
          <w:rFonts w:cs="Arial"/>
        </w:rPr>
        <w:t xml:space="preserve"> account to </w:t>
      </w:r>
      <w:r w:rsidR="00A9365E">
        <w:rPr>
          <w:rFonts w:cs="Arial"/>
        </w:rPr>
        <w:t>manage</w:t>
      </w:r>
      <w:r w:rsidR="00AA3D38">
        <w:rPr>
          <w:rFonts w:cs="Arial"/>
        </w:rPr>
        <w:t xml:space="preserve"> </w:t>
      </w:r>
      <w:r w:rsidR="004C713C">
        <w:rPr>
          <w:rFonts w:cs="Arial"/>
        </w:rPr>
        <w:t>periods of potential deficit spending,</w:t>
      </w:r>
      <w:r w:rsidR="004A7BEB">
        <w:rPr>
          <w:rFonts w:cs="Arial"/>
        </w:rPr>
        <w:t xml:space="preserve"> to meet operational requirements.</w:t>
      </w:r>
    </w:p>
    <w:p w14:paraId="377C1E63" w14:textId="5DBCCD10" w:rsidR="00D2498F" w:rsidRDefault="00FE6ED0" w:rsidP="00DB2499">
      <w:pPr>
        <w:jc w:val="both"/>
        <w:rPr>
          <w:rFonts w:cs="Arial"/>
        </w:rPr>
      </w:pPr>
      <w:r>
        <w:rPr>
          <w:rFonts w:cs="Arial"/>
        </w:rPr>
        <w:t>As a final note, t</w:t>
      </w:r>
      <w:r w:rsidR="000028EC">
        <w:rPr>
          <w:rFonts w:cs="Arial"/>
        </w:rPr>
        <w:t xml:space="preserve">he HST credit for the Paving project is expected to bring an additional $25,000 revenue to apply against this deficit. </w:t>
      </w:r>
      <w:r w:rsidR="00AA5459">
        <w:rPr>
          <w:rFonts w:cs="Arial"/>
        </w:rPr>
        <w:t xml:space="preserve">We will apply </w:t>
      </w:r>
      <w:r w:rsidR="000028EC">
        <w:rPr>
          <w:rFonts w:cs="Arial"/>
        </w:rPr>
        <w:t xml:space="preserve">for </w:t>
      </w:r>
      <w:r w:rsidR="00F87F42">
        <w:rPr>
          <w:rFonts w:cs="Arial"/>
        </w:rPr>
        <w:t>the rebate of the project HST</w:t>
      </w:r>
      <w:r w:rsidR="00B57418">
        <w:rPr>
          <w:rFonts w:cs="Arial"/>
        </w:rPr>
        <w:t xml:space="preserve"> </w:t>
      </w:r>
      <w:r w:rsidR="000028EC">
        <w:rPr>
          <w:rFonts w:cs="Arial"/>
        </w:rPr>
        <w:t>in July 2026 once the final vendor (Sevco</w:t>
      </w:r>
      <w:r w:rsidR="00761A1F">
        <w:rPr>
          <w:rFonts w:cs="Arial"/>
        </w:rPr>
        <w:t>n</w:t>
      </w:r>
      <w:r w:rsidR="000028EC">
        <w:rPr>
          <w:rFonts w:cs="Arial"/>
        </w:rPr>
        <w:t>) is paid in full.</w:t>
      </w:r>
    </w:p>
    <w:p w14:paraId="4FBA4C2E" w14:textId="007B0BAA" w:rsidR="00AF0B50" w:rsidRDefault="00AF0B50" w:rsidP="00DB2499">
      <w:pPr>
        <w:jc w:val="both"/>
        <w:rPr>
          <w:rFonts w:cs="Arial"/>
        </w:rPr>
      </w:pPr>
      <w:r>
        <w:rPr>
          <w:rFonts w:cs="Arial"/>
        </w:rPr>
        <w:t>In His Service,</w:t>
      </w:r>
    </w:p>
    <w:p w14:paraId="47B99A78" w14:textId="0B7B36BA" w:rsidR="00AF0B50" w:rsidRDefault="00C84E31" w:rsidP="00DB2499">
      <w:pPr>
        <w:jc w:val="both"/>
        <w:rPr>
          <w:rFonts w:cs="Arial"/>
        </w:rPr>
      </w:pPr>
      <w:r w:rsidRPr="001A6B85">
        <w:rPr>
          <w:rFonts w:cs="Arial"/>
          <w:noProof/>
        </w:rPr>
        <w:drawing>
          <wp:anchor distT="0" distB="0" distL="114300" distR="114300" simplePos="0" relativeHeight="251658240" behindDoc="0" locked="0" layoutInCell="1" allowOverlap="1" wp14:anchorId="5B14E3E5" wp14:editId="1E4A2857">
            <wp:simplePos x="0" y="0"/>
            <wp:positionH relativeFrom="column">
              <wp:posOffset>114300</wp:posOffset>
            </wp:positionH>
            <wp:positionV relativeFrom="paragraph">
              <wp:posOffset>8255</wp:posOffset>
            </wp:positionV>
            <wp:extent cx="1924050" cy="362585"/>
            <wp:effectExtent l="0" t="0" r="0" b="0"/>
            <wp:wrapSquare wrapText="bothSides"/>
            <wp:docPr id="168670707" name="Picture 1"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70707" name="Picture 1" descr="A close up of a signature&#10;&#10;AI-generated content may be incorrect."/>
                    <pic:cNvPicPr/>
                  </pic:nvPicPr>
                  <pic:blipFill>
                    <a:blip r:embed="rId8" cstate="print">
                      <a:extLst>
                        <a:ext uri="{BEBA8EAE-BF5A-486C-A8C5-ECC9F3942E4B}">
                          <a14:imgProps xmlns:a14="http://schemas.microsoft.com/office/drawing/2010/main">
                            <a14:imgLayer r:embed="rId9">
                              <a14:imgEffect>
                                <a14:artisticPhotocopy trans="0"/>
                              </a14:imgEffect>
                            </a14:imgLayer>
                          </a14:imgProps>
                        </a:ext>
                        <a:ext uri="{28A0092B-C50C-407E-A947-70E740481C1C}">
                          <a14:useLocalDpi xmlns:a14="http://schemas.microsoft.com/office/drawing/2010/main" val="0"/>
                        </a:ext>
                      </a:extLst>
                    </a:blip>
                    <a:stretch>
                      <a:fillRect/>
                    </a:stretch>
                  </pic:blipFill>
                  <pic:spPr>
                    <a:xfrm>
                      <a:off x="0" y="0"/>
                      <a:ext cx="1924050" cy="362585"/>
                    </a:xfrm>
                    <a:prstGeom prst="rect">
                      <a:avLst/>
                    </a:prstGeom>
                  </pic:spPr>
                </pic:pic>
              </a:graphicData>
            </a:graphic>
            <wp14:sizeRelH relativeFrom="margin">
              <wp14:pctWidth>0</wp14:pctWidth>
            </wp14:sizeRelH>
            <wp14:sizeRelV relativeFrom="margin">
              <wp14:pctHeight>0</wp14:pctHeight>
            </wp14:sizeRelV>
          </wp:anchor>
        </w:drawing>
      </w:r>
      <w:r w:rsidR="00D2498F">
        <w:rPr>
          <w:noProof/>
        </w:rPr>
        <mc:AlternateContent>
          <mc:Choice Requires="wps">
            <w:drawing>
              <wp:inline distT="0" distB="0" distL="0" distR="0" wp14:anchorId="67C03D67" wp14:editId="709F999A">
                <wp:extent cx="307340" cy="307340"/>
                <wp:effectExtent l="0" t="0" r="0" b="0"/>
                <wp:docPr id="183552610"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19E47E" id="Rectangle 1"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r w:rsidR="001A6B85" w:rsidRPr="001A6B85">
        <w:rPr>
          <w:noProof/>
        </w:rPr>
        <w:t xml:space="preserve"> </w:t>
      </w:r>
    </w:p>
    <w:p w14:paraId="39E0427F" w14:textId="2DA5959A" w:rsidR="00AF0B50" w:rsidRPr="00AF0B50" w:rsidRDefault="00AF0B50" w:rsidP="00DB2499">
      <w:pPr>
        <w:jc w:val="both"/>
        <w:rPr>
          <w:rFonts w:cs="Arial"/>
        </w:rPr>
      </w:pPr>
      <w:r>
        <w:rPr>
          <w:rFonts w:cs="Arial"/>
        </w:rPr>
        <w:t>Doug MacLaren</w:t>
      </w:r>
      <w:r w:rsidR="001A6B85">
        <w:rPr>
          <w:rFonts w:cs="Arial"/>
        </w:rPr>
        <w:t>, Treasurer – New Life Assembly Petrolia</w:t>
      </w:r>
    </w:p>
    <w:sectPr w:rsidR="00AF0B50" w:rsidRPr="00AF0B50">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833A0" w14:textId="77777777" w:rsidR="009F3BF1" w:rsidRDefault="009F3BF1" w:rsidP="007B6809">
      <w:pPr>
        <w:spacing w:after="0" w:line="240" w:lineRule="auto"/>
      </w:pPr>
      <w:r>
        <w:separator/>
      </w:r>
    </w:p>
  </w:endnote>
  <w:endnote w:type="continuationSeparator" w:id="0">
    <w:p w14:paraId="26681033" w14:textId="77777777" w:rsidR="009F3BF1" w:rsidRDefault="009F3BF1" w:rsidP="007B6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body">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C82F4" w14:textId="77777777" w:rsidR="009F3BF1" w:rsidRDefault="009F3BF1" w:rsidP="007B6809">
      <w:pPr>
        <w:spacing w:after="0" w:line="240" w:lineRule="auto"/>
      </w:pPr>
      <w:r>
        <w:separator/>
      </w:r>
    </w:p>
  </w:footnote>
  <w:footnote w:type="continuationSeparator" w:id="0">
    <w:p w14:paraId="29A7E3EF" w14:textId="77777777" w:rsidR="009F3BF1" w:rsidRDefault="009F3BF1" w:rsidP="007B6809">
      <w:pPr>
        <w:spacing w:after="0" w:line="240" w:lineRule="auto"/>
      </w:pPr>
      <w:r>
        <w:continuationSeparator/>
      </w:r>
    </w:p>
  </w:footnote>
  <w:footnote w:id="1">
    <w:p w14:paraId="446C67D6" w14:textId="7AA49310" w:rsidR="007B6809" w:rsidRPr="00200DB7" w:rsidRDefault="007B6809" w:rsidP="00200DB7">
      <w:pPr>
        <w:rPr>
          <w:rFonts w:cs="Arial"/>
          <w:sz w:val="16"/>
          <w:szCs w:val="16"/>
        </w:rPr>
      </w:pPr>
      <w:r w:rsidRPr="00200DB7">
        <w:rPr>
          <w:rStyle w:val="FootnoteReference"/>
          <w:sz w:val="16"/>
          <w:szCs w:val="16"/>
        </w:rPr>
        <w:footnoteRef/>
      </w:r>
      <w:r w:rsidRPr="00200DB7">
        <w:rPr>
          <w:sz w:val="16"/>
          <w:szCs w:val="16"/>
        </w:rPr>
        <w:t xml:space="preserve"> </w:t>
      </w:r>
      <w:r w:rsidRPr="00200DB7">
        <w:rPr>
          <w:rFonts w:cs="Arial"/>
          <w:sz w:val="16"/>
          <w:szCs w:val="16"/>
        </w:rPr>
        <w:t>BDO determines which expenses can be moved to asset lines within the balance sheet per accepted accounting practices</w:t>
      </w:r>
      <w:r w:rsidR="005C3F19" w:rsidRPr="00200DB7">
        <w:rPr>
          <w:rFonts w:cs="Arial"/>
          <w:sz w:val="16"/>
          <w:szCs w:val="16"/>
        </w:rPr>
        <w:t>.</w:t>
      </w:r>
    </w:p>
  </w:footnote>
  <w:footnote w:id="2">
    <w:p w14:paraId="0010EAEC" w14:textId="49E4C038" w:rsidR="00A17D58" w:rsidRPr="00200DB7" w:rsidRDefault="00A17D58" w:rsidP="00200DB7">
      <w:pPr>
        <w:pStyle w:val="FootnoteText"/>
        <w:rPr>
          <w:sz w:val="16"/>
          <w:szCs w:val="16"/>
        </w:rPr>
      </w:pPr>
      <w:r w:rsidRPr="00200DB7">
        <w:rPr>
          <w:rStyle w:val="FootnoteReference"/>
          <w:sz w:val="16"/>
          <w:szCs w:val="16"/>
        </w:rPr>
        <w:footnoteRef/>
      </w:r>
      <w:r w:rsidRPr="00200DB7">
        <w:rPr>
          <w:sz w:val="16"/>
          <w:szCs w:val="16"/>
        </w:rPr>
        <w:t xml:space="preserve"> NLA Total Asset Value is likely understated as there has not been a formal appraisal of building and land in over 10 years.</w:t>
      </w:r>
    </w:p>
  </w:footnote>
  <w:footnote w:id="3">
    <w:p w14:paraId="40AA03F2" w14:textId="2C9547B6" w:rsidR="00FD3ECD" w:rsidRDefault="00FD3ECD" w:rsidP="00200DB7">
      <w:pPr>
        <w:pStyle w:val="FootnoteText"/>
      </w:pPr>
      <w:r w:rsidRPr="00200DB7">
        <w:rPr>
          <w:rStyle w:val="FootnoteReference"/>
          <w:sz w:val="16"/>
          <w:szCs w:val="16"/>
        </w:rPr>
        <w:footnoteRef/>
      </w:r>
      <w:r w:rsidRPr="00200DB7">
        <w:rPr>
          <w:sz w:val="16"/>
          <w:szCs w:val="16"/>
        </w:rPr>
        <w:t xml:space="preserve"> HST is not an eligible capital expense. The total project cost including HST was $620,251</w:t>
      </w:r>
    </w:p>
  </w:footnote>
  <w:footnote w:id="4">
    <w:p w14:paraId="386ACFD4" w14:textId="2C55C84A" w:rsidR="004F25B1" w:rsidRPr="004F25B1" w:rsidRDefault="004F25B1">
      <w:pPr>
        <w:pStyle w:val="FootnoteText"/>
        <w:rPr>
          <w:sz w:val="18"/>
          <w:szCs w:val="18"/>
        </w:rPr>
      </w:pPr>
      <w:r>
        <w:rPr>
          <w:rStyle w:val="FootnoteReference"/>
        </w:rPr>
        <w:footnoteRef/>
      </w:r>
      <w:r>
        <w:t xml:space="preserve"> </w:t>
      </w:r>
      <w:r w:rsidRPr="004F25B1">
        <w:rPr>
          <w:sz w:val="18"/>
          <w:szCs w:val="18"/>
        </w:rPr>
        <w:t>These were previously separated into two separate tables requiring a summing to see total operational costs &amp; expenditures.</w:t>
      </w:r>
      <w:r w:rsidR="009E61BD">
        <w:rPr>
          <w:sz w:val="18"/>
          <w:szCs w:val="18"/>
        </w:rPr>
        <w:t xml:space="preserve"> </w:t>
      </w:r>
      <w:r w:rsidRPr="004F25B1">
        <w:rPr>
          <w:sz w:val="18"/>
          <w:szCs w:val="18"/>
        </w:rPr>
        <w:t xml:space="preserve">The detail on the disbursement of </w:t>
      </w:r>
      <w:r w:rsidR="009E61BD">
        <w:rPr>
          <w:sz w:val="18"/>
          <w:szCs w:val="18"/>
        </w:rPr>
        <w:t>M</w:t>
      </w:r>
      <w:r w:rsidRPr="004F25B1">
        <w:rPr>
          <w:sz w:val="18"/>
          <w:szCs w:val="18"/>
        </w:rPr>
        <w:t>issions funds is shown on page 6 of the report</w:t>
      </w:r>
      <w:r w:rsidR="00544984">
        <w:rPr>
          <w:sz w:val="18"/>
          <w:szCs w:val="18"/>
        </w:rPr>
        <w:t>.</w:t>
      </w:r>
    </w:p>
  </w:footnote>
  <w:footnote w:id="5">
    <w:p w14:paraId="189E5672" w14:textId="71F18922" w:rsidR="005F4A80" w:rsidRDefault="005F4A80" w:rsidP="005F4A80">
      <w:pPr>
        <w:pStyle w:val="FootnoteText"/>
      </w:pPr>
      <w:r>
        <w:rPr>
          <w:rStyle w:val="FootnoteReference"/>
        </w:rPr>
        <w:footnoteRef/>
      </w:r>
      <w:r>
        <w:t xml:space="preserve"> </w:t>
      </w:r>
      <w:r w:rsidRPr="00964B58">
        <w:rPr>
          <w:sz w:val="18"/>
          <w:szCs w:val="18"/>
        </w:rPr>
        <w:t xml:space="preserve">Any surplus funds from the operation of these programs </w:t>
      </w:r>
      <w:r w:rsidR="00E20014" w:rsidRPr="00964B58">
        <w:rPr>
          <w:sz w:val="18"/>
          <w:szCs w:val="18"/>
        </w:rPr>
        <w:t>are</w:t>
      </w:r>
      <w:r w:rsidRPr="00964B58">
        <w:rPr>
          <w:sz w:val="18"/>
          <w:szCs w:val="18"/>
        </w:rPr>
        <w:t xml:space="preserve"> applied to other NLA ministries</w:t>
      </w:r>
      <w:r w:rsidR="00544984">
        <w:rPr>
          <w:sz w:val="18"/>
          <w:szCs w:val="18"/>
        </w:rPr>
        <w:t>.</w:t>
      </w:r>
    </w:p>
  </w:footnote>
  <w:footnote w:id="6">
    <w:p w14:paraId="75611965" w14:textId="32007B29" w:rsidR="00C67F7D" w:rsidRDefault="00C67F7D">
      <w:pPr>
        <w:pStyle w:val="FootnoteText"/>
      </w:pPr>
      <w:r>
        <w:rPr>
          <w:rStyle w:val="FootnoteReference"/>
        </w:rPr>
        <w:footnoteRef/>
      </w:r>
      <w:r>
        <w:t xml:space="preserve"> </w:t>
      </w:r>
      <w:r w:rsidRPr="0051524B">
        <w:rPr>
          <w:sz w:val="18"/>
          <w:szCs w:val="18"/>
        </w:rPr>
        <w:t>An additional $7,</w:t>
      </w:r>
      <w:r w:rsidR="009510F7">
        <w:rPr>
          <w:sz w:val="18"/>
          <w:szCs w:val="18"/>
        </w:rPr>
        <w:t>078</w:t>
      </w:r>
      <w:r w:rsidRPr="0051524B">
        <w:rPr>
          <w:sz w:val="18"/>
          <w:szCs w:val="18"/>
        </w:rPr>
        <w:t xml:space="preserve"> was raised in 2024 making the total </w:t>
      </w:r>
      <w:r w:rsidR="00E01503" w:rsidRPr="0051524B">
        <w:rPr>
          <w:sz w:val="18"/>
          <w:szCs w:val="18"/>
        </w:rPr>
        <w:t>more than</w:t>
      </w:r>
      <w:r w:rsidRPr="0051524B">
        <w:rPr>
          <w:sz w:val="18"/>
          <w:szCs w:val="18"/>
        </w:rPr>
        <w:t xml:space="preserve"> the $150,000 target</w:t>
      </w:r>
      <w:r w:rsidR="0051524B" w:rsidRPr="0051524B">
        <w:rPr>
          <w:sz w:val="18"/>
          <w:szCs w:val="18"/>
        </w:rPr>
        <w:t>.</w:t>
      </w:r>
      <w:r w:rsidRPr="0051524B">
        <w:rPr>
          <w:sz w:val="18"/>
          <w:szCs w:val="18"/>
        </w:rPr>
        <w:t xml:space="preserve"> </w:t>
      </w:r>
    </w:p>
  </w:footnote>
  <w:footnote w:id="7">
    <w:p w14:paraId="05DC7BD4" w14:textId="4494AEA6" w:rsidR="004B1C60" w:rsidRDefault="004B1C60">
      <w:pPr>
        <w:pStyle w:val="FootnoteText"/>
      </w:pPr>
      <w:r w:rsidRPr="003668E1">
        <w:rPr>
          <w:rStyle w:val="FootnoteReference"/>
          <w:sz w:val="18"/>
          <w:szCs w:val="18"/>
        </w:rPr>
        <w:footnoteRef/>
      </w:r>
      <w:r w:rsidRPr="003668E1">
        <w:rPr>
          <w:sz w:val="18"/>
          <w:szCs w:val="18"/>
        </w:rPr>
        <w:t xml:space="preserve"> </w:t>
      </w:r>
      <w:r w:rsidR="00930456" w:rsidRPr="00930456">
        <w:rPr>
          <w:i/>
          <w:iCs/>
          <w:sz w:val="18"/>
          <w:szCs w:val="18"/>
        </w:rPr>
        <w:t>N.B.</w:t>
      </w:r>
      <w:r w:rsidR="00930456">
        <w:rPr>
          <w:sz w:val="18"/>
          <w:szCs w:val="18"/>
        </w:rPr>
        <w:t xml:space="preserve"> </w:t>
      </w:r>
      <w:r w:rsidR="00A96321">
        <w:rPr>
          <w:sz w:val="18"/>
          <w:szCs w:val="18"/>
        </w:rPr>
        <w:t>Only the</w:t>
      </w:r>
      <w:r w:rsidR="00A72800">
        <w:rPr>
          <w:sz w:val="18"/>
          <w:szCs w:val="18"/>
        </w:rPr>
        <w:t xml:space="preserve"> net project cost</w:t>
      </w:r>
      <w:r w:rsidR="00502EFA" w:rsidRPr="003668E1">
        <w:rPr>
          <w:sz w:val="18"/>
          <w:szCs w:val="18"/>
        </w:rPr>
        <w:t xml:space="preserve"> </w:t>
      </w:r>
      <w:r w:rsidR="00A96321">
        <w:rPr>
          <w:sz w:val="18"/>
          <w:szCs w:val="18"/>
        </w:rPr>
        <w:t>(ex. HST) can be</w:t>
      </w:r>
      <w:r w:rsidR="00A72800">
        <w:rPr>
          <w:sz w:val="18"/>
          <w:szCs w:val="18"/>
        </w:rPr>
        <w:t xml:space="preserve"> transferred to the parking lot asset </w:t>
      </w:r>
      <w:r w:rsidR="00AD3236">
        <w:rPr>
          <w:sz w:val="18"/>
          <w:szCs w:val="18"/>
        </w:rPr>
        <w:t xml:space="preserve">as </w:t>
      </w:r>
      <w:r w:rsidR="00502EFA" w:rsidRPr="003668E1">
        <w:rPr>
          <w:sz w:val="18"/>
          <w:szCs w:val="18"/>
        </w:rPr>
        <w:t>discussed in the earlier section of this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911625355"/>
      <w:docPartObj>
        <w:docPartGallery w:val="Page Numbers (Top of Page)"/>
        <w:docPartUnique/>
      </w:docPartObj>
    </w:sdtPr>
    <w:sdtEndPr>
      <w:rPr>
        <w:color w:val="7F7F7F" w:themeColor="background1" w:themeShade="7F"/>
        <w:spacing w:val="60"/>
      </w:rPr>
    </w:sdtEndPr>
    <w:sdtContent>
      <w:p w14:paraId="7B5BD25D" w14:textId="18138506" w:rsidR="007B6809" w:rsidRPr="007B6809" w:rsidRDefault="007B6809">
        <w:pPr>
          <w:pStyle w:val="Header"/>
          <w:pBdr>
            <w:bottom w:val="single" w:sz="4" w:space="1" w:color="D9D9D9" w:themeColor="background1" w:themeShade="D9"/>
          </w:pBdr>
          <w:rPr>
            <w:b/>
            <w:bCs/>
            <w:sz w:val="20"/>
            <w:szCs w:val="20"/>
          </w:rPr>
        </w:pPr>
        <w:r w:rsidRPr="007B6809">
          <w:rPr>
            <w:sz w:val="20"/>
            <w:szCs w:val="20"/>
          </w:rPr>
          <w:fldChar w:fldCharType="begin"/>
        </w:r>
        <w:r w:rsidRPr="007B6809">
          <w:rPr>
            <w:sz w:val="20"/>
            <w:szCs w:val="20"/>
          </w:rPr>
          <w:instrText xml:space="preserve"> PAGE   \* MERGEFORMAT </w:instrText>
        </w:r>
        <w:r w:rsidRPr="007B6809">
          <w:rPr>
            <w:sz w:val="20"/>
            <w:szCs w:val="20"/>
          </w:rPr>
          <w:fldChar w:fldCharType="separate"/>
        </w:r>
        <w:r w:rsidRPr="007B6809">
          <w:rPr>
            <w:b/>
            <w:bCs/>
            <w:noProof/>
            <w:sz w:val="20"/>
            <w:szCs w:val="20"/>
          </w:rPr>
          <w:t>2</w:t>
        </w:r>
        <w:r w:rsidRPr="007B6809">
          <w:rPr>
            <w:b/>
            <w:bCs/>
            <w:noProof/>
            <w:sz w:val="20"/>
            <w:szCs w:val="20"/>
          </w:rPr>
          <w:fldChar w:fldCharType="end"/>
        </w:r>
        <w:r w:rsidRPr="007B6809">
          <w:rPr>
            <w:b/>
            <w:bCs/>
            <w:sz w:val="20"/>
            <w:szCs w:val="20"/>
          </w:rPr>
          <w:t xml:space="preserve"> | </w:t>
        </w:r>
        <w:r w:rsidRPr="007B6809">
          <w:rPr>
            <w:color w:val="7F7F7F" w:themeColor="background1" w:themeShade="7F"/>
            <w:spacing w:val="60"/>
            <w:sz w:val="20"/>
            <w:szCs w:val="20"/>
          </w:rPr>
          <w:t>New Life Assembly 202</w:t>
        </w:r>
        <w:r w:rsidR="000F7A7D">
          <w:rPr>
            <w:color w:val="7F7F7F" w:themeColor="background1" w:themeShade="7F"/>
            <w:spacing w:val="60"/>
            <w:sz w:val="20"/>
            <w:szCs w:val="20"/>
          </w:rPr>
          <w:t>5</w:t>
        </w:r>
        <w:r w:rsidRPr="007B6809">
          <w:rPr>
            <w:color w:val="7F7F7F" w:themeColor="background1" w:themeShade="7F"/>
            <w:spacing w:val="60"/>
            <w:sz w:val="20"/>
            <w:szCs w:val="20"/>
          </w:rPr>
          <w:t xml:space="preserve"> Financial Addendum</w:t>
        </w:r>
      </w:p>
    </w:sdtContent>
  </w:sdt>
  <w:p w14:paraId="06FB8972" w14:textId="2F4D7AE6" w:rsidR="007B6809" w:rsidRDefault="007B68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0413"/>
    <w:multiLevelType w:val="hybridMultilevel"/>
    <w:tmpl w:val="1788338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B546B4"/>
    <w:multiLevelType w:val="multilevel"/>
    <w:tmpl w:val="5176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00829"/>
    <w:multiLevelType w:val="hybridMultilevel"/>
    <w:tmpl w:val="6DA4A7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0D07372"/>
    <w:multiLevelType w:val="hybridMultilevel"/>
    <w:tmpl w:val="F3D242D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217F2BE4"/>
    <w:multiLevelType w:val="multilevel"/>
    <w:tmpl w:val="06BA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54E0A"/>
    <w:multiLevelType w:val="hybridMultilevel"/>
    <w:tmpl w:val="489C1C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5E330EE"/>
    <w:multiLevelType w:val="hybridMultilevel"/>
    <w:tmpl w:val="43B4B12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36F91D48"/>
    <w:multiLevelType w:val="hybridMultilevel"/>
    <w:tmpl w:val="235E2B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8CF2D83"/>
    <w:multiLevelType w:val="hybridMultilevel"/>
    <w:tmpl w:val="DF7E92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9" w15:restartNumberingAfterBreak="0">
    <w:nsid w:val="48244C84"/>
    <w:multiLevelType w:val="hybridMultilevel"/>
    <w:tmpl w:val="B56ED2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39F3CF8"/>
    <w:multiLevelType w:val="hybridMultilevel"/>
    <w:tmpl w:val="75282396"/>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53F93290"/>
    <w:multiLevelType w:val="hybridMultilevel"/>
    <w:tmpl w:val="D76AA8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8976175"/>
    <w:multiLevelType w:val="hybridMultilevel"/>
    <w:tmpl w:val="09DEDE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AD43F51"/>
    <w:multiLevelType w:val="hybridMultilevel"/>
    <w:tmpl w:val="9132D70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7A6130A"/>
    <w:multiLevelType w:val="hybridMultilevel"/>
    <w:tmpl w:val="10DE695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97B427E"/>
    <w:multiLevelType w:val="hybridMultilevel"/>
    <w:tmpl w:val="9E56EF6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00266360">
    <w:abstractNumId w:val="1"/>
  </w:num>
  <w:num w:numId="2" w16cid:durableId="723144982">
    <w:abstractNumId w:val="4"/>
  </w:num>
  <w:num w:numId="3" w16cid:durableId="423503469">
    <w:abstractNumId w:val="10"/>
  </w:num>
  <w:num w:numId="4" w16cid:durableId="1117984903">
    <w:abstractNumId w:val="6"/>
  </w:num>
  <w:num w:numId="5" w16cid:durableId="724722124">
    <w:abstractNumId w:val="2"/>
  </w:num>
  <w:num w:numId="6" w16cid:durableId="1164316457">
    <w:abstractNumId w:val="13"/>
  </w:num>
  <w:num w:numId="7" w16cid:durableId="1719087935">
    <w:abstractNumId w:val="9"/>
  </w:num>
  <w:num w:numId="8" w16cid:durableId="908078815">
    <w:abstractNumId w:val="11"/>
  </w:num>
  <w:num w:numId="9" w16cid:durableId="1180578906">
    <w:abstractNumId w:val="5"/>
  </w:num>
  <w:num w:numId="10" w16cid:durableId="195050017">
    <w:abstractNumId w:val="7"/>
  </w:num>
  <w:num w:numId="11" w16cid:durableId="1880169754">
    <w:abstractNumId w:val="3"/>
  </w:num>
  <w:num w:numId="12" w16cid:durableId="214001836">
    <w:abstractNumId w:val="14"/>
  </w:num>
  <w:num w:numId="13" w16cid:durableId="846334994">
    <w:abstractNumId w:val="8"/>
  </w:num>
  <w:num w:numId="14" w16cid:durableId="1303190369">
    <w:abstractNumId w:val="0"/>
  </w:num>
  <w:num w:numId="15" w16cid:durableId="712970559">
    <w:abstractNumId w:val="12"/>
  </w:num>
  <w:num w:numId="16" w16cid:durableId="4847061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B62"/>
    <w:rsid w:val="000028EC"/>
    <w:rsid w:val="00012514"/>
    <w:rsid w:val="00015996"/>
    <w:rsid w:val="0002261E"/>
    <w:rsid w:val="000316FD"/>
    <w:rsid w:val="00045689"/>
    <w:rsid w:val="00045BA6"/>
    <w:rsid w:val="00062241"/>
    <w:rsid w:val="00080F7F"/>
    <w:rsid w:val="00091E9A"/>
    <w:rsid w:val="000A5F18"/>
    <w:rsid w:val="000C04B6"/>
    <w:rsid w:val="000C4292"/>
    <w:rsid w:val="000D2433"/>
    <w:rsid w:val="000D2D3B"/>
    <w:rsid w:val="000E7124"/>
    <w:rsid w:val="000F4265"/>
    <w:rsid w:val="000F5E47"/>
    <w:rsid w:val="000F7A1F"/>
    <w:rsid w:val="000F7A7D"/>
    <w:rsid w:val="001040AA"/>
    <w:rsid w:val="00113F9B"/>
    <w:rsid w:val="001203C7"/>
    <w:rsid w:val="00126FD2"/>
    <w:rsid w:val="001443BA"/>
    <w:rsid w:val="00145DE6"/>
    <w:rsid w:val="001603E8"/>
    <w:rsid w:val="00164F77"/>
    <w:rsid w:val="00165982"/>
    <w:rsid w:val="00172043"/>
    <w:rsid w:val="00182F33"/>
    <w:rsid w:val="001A387A"/>
    <w:rsid w:val="001A6B85"/>
    <w:rsid w:val="001B3BB8"/>
    <w:rsid w:val="001B53C7"/>
    <w:rsid w:val="001C6B76"/>
    <w:rsid w:val="001C7AD5"/>
    <w:rsid w:val="001D401F"/>
    <w:rsid w:val="001D6815"/>
    <w:rsid w:val="00200DB7"/>
    <w:rsid w:val="00216B03"/>
    <w:rsid w:val="002247F9"/>
    <w:rsid w:val="00225AD6"/>
    <w:rsid w:val="002324B0"/>
    <w:rsid w:val="00232FD1"/>
    <w:rsid w:val="00245A52"/>
    <w:rsid w:val="00246720"/>
    <w:rsid w:val="0025776E"/>
    <w:rsid w:val="00262531"/>
    <w:rsid w:val="00270899"/>
    <w:rsid w:val="00276A7B"/>
    <w:rsid w:val="0027768A"/>
    <w:rsid w:val="00284E2A"/>
    <w:rsid w:val="00287CBD"/>
    <w:rsid w:val="002A54DF"/>
    <w:rsid w:val="002F1ABB"/>
    <w:rsid w:val="002F27E5"/>
    <w:rsid w:val="002F482C"/>
    <w:rsid w:val="002F7B69"/>
    <w:rsid w:val="00310A2D"/>
    <w:rsid w:val="003237BC"/>
    <w:rsid w:val="00341AA9"/>
    <w:rsid w:val="00345E2D"/>
    <w:rsid w:val="00347961"/>
    <w:rsid w:val="0035076C"/>
    <w:rsid w:val="00357F71"/>
    <w:rsid w:val="003668E1"/>
    <w:rsid w:val="00375DDB"/>
    <w:rsid w:val="00377DFE"/>
    <w:rsid w:val="003E4DF3"/>
    <w:rsid w:val="003F417F"/>
    <w:rsid w:val="00417BD7"/>
    <w:rsid w:val="00423F93"/>
    <w:rsid w:val="00436549"/>
    <w:rsid w:val="004444EA"/>
    <w:rsid w:val="0045046F"/>
    <w:rsid w:val="00450EE0"/>
    <w:rsid w:val="00451886"/>
    <w:rsid w:val="004536BA"/>
    <w:rsid w:val="0045762E"/>
    <w:rsid w:val="00472F64"/>
    <w:rsid w:val="00484F60"/>
    <w:rsid w:val="00487985"/>
    <w:rsid w:val="00492977"/>
    <w:rsid w:val="004A1677"/>
    <w:rsid w:val="004A7BEB"/>
    <w:rsid w:val="004B1C60"/>
    <w:rsid w:val="004C713C"/>
    <w:rsid w:val="004D1F6C"/>
    <w:rsid w:val="004E4277"/>
    <w:rsid w:val="004F25B1"/>
    <w:rsid w:val="00502EFA"/>
    <w:rsid w:val="00506E1C"/>
    <w:rsid w:val="0051524B"/>
    <w:rsid w:val="00522399"/>
    <w:rsid w:val="00523CD1"/>
    <w:rsid w:val="00523D4C"/>
    <w:rsid w:val="00526822"/>
    <w:rsid w:val="00543648"/>
    <w:rsid w:val="00544984"/>
    <w:rsid w:val="00546B78"/>
    <w:rsid w:val="00554A4F"/>
    <w:rsid w:val="005652F4"/>
    <w:rsid w:val="005832EC"/>
    <w:rsid w:val="0059670F"/>
    <w:rsid w:val="005A1D6E"/>
    <w:rsid w:val="005A32AE"/>
    <w:rsid w:val="005A4AD7"/>
    <w:rsid w:val="005A57F5"/>
    <w:rsid w:val="005C3F19"/>
    <w:rsid w:val="005D55E7"/>
    <w:rsid w:val="005E69DE"/>
    <w:rsid w:val="005F4A80"/>
    <w:rsid w:val="005F729A"/>
    <w:rsid w:val="00601826"/>
    <w:rsid w:val="00607322"/>
    <w:rsid w:val="00615810"/>
    <w:rsid w:val="00625163"/>
    <w:rsid w:val="006277C9"/>
    <w:rsid w:val="00630233"/>
    <w:rsid w:val="0063735B"/>
    <w:rsid w:val="00681D14"/>
    <w:rsid w:val="00687D3E"/>
    <w:rsid w:val="006A6909"/>
    <w:rsid w:val="006C70AC"/>
    <w:rsid w:val="006D3784"/>
    <w:rsid w:val="006E1D03"/>
    <w:rsid w:val="006E2F4D"/>
    <w:rsid w:val="0072060B"/>
    <w:rsid w:val="00720CC4"/>
    <w:rsid w:val="00727E19"/>
    <w:rsid w:val="00740FD4"/>
    <w:rsid w:val="007438AA"/>
    <w:rsid w:val="00744A0B"/>
    <w:rsid w:val="00746479"/>
    <w:rsid w:val="00761A1F"/>
    <w:rsid w:val="007620F9"/>
    <w:rsid w:val="00764387"/>
    <w:rsid w:val="00767FFC"/>
    <w:rsid w:val="00772F23"/>
    <w:rsid w:val="00774585"/>
    <w:rsid w:val="007849B2"/>
    <w:rsid w:val="00785317"/>
    <w:rsid w:val="00787673"/>
    <w:rsid w:val="00796B2D"/>
    <w:rsid w:val="007A4BCC"/>
    <w:rsid w:val="007B3C8D"/>
    <w:rsid w:val="007B6809"/>
    <w:rsid w:val="007C27D8"/>
    <w:rsid w:val="007C5CDD"/>
    <w:rsid w:val="007C6FE8"/>
    <w:rsid w:val="007D6158"/>
    <w:rsid w:val="007E0E1A"/>
    <w:rsid w:val="007E49F2"/>
    <w:rsid w:val="007E5404"/>
    <w:rsid w:val="00802860"/>
    <w:rsid w:val="0080778D"/>
    <w:rsid w:val="008115D7"/>
    <w:rsid w:val="00823438"/>
    <w:rsid w:val="00825B62"/>
    <w:rsid w:val="008369A5"/>
    <w:rsid w:val="0084137A"/>
    <w:rsid w:val="0084466E"/>
    <w:rsid w:val="008550E0"/>
    <w:rsid w:val="00860CAF"/>
    <w:rsid w:val="00862413"/>
    <w:rsid w:val="008701EB"/>
    <w:rsid w:val="008764D9"/>
    <w:rsid w:val="008941ED"/>
    <w:rsid w:val="008A0A33"/>
    <w:rsid w:val="008A1490"/>
    <w:rsid w:val="008B17A8"/>
    <w:rsid w:val="008B58B5"/>
    <w:rsid w:val="008C0C25"/>
    <w:rsid w:val="008D5EDA"/>
    <w:rsid w:val="008E313C"/>
    <w:rsid w:val="008F2F82"/>
    <w:rsid w:val="00904DAA"/>
    <w:rsid w:val="00914CD0"/>
    <w:rsid w:val="009200B6"/>
    <w:rsid w:val="00920614"/>
    <w:rsid w:val="00930456"/>
    <w:rsid w:val="00930B32"/>
    <w:rsid w:val="00945CDD"/>
    <w:rsid w:val="009510F7"/>
    <w:rsid w:val="00964B58"/>
    <w:rsid w:val="009804D4"/>
    <w:rsid w:val="00980AEB"/>
    <w:rsid w:val="009945A4"/>
    <w:rsid w:val="009A4001"/>
    <w:rsid w:val="009A4F34"/>
    <w:rsid w:val="009B36F5"/>
    <w:rsid w:val="009B58FB"/>
    <w:rsid w:val="009B5B61"/>
    <w:rsid w:val="009B75D3"/>
    <w:rsid w:val="009C2550"/>
    <w:rsid w:val="009C7085"/>
    <w:rsid w:val="009C74C5"/>
    <w:rsid w:val="009D223F"/>
    <w:rsid w:val="009D2692"/>
    <w:rsid w:val="009D5B0F"/>
    <w:rsid w:val="009D65D9"/>
    <w:rsid w:val="009E0889"/>
    <w:rsid w:val="009E33E9"/>
    <w:rsid w:val="009E5B13"/>
    <w:rsid w:val="009E61BD"/>
    <w:rsid w:val="009E7B40"/>
    <w:rsid w:val="009F3BF1"/>
    <w:rsid w:val="00A07359"/>
    <w:rsid w:val="00A13C1F"/>
    <w:rsid w:val="00A163E8"/>
    <w:rsid w:val="00A17D58"/>
    <w:rsid w:val="00A214F0"/>
    <w:rsid w:val="00A34AD8"/>
    <w:rsid w:val="00A42536"/>
    <w:rsid w:val="00A47DE7"/>
    <w:rsid w:val="00A64436"/>
    <w:rsid w:val="00A6645C"/>
    <w:rsid w:val="00A67422"/>
    <w:rsid w:val="00A67DE2"/>
    <w:rsid w:val="00A72800"/>
    <w:rsid w:val="00A7721E"/>
    <w:rsid w:val="00A9365E"/>
    <w:rsid w:val="00A93A95"/>
    <w:rsid w:val="00A96321"/>
    <w:rsid w:val="00AA3D38"/>
    <w:rsid w:val="00AA5459"/>
    <w:rsid w:val="00AB2699"/>
    <w:rsid w:val="00AC5BDF"/>
    <w:rsid w:val="00AC681F"/>
    <w:rsid w:val="00AD0F47"/>
    <w:rsid w:val="00AD2E4D"/>
    <w:rsid w:val="00AD3236"/>
    <w:rsid w:val="00AE1312"/>
    <w:rsid w:val="00AF0B50"/>
    <w:rsid w:val="00B056BD"/>
    <w:rsid w:val="00B12AE7"/>
    <w:rsid w:val="00B1381A"/>
    <w:rsid w:val="00B265B6"/>
    <w:rsid w:val="00B313F3"/>
    <w:rsid w:val="00B361B0"/>
    <w:rsid w:val="00B54B66"/>
    <w:rsid w:val="00B57418"/>
    <w:rsid w:val="00B575B3"/>
    <w:rsid w:val="00B77EA6"/>
    <w:rsid w:val="00BA3803"/>
    <w:rsid w:val="00BB5545"/>
    <w:rsid w:val="00BB5A9E"/>
    <w:rsid w:val="00BE3C50"/>
    <w:rsid w:val="00BF26B8"/>
    <w:rsid w:val="00BF6728"/>
    <w:rsid w:val="00C02B35"/>
    <w:rsid w:val="00C10B41"/>
    <w:rsid w:val="00C127C7"/>
    <w:rsid w:val="00C436CA"/>
    <w:rsid w:val="00C452DE"/>
    <w:rsid w:val="00C52B34"/>
    <w:rsid w:val="00C559ED"/>
    <w:rsid w:val="00C67F7D"/>
    <w:rsid w:val="00C72B28"/>
    <w:rsid w:val="00C72C74"/>
    <w:rsid w:val="00C77834"/>
    <w:rsid w:val="00C84E31"/>
    <w:rsid w:val="00C85E6B"/>
    <w:rsid w:val="00C86698"/>
    <w:rsid w:val="00C96E2C"/>
    <w:rsid w:val="00CC79D9"/>
    <w:rsid w:val="00CD5F17"/>
    <w:rsid w:val="00CE05DD"/>
    <w:rsid w:val="00CE1790"/>
    <w:rsid w:val="00CF0BD6"/>
    <w:rsid w:val="00CF3C0C"/>
    <w:rsid w:val="00D046EE"/>
    <w:rsid w:val="00D21E97"/>
    <w:rsid w:val="00D224E0"/>
    <w:rsid w:val="00D2437D"/>
    <w:rsid w:val="00D2498F"/>
    <w:rsid w:val="00D3062F"/>
    <w:rsid w:val="00D3204B"/>
    <w:rsid w:val="00D371AD"/>
    <w:rsid w:val="00D71DF0"/>
    <w:rsid w:val="00D838F0"/>
    <w:rsid w:val="00D94741"/>
    <w:rsid w:val="00D9535D"/>
    <w:rsid w:val="00D97537"/>
    <w:rsid w:val="00DA582C"/>
    <w:rsid w:val="00DB2221"/>
    <w:rsid w:val="00DB2499"/>
    <w:rsid w:val="00DC4AE9"/>
    <w:rsid w:val="00DE6C42"/>
    <w:rsid w:val="00DF1C3E"/>
    <w:rsid w:val="00E01503"/>
    <w:rsid w:val="00E051C3"/>
    <w:rsid w:val="00E20014"/>
    <w:rsid w:val="00E414EF"/>
    <w:rsid w:val="00E425A7"/>
    <w:rsid w:val="00E54522"/>
    <w:rsid w:val="00E804AE"/>
    <w:rsid w:val="00E8653D"/>
    <w:rsid w:val="00E8717C"/>
    <w:rsid w:val="00EA2090"/>
    <w:rsid w:val="00EA62AC"/>
    <w:rsid w:val="00ED051A"/>
    <w:rsid w:val="00ED0EA2"/>
    <w:rsid w:val="00ED2BB4"/>
    <w:rsid w:val="00ED7D15"/>
    <w:rsid w:val="00EF5F1F"/>
    <w:rsid w:val="00F14064"/>
    <w:rsid w:val="00F14816"/>
    <w:rsid w:val="00F179A8"/>
    <w:rsid w:val="00F237E6"/>
    <w:rsid w:val="00F46C65"/>
    <w:rsid w:val="00F5766C"/>
    <w:rsid w:val="00F75C5E"/>
    <w:rsid w:val="00F87F42"/>
    <w:rsid w:val="00FA29C7"/>
    <w:rsid w:val="00FB3CC8"/>
    <w:rsid w:val="00FC2E2B"/>
    <w:rsid w:val="00FC5E3F"/>
    <w:rsid w:val="00FD3ECD"/>
    <w:rsid w:val="00FD728F"/>
    <w:rsid w:val="00FE6ED0"/>
    <w:rsid w:val="00FF1D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AF71D"/>
  <w15:chartTrackingRefBased/>
  <w15:docId w15:val="{99275778-32E3-4DDB-B90C-B662C014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B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5B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5B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B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B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B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B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B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B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B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5B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5B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B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B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B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B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B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B62"/>
    <w:rPr>
      <w:rFonts w:eastAsiaTheme="majorEastAsia" w:cstheme="majorBidi"/>
      <w:color w:val="272727" w:themeColor="text1" w:themeTint="D8"/>
    </w:rPr>
  </w:style>
  <w:style w:type="paragraph" w:styleId="Title">
    <w:name w:val="Title"/>
    <w:basedOn w:val="Normal"/>
    <w:next w:val="Normal"/>
    <w:link w:val="TitleChar"/>
    <w:uiPriority w:val="10"/>
    <w:qFormat/>
    <w:rsid w:val="00825B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B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B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B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B62"/>
    <w:pPr>
      <w:spacing w:before="160"/>
      <w:jc w:val="center"/>
    </w:pPr>
    <w:rPr>
      <w:i/>
      <w:iCs/>
      <w:color w:val="404040" w:themeColor="text1" w:themeTint="BF"/>
    </w:rPr>
  </w:style>
  <w:style w:type="character" w:customStyle="1" w:styleId="QuoteChar">
    <w:name w:val="Quote Char"/>
    <w:basedOn w:val="DefaultParagraphFont"/>
    <w:link w:val="Quote"/>
    <w:uiPriority w:val="29"/>
    <w:rsid w:val="00825B62"/>
    <w:rPr>
      <w:i/>
      <w:iCs/>
      <w:color w:val="404040" w:themeColor="text1" w:themeTint="BF"/>
    </w:rPr>
  </w:style>
  <w:style w:type="paragraph" w:styleId="ListParagraph">
    <w:name w:val="List Paragraph"/>
    <w:basedOn w:val="Normal"/>
    <w:uiPriority w:val="34"/>
    <w:qFormat/>
    <w:rsid w:val="00825B62"/>
    <w:pPr>
      <w:ind w:left="720"/>
      <w:contextualSpacing/>
    </w:pPr>
  </w:style>
  <w:style w:type="character" w:styleId="IntenseEmphasis">
    <w:name w:val="Intense Emphasis"/>
    <w:basedOn w:val="DefaultParagraphFont"/>
    <w:uiPriority w:val="21"/>
    <w:qFormat/>
    <w:rsid w:val="00825B62"/>
    <w:rPr>
      <w:i/>
      <w:iCs/>
      <w:color w:val="0F4761" w:themeColor="accent1" w:themeShade="BF"/>
    </w:rPr>
  </w:style>
  <w:style w:type="paragraph" w:styleId="IntenseQuote">
    <w:name w:val="Intense Quote"/>
    <w:basedOn w:val="Normal"/>
    <w:next w:val="Normal"/>
    <w:link w:val="IntenseQuoteChar"/>
    <w:uiPriority w:val="30"/>
    <w:qFormat/>
    <w:rsid w:val="00825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B62"/>
    <w:rPr>
      <w:i/>
      <w:iCs/>
      <w:color w:val="0F4761" w:themeColor="accent1" w:themeShade="BF"/>
    </w:rPr>
  </w:style>
  <w:style w:type="character" w:styleId="IntenseReference">
    <w:name w:val="Intense Reference"/>
    <w:basedOn w:val="DefaultParagraphFont"/>
    <w:uiPriority w:val="32"/>
    <w:qFormat/>
    <w:rsid w:val="00825B62"/>
    <w:rPr>
      <w:b/>
      <w:bCs/>
      <w:smallCaps/>
      <w:color w:val="0F4761" w:themeColor="accent1" w:themeShade="BF"/>
      <w:spacing w:val="5"/>
    </w:rPr>
  </w:style>
  <w:style w:type="character" w:styleId="Hyperlink">
    <w:name w:val="Hyperlink"/>
    <w:basedOn w:val="DefaultParagraphFont"/>
    <w:uiPriority w:val="99"/>
    <w:unhideWhenUsed/>
    <w:rsid w:val="00825B62"/>
    <w:rPr>
      <w:color w:val="467886" w:themeColor="hyperlink"/>
      <w:u w:val="single"/>
    </w:rPr>
  </w:style>
  <w:style w:type="character" w:styleId="UnresolvedMention">
    <w:name w:val="Unresolved Mention"/>
    <w:basedOn w:val="DefaultParagraphFont"/>
    <w:uiPriority w:val="99"/>
    <w:semiHidden/>
    <w:unhideWhenUsed/>
    <w:rsid w:val="00825B62"/>
    <w:rPr>
      <w:color w:val="605E5C"/>
      <w:shd w:val="clear" w:color="auto" w:fill="E1DFDD"/>
    </w:rPr>
  </w:style>
  <w:style w:type="table" w:styleId="TableGrid">
    <w:name w:val="Table Grid"/>
    <w:basedOn w:val="TableNormal"/>
    <w:uiPriority w:val="39"/>
    <w:rsid w:val="00762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68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809"/>
  </w:style>
  <w:style w:type="paragraph" w:styleId="Footer">
    <w:name w:val="footer"/>
    <w:basedOn w:val="Normal"/>
    <w:link w:val="FooterChar"/>
    <w:uiPriority w:val="99"/>
    <w:unhideWhenUsed/>
    <w:rsid w:val="007B68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809"/>
  </w:style>
  <w:style w:type="paragraph" w:styleId="FootnoteText">
    <w:name w:val="footnote text"/>
    <w:basedOn w:val="Normal"/>
    <w:link w:val="FootnoteTextChar"/>
    <w:uiPriority w:val="99"/>
    <w:semiHidden/>
    <w:unhideWhenUsed/>
    <w:rsid w:val="007B68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6809"/>
    <w:rPr>
      <w:sz w:val="20"/>
      <w:szCs w:val="20"/>
    </w:rPr>
  </w:style>
  <w:style w:type="character" w:styleId="FootnoteReference">
    <w:name w:val="footnote reference"/>
    <w:basedOn w:val="DefaultParagraphFont"/>
    <w:uiPriority w:val="99"/>
    <w:semiHidden/>
    <w:unhideWhenUsed/>
    <w:rsid w:val="007B68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6541">
      <w:bodyDiv w:val="1"/>
      <w:marLeft w:val="0"/>
      <w:marRight w:val="0"/>
      <w:marTop w:val="0"/>
      <w:marBottom w:val="0"/>
      <w:divBdr>
        <w:top w:val="none" w:sz="0" w:space="0" w:color="auto"/>
        <w:left w:val="none" w:sz="0" w:space="0" w:color="auto"/>
        <w:bottom w:val="none" w:sz="0" w:space="0" w:color="auto"/>
        <w:right w:val="none" w:sz="0" w:space="0" w:color="auto"/>
      </w:divBdr>
    </w:div>
    <w:div w:id="219362736">
      <w:bodyDiv w:val="1"/>
      <w:marLeft w:val="0"/>
      <w:marRight w:val="0"/>
      <w:marTop w:val="0"/>
      <w:marBottom w:val="0"/>
      <w:divBdr>
        <w:top w:val="none" w:sz="0" w:space="0" w:color="auto"/>
        <w:left w:val="none" w:sz="0" w:space="0" w:color="auto"/>
        <w:bottom w:val="none" w:sz="0" w:space="0" w:color="auto"/>
        <w:right w:val="none" w:sz="0" w:space="0" w:color="auto"/>
      </w:divBdr>
    </w:div>
    <w:div w:id="615018611">
      <w:bodyDiv w:val="1"/>
      <w:marLeft w:val="0"/>
      <w:marRight w:val="0"/>
      <w:marTop w:val="0"/>
      <w:marBottom w:val="0"/>
      <w:divBdr>
        <w:top w:val="none" w:sz="0" w:space="0" w:color="auto"/>
        <w:left w:val="none" w:sz="0" w:space="0" w:color="auto"/>
        <w:bottom w:val="none" w:sz="0" w:space="0" w:color="auto"/>
        <w:right w:val="none" w:sz="0" w:space="0" w:color="auto"/>
      </w:divBdr>
    </w:div>
    <w:div w:id="779955964">
      <w:bodyDiv w:val="1"/>
      <w:marLeft w:val="0"/>
      <w:marRight w:val="0"/>
      <w:marTop w:val="0"/>
      <w:marBottom w:val="0"/>
      <w:divBdr>
        <w:top w:val="none" w:sz="0" w:space="0" w:color="auto"/>
        <w:left w:val="none" w:sz="0" w:space="0" w:color="auto"/>
        <w:bottom w:val="none" w:sz="0" w:space="0" w:color="auto"/>
        <w:right w:val="none" w:sz="0" w:space="0" w:color="auto"/>
      </w:divBdr>
      <w:divsChild>
        <w:div w:id="1480878782">
          <w:marLeft w:val="0"/>
          <w:marRight w:val="0"/>
          <w:marTop w:val="0"/>
          <w:marBottom w:val="0"/>
          <w:divBdr>
            <w:top w:val="none" w:sz="0" w:space="0" w:color="auto"/>
            <w:left w:val="none" w:sz="0" w:space="0" w:color="auto"/>
            <w:bottom w:val="none" w:sz="0" w:space="0" w:color="auto"/>
            <w:right w:val="none" w:sz="0" w:space="0" w:color="auto"/>
          </w:divBdr>
          <w:divsChild>
            <w:div w:id="1084686688">
              <w:marLeft w:val="-120"/>
              <w:marRight w:val="-300"/>
              <w:marTop w:val="0"/>
              <w:marBottom w:val="0"/>
              <w:divBdr>
                <w:top w:val="none" w:sz="0" w:space="0" w:color="auto"/>
                <w:left w:val="none" w:sz="0" w:space="0" w:color="auto"/>
                <w:bottom w:val="none" w:sz="0" w:space="0" w:color="auto"/>
                <w:right w:val="none" w:sz="0" w:space="0" w:color="auto"/>
              </w:divBdr>
              <w:divsChild>
                <w:div w:id="600070746">
                  <w:marLeft w:val="0"/>
                  <w:marRight w:val="0"/>
                  <w:marTop w:val="0"/>
                  <w:marBottom w:val="0"/>
                  <w:divBdr>
                    <w:top w:val="none" w:sz="0" w:space="0" w:color="auto"/>
                    <w:left w:val="none" w:sz="0" w:space="0" w:color="auto"/>
                    <w:bottom w:val="none" w:sz="0" w:space="0" w:color="auto"/>
                    <w:right w:val="none" w:sz="0" w:space="0" w:color="auto"/>
                  </w:divBdr>
                  <w:divsChild>
                    <w:div w:id="54252524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 w:id="1310210529">
              <w:marLeft w:val="0"/>
              <w:marRight w:val="0"/>
              <w:marTop w:val="0"/>
              <w:marBottom w:val="0"/>
              <w:divBdr>
                <w:top w:val="none" w:sz="0" w:space="0" w:color="auto"/>
                <w:left w:val="none" w:sz="0" w:space="0" w:color="auto"/>
                <w:bottom w:val="none" w:sz="0" w:space="0" w:color="auto"/>
                <w:right w:val="none" w:sz="0" w:space="0" w:color="auto"/>
              </w:divBdr>
              <w:divsChild>
                <w:div w:id="141698830">
                  <w:marLeft w:val="0"/>
                  <w:marRight w:val="0"/>
                  <w:marTop w:val="0"/>
                  <w:marBottom w:val="0"/>
                  <w:divBdr>
                    <w:top w:val="none" w:sz="0" w:space="0" w:color="auto"/>
                    <w:left w:val="none" w:sz="0" w:space="0" w:color="auto"/>
                    <w:bottom w:val="none" w:sz="0" w:space="0" w:color="auto"/>
                    <w:right w:val="none" w:sz="0" w:space="0" w:color="auto"/>
                  </w:divBdr>
                  <w:divsChild>
                    <w:div w:id="655301514">
                      <w:marLeft w:val="0"/>
                      <w:marRight w:val="0"/>
                      <w:marTop w:val="0"/>
                      <w:marBottom w:val="0"/>
                      <w:divBdr>
                        <w:top w:val="none" w:sz="0" w:space="0" w:color="auto"/>
                        <w:left w:val="none" w:sz="0" w:space="0" w:color="auto"/>
                        <w:bottom w:val="none" w:sz="0" w:space="0" w:color="auto"/>
                        <w:right w:val="none" w:sz="0" w:space="0" w:color="auto"/>
                      </w:divBdr>
                      <w:divsChild>
                        <w:div w:id="2001691192">
                          <w:marLeft w:val="0"/>
                          <w:marRight w:val="0"/>
                          <w:marTop w:val="0"/>
                          <w:marBottom w:val="0"/>
                          <w:divBdr>
                            <w:top w:val="none" w:sz="0" w:space="0" w:color="auto"/>
                            <w:left w:val="none" w:sz="0" w:space="0" w:color="auto"/>
                            <w:bottom w:val="none" w:sz="0" w:space="0" w:color="auto"/>
                            <w:right w:val="none" w:sz="0" w:space="0" w:color="auto"/>
                          </w:divBdr>
                          <w:divsChild>
                            <w:div w:id="1506703852">
                              <w:marLeft w:val="0"/>
                              <w:marRight w:val="0"/>
                              <w:marTop w:val="0"/>
                              <w:marBottom w:val="0"/>
                              <w:divBdr>
                                <w:top w:val="none" w:sz="0" w:space="0" w:color="auto"/>
                                <w:left w:val="none" w:sz="0" w:space="0" w:color="auto"/>
                                <w:bottom w:val="none" w:sz="0" w:space="0" w:color="auto"/>
                                <w:right w:val="none" w:sz="0" w:space="0" w:color="auto"/>
                              </w:divBdr>
                              <w:divsChild>
                                <w:div w:id="75440323">
                                  <w:marLeft w:val="0"/>
                                  <w:marRight w:val="0"/>
                                  <w:marTop w:val="0"/>
                                  <w:marBottom w:val="0"/>
                                  <w:divBdr>
                                    <w:top w:val="none" w:sz="0" w:space="0" w:color="auto"/>
                                    <w:left w:val="none" w:sz="0" w:space="0" w:color="auto"/>
                                    <w:bottom w:val="none" w:sz="0" w:space="0" w:color="auto"/>
                                    <w:right w:val="none" w:sz="0" w:space="0" w:color="auto"/>
                                  </w:divBdr>
                                  <w:divsChild>
                                    <w:div w:id="56060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650015">
                  <w:marLeft w:val="0"/>
                  <w:marRight w:val="0"/>
                  <w:marTop w:val="0"/>
                  <w:marBottom w:val="0"/>
                  <w:divBdr>
                    <w:top w:val="none" w:sz="0" w:space="0" w:color="auto"/>
                    <w:left w:val="none" w:sz="0" w:space="0" w:color="auto"/>
                    <w:bottom w:val="none" w:sz="0" w:space="0" w:color="auto"/>
                    <w:right w:val="none" w:sz="0" w:space="0" w:color="auto"/>
                  </w:divBdr>
                  <w:divsChild>
                    <w:div w:id="1275206513">
                      <w:marLeft w:val="0"/>
                      <w:marRight w:val="0"/>
                      <w:marTop w:val="0"/>
                      <w:marBottom w:val="0"/>
                      <w:divBdr>
                        <w:top w:val="none" w:sz="0" w:space="0" w:color="auto"/>
                        <w:left w:val="none" w:sz="0" w:space="0" w:color="auto"/>
                        <w:bottom w:val="none" w:sz="0" w:space="0" w:color="auto"/>
                        <w:right w:val="none" w:sz="0" w:space="0" w:color="auto"/>
                      </w:divBdr>
                      <w:divsChild>
                        <w:div w:id="1166870474">
                          <w:marLeft w:val="0"/>
                          <w:marRight w:val="0"/>
                          <w:marTop w:val="0"/>
                          <w:marBottom w:val="0"/>
                          <w:divBdr>
                            <w:top w:val="none" w:sz="0" w:space="0" w:color="auto"/>
                            <w:left w:val="none" w:sz="0" w:space="0" w:color="auto"/>
                            <w:bottom w:val="none" w:sz="0" w:space="0" w:color="auto"/>
                            <w:right w:val="none" w:sz="0" w:space="0" w:color="auto"/>
                          </w:divBdr>
                          <w:divsChild>
                            <w:div w:id="1290894176">
                              <w:marLeft w:val="0"/>
                              <w:marRight w:val="0"/>
                              <w:marTop w:val="0"/>
                              <w:marBottom w:val="0"/>
                              <w:divBdr>
                                <w:top w:val="none" w:sz="0" w:space="0" w:color="auto"/>
                                <w:left w:val="none" w:sz="0" w:space="0" w:color="auto"/>
                                <w:bottom w:val="none" w:sz="0" w:space="0" w:color="auto"/>
                                <w:right w:val="none" w:sz="0" w:space="0" w:color="auto"/>
                              </w:divBdr>
                              <w:divsChild>
                                <w:div w:id="1314095005">
                                  <w:marLeft w:val="0"/>
                                  <w:marRight w:val="0"/>
                                  <w:marTop w:val="0"/>
                                  <w:marBottom w:val="0"/>
                                  <w:divBdr>
                                    <w:top w:val="none" w:sz="0" w:space="0" w:color="auto"/>
                                    <w:left w:val="none" w:sz="0" w:space="0" w:color="auto"/>
                                    <w:bottom w:val="none" w:sz="0" w:space="0" w:color="auto"/>
                                    <w:right w:val="none" w:sz="0" w:space="0" w:color="auto"/>
                                  </w:divBdr>
                                  <w:divsChild>
                                    <w:div w:id="621956710">
                                      <w:marLeft w:val="0"/>
                                      <w:marRight w:val="0"/>
                                      <w:marTop w:val="0"/>
                                      <w:marBottom w:val="0"/>
                                      <w:divBdr>
                                        <w:top w:val="none" w:sz="0" w:space="0" w:color="auto"/>
                                        <w:left w:val="none" w:sz="0" w:space="0" w:color="auto"/>
                                        <w:bottom w:val="none" w:sz="0" w:space="0" w:color="auto"/>
                                        <w:right w:val="none" w:sz="0" w:space="0" w:color="auto"/>
                                      </w:divBdr>
                                    </w:div>
                                    <w:div w:id="187029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556572">
          <w:marLeft w:val="0"/>
          <w:marRight w:val="0"/>
          <w:marTop w:val="0"/>
          <w:marBottom w:val="0"/>
          <w:divBdr>
            <w:top w:val="none" w:sz="0" w:space="0" w:color="auto"/>
            <w:left w:val="none" w:sz="0" w:space="0" w:color="auto"/>
            <w:bottom w:val="none" w:sz="0" w:space="0" w:color="auto"/>
            <w:right w:val="none" w:sz="0" w:space="0" w:color="auto"/>
          </w:divBdr>
          <w:divsChild>
            <w:div w:id="1036808115">
              <w:marLeft w:val="120"/>
              <w:marRight w:val="120"/>
              <w:marTop w:val="0"/>
              <w:marBottom w:val="0"/>
              <w:divBdr>
                <w:top w:val="none" w:sz="0" w:space="0" w:color="auto"/>
                <w:left w:val="none" w:sz="0" w:space="0" w:color="auto"/>
                <w:bottom w:val="none" w:sz="0" w:space="0" w:color="auto"/>
                <w:right w:val="none" w:sz="0" w:space="0" w:color="auto"/>
              </w:divBdr>
            </w:div>
            <w:div w:id="1517768678">
              <w:marLeft w:val="0"/>
              <w:marRight w:val="120"/>
              <w:marTop w:val="0"/>
              <w:marBottom w:val="0"/>
              <w:divBdr>
                <w:top w:val="none" w:sz="0" w:space="0" w:color="auto"/>
                <w:left w:val="none" w:sz="0" w:space="0" w:color="auto"/>
                <w:bottom w:val="none" w:sz="0" w:space="0" w:color="auto"/>
                <w:right w:val="none" w:sz="0" w:space="0" w:color="auto"/>
              </w:divBdr>
              <w:divsChild>
                <w:div w:id="166406383">
                  <w:marLeft w:val="0"/>
                  <w:marRight w:val="0"/>
                  <w:marTop w:val="0"/>
                  <w:marBottom w:val="0"/>
                  <w:divBdr>
                    <w:top w:val="none" w:sz="0" w:space="0" w:color="auto"/>
                    <w:left w:val="none" w:sz="0" w:space="0" w:color="auto"/>
                    <w:bottom w:val="none" w:sz="0" w:space="0" w:color="auto"/>
                    <w:right w:val="none" w:sz="0" w:space="0" w:color="auto"/>
                  </w:divBdr>
                </w:div>
                <w:div w:id="367611051">
                  <w:marLeft w:val="0"/>
                  <w:marRight w:val="0"/>
                  <w:marTop w:val="0"/>
                  <w:marBottom w:val="0"/>
                  <w:divBdr>
                    <w:top w:val="none" w:sz="0" w:space="0" w:color="auto"/>
                    <w:left w:val="none" w:sz="0" w:space="0" w:color="auto"/>
                    <w:bottom w:val="none" w:sz="0" w:space="0" w:color="auto"/>
                    <w:right w:val="none" w:sz="0" w:space="0" w:color="auto"/>
                  </w:divBdr>
                </w:div>
                <w:div w:id="2146115326">
                  <w:marLeft w:val="0"/>
                  <w:marRight w:val="0"/>
                  <w:marTop w:val="0"/>
                  <w:marBottom w:val="0"/>
                  <w:divBdr>
                    <w:top w:val="none" w:sz="0" w:space="0" w:color="auto"/>
                    <w:left w:val="none" w:sz="0" w:space="0" w:color="auto"/>
                    <w:bottom w:val="none" w:sz="0" w:space="0" w:color="auto"/>
                    <w:right w:val="none" w:sz="0" w:space="0" w:color="auto"/>
                  </w:divBdr>
                  <w:divsChild>
                    <w:div w:id="207141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176966">
      <w:bodyDiv w:val="1"/>
      <w:marLeft w:val="0"/>
      <w:marRight w:val="0"/>
      <w:marTop w:val="0"/>
      <w:marBottom w:val="0"/>
      <w:divBdr>
        <w:top w:val="none" w:sz="0" w:space="0" w:color="auto"/>
        <w:left w:val="none" w:sz="0" w:space="0" w:color="auto"/>
        <w:bottom w:val="none" w:sz="0" w:space="0" w:color="auto"/>
        <w:right w:val="none" w:sz="0" w:space="0" w:color="auto"/>
      </w:divBdr>
    </w:div>
    <w:div w:id="1293242578">
      <w:bodyDiv w:val="1"/>
      <w:marLeft w:val="0"/>
      <w:marRight w:val="0"/>
      <w:marTop w:val="0"/>
      <w:marBottom w:val="0"/>
      <w:divBdr>
        <w:top w:val="none" w:sz="0" w:space="0" w:color="auto"/>
        <w:left w:val="none" w:sz="0" w:space="0" w:color="auto"/>
        <w:bottom w:val="none" w:sz="0" w:space="0" w:color="auto"/>
        <w:right w:val="none" w:sz="0" w:space="0" w:color="auto"/>
      </w:divBdr>
    </w:div>
    <w:div w:id="1337803815">
      <w:bodyDiv w:val="1"/>
      <w:marLeft w:val="0"/>
      <w:marRight w:val="0"/>
      <w:marTop w:val="0"/>
      <w:marBottom w:val="0"/>
      <w:divBdr>
        <w:top w:val="none" w:sz="0" w:space="0" w:color="auto"/>
        <w:left w:val="none" w:sz="0" w:space="0" w:color="auto"/>
        <w:bottom w:val="none" w:sz="0" w:space="0" w:color="auto"/>
        <w:right w:val="none" w:sz="0" w:space="0" w:color="auto"/>
      </w:divBdr>
      <w:divsChild>
        <w:div w:id="625307277">
          <w:marLeft w:val="0"/>
          <w:marRight w:val="0"/>
          <w:marTop w:val="0"/>
          <w:marBottom w:val="0"/>
          <w:divBdr>
            <w:top w:val="none" w:sz="0" w:space="0" w:color="auto"/>
            <w:left w:val="none" w:sz="0" w:space="0" w:color="auto"/>
            <w:bottom w:val="none" w:sz="0" w:space="0" w:color="auto"/>
            <w:right w:val="none" w:sz="0" w:space="0" w:color="auto"/>
          </w:divBdr>
          <w:divsChild>
            <w:div w:id="33233569">
              <w:marLeft w:val="0"/>
              <w:marRight w:val="0"/>
              <w:marTop w:val="0"/>
              <w:marBottom w:val="0"/>
              <w:divBdr>
                <w:top w:val="none" w:sz="0" w:space="0" w:color="auto"/>
                <w:left w:val="none" w:sz="0" w:space="0" w:color="auto"/>
                <w:bottom w:val="none" w:sz="0" w:space="0" w:color="auto"/>
                <w:right w:val="none" w:sz="0" w:space="0" w:color="auto"/>
              </w:divBdr>
              <w:divsChild>
                <w:div w:id="1452624941">
                  <w:marLeft w:val="0"/>
                  <w:marRight w:val="0"/>
                  <w:marTop w:val="0"/>
                  <w:marBottom w:val="0"/>
                  <w:divBdr>
                    <w:top w:val="none" w:sz="0" w:space="0" w:color="auto"/>
                    <w:left w:val="none" w:sz="0" w:space="0" w:color="auto"/>
                    <w:bottom w:val="none" w:sz="0" w:space="0" w:color="auto"/>
                    <w:right w:val="none" w:sz="0" w:space="0" w:color="auto"/>
                  </w:divBdr>
                  <w:divsChild>
                    <w:div w:id="1577781648">
                      <w:marLeft w:val="0"/>
                      <w:marRight w:val="0"/>
                      <w:marTop w:val="0"/>
                      <w:marBottom w:val="0"/>
                      <w:divBdr>
                        <w:top w:val="none" w:sz="0" w:space="0" w:color="auto"/>
                        <w:left w:val="none" w:sz="0" w:space="0" w:color="auto"/>
                        <w:bottom w:val="none" w:sz="0" w:space="0" w:color="auto"/>
                        <w:right w:val="none" w:sz="0" w:space="0" w:color="auto"/>
                      </w:divBdr>
                      <w:divsChild>
                        <w:div w:id="1609434295">
                          <w:marLeft w:val="0"/>
                          <w:marRight w:val="0"/>
                          <w:marTop w:val="0"/>
                          <w:marBottom w:val="0"/>
                          <w:divBdr>
                            <w:top w:val="none" w:sz="0" w:space="0" w:color="auto"/>
                            <w:left w:val="none" w:sz="0" w:space="0" w:color="auto"/>
                            <w:bottom w:val="none" w:sz="0" w:space="0" w:color="auto"/>
                            <w:right w:val="none" w:sz="0" w:space="0" w:color="auto"/>
                          </w:divBdr>
                          <w:divsChild>
                            <w:div w:id="128595897">
                              <w:marLeft w:val="0"/>
                              <w:marRight w:val="0"/>
                              <w:marTop w:val="0"/>
                              <w:marBottom w:val="0"/>
                              <w:divBdr>
                                <w:top w:val="none" w:sz="0" w:space="0" w:color="auto"/>
                                <w:left w:val="none" w:sz="0" w:space="0" w:color="auto"/>
                                <w:bottom w:val="none" w:sz="0" w:space="0" w:color="auto"/>
                                <w:right w:val="none" w:sz="0" w:space="0" w:color="auto"/>
                              </w:divBdr>
                              <w:divsChild>
                                <w:div w:id="1689983942">
                                  <w:marLeft w:val="0"/>
                                  <w:marRight w:val="0"/>
                                  <w:marTop w:val="0"/>
                                  <w:marBottom w:val="0"/>
                                  <w:divBdr>
                                    <w:top w:val="none" w:sz="0" w:space="0" w:color="auto"/>
                                    <w:left w:val="none" w:sz="0" w:space="0" w:color="auto"/>
                                    <w:bottom w:val="none" w:sz="0" w:space="0" w:color="auto"/>
                                    <w:right w:val="none" w:sz="0" w:space="0" w:color="auto"/>
                                  </w:divBdr>
                                  <w:divsChild>
                                    <w:div w:id="138532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756988">
                  <w:marLeft w:val="0"/>
                  <w:marRight w:val="0"/>
                  <w:marTop w:val="0"/>
                  <w:marBottom w:val="0"/>
                  <w:divBdr>
                    <w:top w:val="none" w:sz="0" w:space="0" w:color="auto"/>
                    <w:left w:val="none" w:sz="0" w:space="0" w:color="auto"/>
                    <w:bottom w:val="none" w:sz="0" w:space="0" w:color="auto"/>
                    <w:right w:val="none" w:sz="0" w:space="0" w:color="auto"/>
                  </w:divBdr>
                  <w:divsChild>
                    <w:div w:id="1737168009">
                      <w:marLeft w:val="0"/>
                      <w:marRight w:val="0"/>
                      <w:marTop w:val="0"/>
                      <w:marBottom w:val="0"/>
                      <w:divBdr>
                        <w:top w:val="none" w:sz="0" w:space="0" w:color="auto"/>
                        <w:left w:val="none" w:sz="0" w:space="0" w:color="auto"/>
                        <w:bottom w:val="none" w:sz="0" w:space="0" w:color="auto"/>
                        <w:right w:val="none" w:sz="0" w:space="0" w:color="auto"/>
                      </w:divBdr>
                      <w:divsChild>
                        <w:div w:id="72627807">
                          <w:marLeft w:val="0"/>
                          <w:marRight w:val="0"/>
                          <w:marTop w:val="0"/>
                          <w:marBottom w:val="0"/>
                          <w:divBdr>
                            <w:top w:val="none" w:sz="0" w:space="0" w:color="auto"/>
                            <w:left w:val="none" w:sz="0" w:space="0" w:color="auto"/>
                            <w:bottom w:val="none" w:sz="0" w:space="0" w:color="auto"/>
                            <w:right w:val="none" w:sz="0" w:space="0" w:color="auto"/>
                          </w:divBdr>
                          <w:divsChild>
                            <w:div w:id="1752923311">
                              <w:marLeft w:val="0"/>
                              <w:marRight w:val="0"/>
                              <w:marTop w:val="0"/>
                              <w:marBottom w:val="0"/>
                              <w:divBdr>
                                <w:top w:val="none" w:sz="0" w:space="0" w:color="auto"/>
                                <w:left w:val="none" w:sz="0" w:space="0" w:color="auto"/>
                                <w:bottom w:val="none" w:sz="0" w:space="0" w:color="auto"/>
                                <w:right w:val="none" w:sz="0" w:space="0" w:color="auto"/>
                              </w:divBdr>
                              <w:divsChild>
                                <w:div w:id="482812606">
                                  <w:marLeft w:val="0"/>
                                  <w:marRight w:val="0"/>
                                  <w:marTop w:val="0"/>
                                  <w:marBottom w:val="0"/>
                                  <w:divBdr>
                                    <w:top w:val="none" w:sz="0" w:space="0" w:color="auto"/>
                                    <w:left w:val="none" w:sz="0" w:space="0" w:color="auto"/>
                                    <w:bottom w:val="none" w:sz="0" w:space="0" w:color="auto"/>
                                    <w:right w:val="none" w:sz="0" w:space="0" w:color="auto"/>
                                  </w:divBdr>
                                  <w:divsChild>
                                    <w:div w:id="575167447">
                                      <w:marLeft w:val="0"/>
                                      <w:marRight w:val="0"/>
                                      <w:marTop w:val="0"/>
                                      <w:marBottom w:val="0"/>
                                      <w:divBdr>
                                        <w:top w:val="none" w:sz="0" w:space="0" w:color="auto"/>
                                        <w:left w:val="none" w:sz="0" w:space="0" w:color="auto"/>
                                        <w:bottom w:val="none" w:sz="0" w:space="0" w:color="auto"/>
                                        <w:right w:val="none" w:sz="0" w:space="0" w:color="auto"/>
                                      </w:divBdr>
                                    </w:div>
                                    <w:div w:id="140348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341579">
              <w:marLeft w:val="-120"/>
              <w:marRight w:val="-300"/>
              <w:marTop w:val="0"/>
              <w:marBottom w:val="0"/>
              <w:divBdr>
                <w:top w:val="none" w:sz="0" w:space="0" w:color="auto"/>
                <w:left w:val="none" w:sz="0" w:space="0" w:color="auto"/>
                <w:bottom w:val="none" w:sz="0" w:space="0" w:color="auto"/>
                <w:right w:val="none" w:sz="0" w:space="0" w:color="auto"/>
              </w:divBdr>
              <w:divsChild>
                <w:div w:id="1972441597">
                  <w:marLeft w:val="0"/>
                  <w:marRight w:val="0"/>
                  <w:marTop w:val="0"/>
                  <w:marBottom w:val="0"/>
                  <w:divBdr>
                    <w:top w:val="none" w:sz="0" w:space="0" w:color="auto"/>
                    <w:left w:val="none" w:sz="0" w:space="0" w:color="auto"/>
                    <w:bottom w:val="none" w:sz="0" w:space="0" w:color="auto"/>
                    <w:right w:val="none" w:sz="0" w:space="0" w:color="auto"/>
                  </w:divBdr>
                  <w:divsChild>
                    <w:div w:id="47729502">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367025869">
          <w:marLeft w:val="0"/>
          <w:marRight w:val="0"/>
          <w:marTop w:val="0"/>
          <w:marBottom w:val="0"/>
          <w:divBdr>
            <w:top w:val="none" w:sz="0" w:space="0" w:color="auto"/>
            <w:left w:val="none" w:sz="0" w:space="0" w:color="auto"/>
            <w:bottom w:val="none" w:sz="0" w:space="0" w:color="auto"/>
            <w:right w:val="none" w:sz="0" w:space="0" w:color="auto"/>
          </w:divBdr>
          <w:divsChild>
            <w:div w:id="1930114220">
              <w:marLeft w:val="120"/>
              <w:marRight w:val="120"/>
              <w:marTop w:val="0"/>
              <w:marBottom w:val="0"/>
              <w:divBdr>
                <w:top w:val="none" w:sz="0" w:space="0" w:color="auto"/>
                <w:left w:val="none" w:sz="0" w:space="0" w:color="auto"/>
                <w:bottom w:val="none" w:sz="0" w:space="0" w:color="auto"/>
                <w:right w:val="none" w:sz="0" w:space="0" w:color="auto"/>
              </w:divBdr>
            </w:div>
            <w:div w:id="2053797829">
              <w:marLeft w:val="0"/>
              <w:marRight w:val="120"/>
              <w:marTop w:val="0"/>
              <w:marBottom w:val="0"/>
              <w:divBdr>
                <w:top w:val="none" w:sz="0" w:space="0" w:color="auto"/>
                <w:left w:val="none" w:sz="0" w:space="0" w:color="auto"/>
                <w:bottom w:val="none" w:sz="0" w:space="0" w:color="auto"/>
                <w:right w:val="none" w:sz="0" w:space="0" w:color="auto"/>
              </w:divBdr>
              <w:divsChild>
                <w:div w:id="829325037">
                  <w:marLeft w:val="0"/>
                  <w:marRight w:val="0"/>
                  <w:marTop w:val="0"/>
                  <w:marBottom w:val="0"/>
                  <w:divBdr>
                    <w:top w:val="none" w:sz="0" w:space="0" w:color="auto"/>
                    <w:left w:val="none" w:sz="0" w:space="0" w:color="auto"/>
                    <w:bottom w:val="none" w:sz="0" w:space="0" w:color="auto"/>
                    <w:right w:val="none" w:sz="0" w:space="0" w:color="auto"/>
                  </w:divBdr>
                </w:div>
                <w:div w:id="986740589">
                  <w:marLeft w:val="0"/>
                  <w:marRight w:val="0"/>
                  <w:marTop w:val="0"/>
                  <w:marBottom w:val="0"/>
                  <w:divBdr>
                    <w:top w:val="none" w:sz="0" w:space="0" w:color="auto"/>
                    <w:left w:val="none" w:sz="0" w:space="0" w:color="auto"/>
                    <w:bottom w:val="none" w:sz="0" w:space="0" w:color="auto"/>
                    <w:right w:val="none" w:sz="0" w:space="0" w:color="auto"/>
                  </w:divBdr>
                  <w:divsChild>
                    <w:div w:id="395781024">
                      <w:marLeft w:val="0"/>
                      <w:marRight w:val="0"/>
                      <w:marTop w:val="0"/>
                      <w:marBottom w:val="0"/>
                      <w:divBdr>
                        <w:top w:val="none" w:sz="0" w:space="0" w:color="auto"/>
                        <w:left w:val="none" w:sz="0" w:space="0" w:color="auto"/>
                        <w:bottom w:val="none" w:sz="0" w:space="0" w:color="auto"/>
                        <w:right w:val="none" w:sz="0" w:space="0" w:color="auto"/>
                      </w:divBdr>
                    </w:div>
                  </w:divsChild>
                </w:div>
                <w:div w:id="120154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91514">
      <w:bodyDiv w:val="1"/>
      <w:marLeft w:val="0"/>
      <w:marRight w:val="0"/>
      <w:marTop w:val="0"/>
      <w:marBottom w:val="0"/>
      <w:divBdr>
        <w:top w:val="none" w:sz="0" w:space="0" w:color="auto"/>
        <w:left w:val="none" w:sz="0" w:space="0" w:color="auto"/>
        <w:bottom w:val="none" w:sz="0" w:space="0" w:color="auto"/>
        <w:right w:val="none" w:sz="0" w:space="0" w:color="auto"/>
      </w:divBdr>
    </w:div>
    <w:div w:id="1817915805">
      <w:bodyDiv w:val="1"/>
      <w:marLeft w:val="0"/>
      <w:marRight w:val="0"/>
      <w:marTop w:val="0"/>
      <w:marBottom w:val="0"/>
      <w:divBdr>
        <w:top w:val="none" w:sz="0" w:space="0" w:color="auto"/>
        <w:left w:val="none" w:sz="0" w:space="0" w:color="auto"/>
        <w:bottom w:val="none" w:sz="0" w:space="0" w:color="auto"/>
        <w:right w:val="none" w:sz="0" w:space="0" w:color="auto"/>
      </w:divBdr>
    </w:div>
    <w:div w:id="193639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96AAF-A027-43C5-80E1-E69685CE0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4</Pages>
  <Words>1583</Words>
  <Characters>7981</Characters>
  <Application>Microsoft Office Word</Application>
  <DocSecurity>0</DocSecurity>
  <Lines>241</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MacLaren</dc:creator>
  <cp:keywords/>
  <dc:description/>
  <cp:lastModifiedBy>Dawn MacLaren</cp:lastModifiedBy>
  <cp:revision>132</cp:revision>
  <cp:lastPrinted>2025-03-19T11:50:00Z</cp:lastPrinted>
  <dcterms:created xsi:type="dcterms:W3CDTF">2026-03-29T16:23:00Z</dcterms:created>
  <dcterms:modified xsi:type="dcterms:W3CDTF">2026-03-29T23:04:00Z</dcterms:modified>
</cp:coreProperties>
</file>