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bookmarkStart w:id="0" w:name="_GoBack"/>
      <w:bookmarkEnd w:id="0"/>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Guidelines for Evaluating Public Health Surveillance Systems. Summarized </w:t>
      </w:r>
      <w:r w:rsidRPr="00194BF9">
        <w:rPr>
          <w:rFonts w:ascii="Times New Roman" w:eastAsia="Calibri" w:hAnsi="Times New Roman" w:cs="Times New Roman"/>
          <w:sz w:val="24"/>
          <w:szCs w:val="24"/>
          <w:lang w:val="en-US"/>
        </w:rPr>
        <w:lastRenderedPageBreak/>
        <w:t>descriptive analysis of qualitative data was done and presented in graphs and charts. The cholera surveillance is well situated in the IDSR. The case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A4AFB"/>
    <w:rsid w:val="006B3217"/>
    <w:rsid w:val="009C72EB"/>
    <w:rsid w:val="00A2285E"/>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Nanotechnology 2016</dc:creator>
  <cp:lastModifiedBy>Fungalgenetics</cp:lastModifiedBy>
  <cp:revision>2</cp:revision>
  <dcterms:created xsi:type="dcterms:W3CDTF">2018-08-20T09:36:00Z</dcterms:created>
  <dcterms:modified xsi:type="dcterms:W3CDTF">2018-08-20T09:36:00Z</dcterms:modified>
</cp:coreProperties>
</file>