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BC78A" w14:textId="3B8A627E" w:rsidR="00FA447D" w:rsidRPr="00282B72" w:rsidRDefault="0067459B" w:rsidP="00282B72">
      <w:pPr>
        <w:pStyle w:val="Title1sl"/>
        <w:pBdr>
          <w:bottom w:val="single" w:sz="12" w:space="1" w:color="auto"/>
        </w:pBdr>
        <w:spacing w:before="240"/>
        <w:rPr>
          <w:sz w:val="40"/>
          <w:szCs w:val="40"/>
        </w:rPr>
      </w:pPr>
      <w:r w:rsidRPr="0067459B">
        <w:rPr>
          <w:i/>
          <w:iCs/>
          <w:noProof/>
          <w:color w:val="000000"/>
          <w:sz w:val="40"/>
          <w:szCs w:val="40"/>
        </w:rPr>
        <w:t>Tinker v. Des Moines</w:t>
      </w:r>
      <w:r w:rsidR="007D273B" w:rsidRPr="007D273B">
        <w:rPr>
          <w:i/>
          <w:iCs/>
          <w:sz w:val="40"/>
          <w:szCs w:val="40"/>
        </w:rPr>
        <w:t xml:space="preserve"> </w:t>
      </w:r>
      <w:r w:rsidR="007D273B" w:rsidRPr="007D273B">
        <w:rPr>
          <w:sz w:val="40"/>
          <w:szCs w:val="40"/>
        </w:rPr>
        <w:t xml:space="preserve">/ </w:t>
      </w:r>
      <w:r w:rsidR="00293059">
        <w:rPr>
          <w:sz w:val="40"/>
          <w:szCs w:val="40"/>
        </w:rPr>
        <w:t xml:space="preserve">The </w:t>
      </w:r>
      <w:r w:rsidR="00390FD7">
        <w:rPr>
          <w:bCs/>
          <w:sz w:val="40"/>
          <w:szCs w:val="40"/>
        </w:rPr>
        <w:t>Internet, Schools</w:t>
      </w:r>
      <w:r w:rsidR="00DC6F38" w:rsidRPr="00DC6F38">
        <w:rPr>
          <w:bCs/>
          <w:sz w:val="40"/>
          <w:szCs w:val="40"/>
        </w:rPr>
        <w:t>, and Symbolic Speech</w:t>
      </w:r>
      <w:r w:rsidR="00293059">
        <w:rPr>
          <w:bCs/>
          <w:sz w:val="40"/>
          <w:szCs w:val="40"/>
        </w:rPr>
        <w:t>: A Jigsaw Activity</w:t>
      </w:r>
    </w:p>
    <w:p w14:paraId="1F6024B7" w14:textId="77777777" w:rsidR="00D869D1" w:rsidRDefault="00293059" w:rsidP="00E91074">
      <w:pPr>
        <w:pStyle w:val="Subhead3sl"/>
      </w:pPr>
      <w:r w:rsidRPr="00293059">
        <w:t xml:space="preserve">Directions: </w:t>
      </w:r>
    </w:p>
    <w:p w14:paraId="52848CC5" w14:textId="2D0F41D4" w:rsidR="00E91074" w:rsidRPr="00E91074" w:rsidRDefault="00293059" w:rsidP="00E91074">
      <w:pPr>
        <w:pStyle w:val="ListParagraph"/>
        <w:numPr>
          <w:ilvl w:val="0"/>
          <w:numId w:val="29"/>
        </w:numPr>
        <w:spacing w:after="120" w:line="276" w:lineRule="auto"/>
        <w:contextualSpacing w:val="0"/>
        <w:rPr>
          <w:rFonts w:ascii="Garamond" w:hAnsi="Garamond"/>
          <w:sz w:val="25"/>
          <w:szCs w:val="25"/>
        </w:rPr>
      </w:pPr>
      <w:r w:rsidRPr="00E91074">
        <w:rPr>
          <w:rFonts w:ascii="Garamond" w:hAnsi="Garamond"/>
          <w:sz w:val="25"/>
          <w:szCs w:val="25"/>
        </w:rPr>
        <w:t>Each of the cases below represents a case heard in the federal or state courts. Your job will be to become an expert on one of the cases.</w:t>
      </w:r>
      <w:r w:rsidR="003C203F" w:rsidRPr="00E91074">
        <w:rPr>
          <w:rFonts w:ascii="Garamond" w:hAnsi="Garamond"/>
          <w:sz w:val="25"/>
          <w:szCs w:val="25"/>
        </w:rPr>
        <w:t xml:space="preserve"> Your teacher will assign you a case</w:t>
      </w:r>
      <w:r w:rsidR="00284321">
        <w:rPr>
          <w:rFonts w:ascii="Garamond" w:hAnsi="Garamond"/>
          <w:sz w:val="25"/>
          <w:szCs w:val="25"/>
        </w:rPr>
        <w:t xml:space="preserve">; </w:t>
      </w:r>
      <w:r w:rsidR="001674A7">
        <w:rPr>
          <w:rFonts w:ascii="Garamond" w:hAnsi="Garamond"/>
          <w:sz w:val="25"/>
          <w:szCs w:val="25"/>
        </w:rPr>
        <w:t xml:space="preserve">closely read your assigned </w:t>
      </w:r>
      <w:r w:rsidR="001674A7" w:rsidRPr="001674A7">
        <w:rPr>
          <w:rFonts w:ascii="Garamond" w:hAnsi="Garamond"/>
          <w:b/>
          <w:bCs/>
          <w:sz w:val="25"/>
          <w:szCs w:val="25"/>
        </w:rPr>
        <w:t>case summary</w:t>
      </w:r>
      <w:r w:rsidR="001674A7">
        <w:rPr>
          <w:rFonts w:ascii="Garamond" w:hAnsi="Garamond"/>
          <w:sz w:val="25"/>
          <w:szCs w:val="25"/>
        </w:rPr>
        <w:t xml:space="preserve"> (below). </w:t>
      </w:r>
      <w:r w:rsidR="00284321">
        <w:rPr>
          <w:rFonts w:ascii="Garamond" w:hAnsi="Garamond"/>
          <w:sz w:val="25"/>
          <w:szCs w:val="25"/>
        </w:rPr>
        <w:t xml:space="preserve">  </w:t>
      </w:r>
    </w:p>
    <w:p w14:paraId="5FAC580F" w14:textId="4D906FB8" w:rsidR="00E91074" w:rsidRPr="00E91074" w:rsidRDefault="00E91074" w:rsidP="00E91074">
      <w:pPr>
        <w:pStyle w:val="ListParagraph"/>
        <w:numPr>
          <w:ilvl w:val="0"/>
          <w:numId w:val="29"/>
        </w:numPr>
        <w:spacing w:after="120" w:line="276" w:lineRule="auto"/>
        <w:contextualSpacing w:val="0"/>
        <w:rPr>
          <w:rFonts w:ascii="Garamond" w:hAnsi="Garamond"/>
          <w:sz w:val="25"/>
          <w:szCs w:val="25"/>
        </w:rPr>
      </w:pPr>
      <w:r w:rsidRPr="00E91074">
        <w:rPr>
          <w:rFonts w:ascii="Garamond" w:hAnsi="Garamond"/>
          <w:sz w:val="25"/>
          <w:szCs w:val="25"/>
        </w:rPr>
        <w:t xml:space="preserve">Complete the appropriate section of the </w:t>
      </w:r>
      <w:r w:rsidRPr="001674A7">
        <w:rPr>
          <w:rFonts w:ascii="Garamond" w:hAnsi="Garamond"/>
          <w:b/>
          <w:bCs/>
          <w:sz w:val="25"/>
          <w:szCs w:val="25"/>
        </w:rPr>
        <w:t>chart</w:t>
      </w:r>
      <w:r w:rsidRPr="00E91074">
        <w:rPr>
          <w:rFonts w:ascii="Garamond" w:hAnsi="Garamond"/>
          <w:sz w:val="25"/>
          <w:szCs w:val="25"/>
        </w:rPr>
        <w:t xml:space="preserve"> (page </w:t>
      </w:r>
      <w:r w:rsidR="006A5DC4">
        <w:rPr>
          <w:rFonts w:ascii="Garamond" w:hAnsi="Garamond"/>
          <w:sz w:val="25"/>
          <w:szCs w:val="25"/>
        </w:rPr>
        <w:t>4</w:t>
      </w:r>
      <w:r w:rsidRPr="00E91074">
        <w:rPr>
          <w:rFonts w:ascii="Garamond" w:hAnsi="Garamond"/>
          <w:sz w:val="25"/>
          <w:szCs w:val="25"/>
        </w:rPr>
        <w:t xml:space="preserve">) to “brief” your case.  </w:t>
      </w:r>
    </w:p>
    <w:p w14:paraId="30406C93" w14:textId="2EA92DE2" w:rsidR="00293059" w:rsidRDefault="00293059" w:rsidP="00E91074">
      <w:pPr>
        <w:pStyle w:val="ListParagraph"/>
        <w:numPr>
          <w:ilvl w:val="0"/>
          <w:numId w:val="29"/>
        </w:numPr>
        <w:spacing w:after="120" w:line="276" w:lineRule="auto"/>
        <w:contextualSpacing w:val="0"/>
        <w:rPr>
          <w:rFonts w:ascii="Garamond" w:hAnsi="Garamond"/>
          <w:sz w:val="25"/>
          <w:szCs w:val="25"/>
        </w:rPr>
      </w:pPr>
      <w:r w:rsidRPr="00E91074">
        <w:rPr>
          <w:rFonts w:ascii="Garamond" w:hAnsi="Garamond"/>
          <w:sz w:val="25"/>
          <w:szCs w:val="25"/>
        </w:rPr>
        <w:t xml:space="preserve">After becoming an expert on </w:t>
      </w:r>
      <w:r w:rsidR="003C203F" w:rsidRPr="00E91074">
        <w:rPr>
          <w:rFonts w:ascii="Garamond" w:hAnsi="Garamond"/>
          <w:sz w:val="25"/>
          <w:szCs w:val="25"/>
        </w:rPr>
        <w:t>your assigned</w:t>
      </w:r>
      <w:r w:rsidRPr="00E91074">
        <w:rPr>
          <w:rFonts w:ascii="Garamond" w:hAnsi="Garamond"/>
          <w:sz w:val="25"/>
          <w:szCs w:val="25"/>
        </w:rPr>
        <w:t xml:space="preserve"> case, you will teach the key components of the case to your classmates</w:t>
      </w:r>
      <w:r w:rsidR="001674A7">
        <w:rPr>
          <w:rFonts w:ascii="Garamond" w:hAnsi="Garamond"/>
          <w:sz w:val="25"/>
          <w:szCs w:val="25"/>
        </w:rPr>
        <w:t xml:space="preserve"> and learn about their cases</w:t>
      </w:r>
      <w:r w:rsidRPr="00E91074">
        <w:rPr>
          <w:rFonts w:ascii="Garamond" w:hAnsi="Garamond"/>
          <w:sz w:val="25"/>
          <w:szCs w:val="25"/>
        </w:rPr>
        <w:t>.</w:t>
      </w:r>
      <w:r w:rsidR="001674A7">
        <w:rPr>
          <w:rFonts w:ascii="Garamond" w:hAnsi="Garamond"/>
          <w:sz w:val="25"/>
          <w:szCs w:val="25"/>
        </w:rPr>
        <w:t xml:space="preserve"> Add what you learn to the chart. </w:t>
      </w:r>
    </w:p>
    <w:p w14:paraId="2B521404" w14:textId="266208E3" w:rsidR="001674A7" w:rsidRDefault="001674A7" w:rsidP="00E91074">
      <w:pPr>
        <w:pStyle w:val="ListParagraph"/>
        <w:numPr>
          <w:ilvl w:val="0"/>
          <w:numId w:val="29"/>
        </w:numPr>
        <w:spacing w:after="120" w:line="276" w:lineRule="auto"/>
        <w:contextualSpacing w:val="0"/>
        <w:rPr>
          <w:rFonts w:ascii="Garamond" w:hAnsi="Garamond"/>
          <w:sz w:val="25"/>
          <w:szCs w:val="25"/>
        </w:rPr>
      </w:pPr>
      <w:r>
        <w:rPr>
          <w:rFonts w:ascii="Garamond" w:hAnsi="Garamond"/>
          <w:sz w:val="25"/>
          <w:szCs w:val="25"/>
        </w:rPr>
        <w:t xml:space="preserve">Answer the </w:t>
      </w:r>
      <w:r w:rsidRPr="001674A7">
        <w:rPr>
          <w:rFonts w:ascii="Garamond" w:hAnsi="Garamond"/>
          <w:b/>
          <w:bCs/>
          <w:sz w:val="25"/>
          <w:szCs w:val="25"/>
        </w:rPr>
        <w:t>Question to Consider</w:t>
      </w:r>
      <w:r>
        <w:rPr>
          <w:rFonts w:ascii="Garamond" w:hAnsi="Garamond"/>
          <w:sz w:val="25"/>
          <w:szCs w:val="25"/>
        </w:rPr>
        <w:t xml:space="preserve"> (page 5). </w:t>
      </w:r>
    </w:p>
    <w:p w14:paraId="6AF682A7" w14:textId="6C8EAE54" w:rsidR="00284321" w:rsidRPr="00284321" w:rsidRDefault="00284321" w:rsidP="00284321">
      <w:pPr>
        <w:spacing w:after="120"/>
        <w:rPr>
          <w:rFonts w:ascii="Garamond" w:hAnsi="Garamond"/>
          <w:sz w:val="25"/>
          <w:szCs w:val="25"/>
        </w:rPr>
      </w:pPr>
      <w:r>
        <w:pict w14:anchorId="2A0713C8">
          <v:rect id="_x0000_i1030" style="width:0;height:1.5pt" o:hralign="center" o:hrstd="t" o:hr="t" fillcolor="#a0a0a0" stroked="f"/>
        </w:pict>
      </w:r>
    </w:p>
    <w:p w14:paraId="4487985C" w14:textId="22B47D88" w:rsidR="00293059" w:rsidRPr="00293059" w:rsidRDefault="00EC2D82" w:rsidP="00284321">
      <w:pPr>
        <w:pStyle w:val="Subhead2sl"/>
      </w:pPr>
      <w:r>
        <w:t xml:space="preserve">Case #1: </w:t>
      </w:r>
      <w:r w:rsidR="00293059" w:rsidRPr="00293059">
        <w:t>O'Brien v. Westlake City Schools Board of Education </w:t>
      </w:r>
      <w:r w:rsidR="00293059" w:rsidRPr="00284321">
        <w:rPr>
          <w:i w:val="0"/>
          <w:iCs/>
        </w:rPr>
        <w:t>(1998)</w:t>
      </w:r>
    </w:p>
    <w:p w14:paraId="1C93C9AE" w14:textId="7A05F2C2" w:rsidR="00293059" w:rsidRPr="00293059" w:rsidRDefault="00293059" w:rsidP="00B345B1">
      <w:pPr>
        <w:spacing w:after="120"/>
        <w:rPr>
          <w:rFonts w:ascii="Garamond" w:hAnsi="Garamond"/>
          <w:sz w:val="25"/>
          <w:szCs w:val="25"/>
        </w:rPr>
      </w:pPr>
      <w:r w:rsidRPr="00293059">
        <w:rPr>
          <w:rFonts w:ascii="Garamond" w:hAnsi="Garamond"/>
          <w:sz w:val="25"/>
          <w:szCs w:val="25"/>
        </w:rPr>
        <w:t>Sean O</w:t>
      </w:r>
      <w:r w:rsidR="00892471">
        <w:rPr>
          <w:rFonts w:ascii="Garamond" w:hAnsi="Garamond"/>
          <w:sz w:val="25"/>
          <w:szCs w:val="25"/>
        </w:rPr>
        <w:t>’</w:t>
      </w:r>
      <w:r w:rsidRPr="00293059">
        <w:rPr>
          <w:rFonts w:ascii="Garamond" w:hAnsi="Garamond"/>
          <w:sz w:val="25"/>
          <w:szCs w:val="25"/>
        </w:rPr>
        <w:t>Brien was a junior at Westlake High School when he created a website</w:t>
      </w:r>
      <w:r w:rsidR="00892471">
        <w:rPr>
          <w:rFonts w:ascii="Garamond" w:hAnsi="Garamond"/>
          <w:sz w:val="25"/>
          <w:szCs w:val="25"/>
        </w:rPr>
        <w:t xml:space="preserve"> that criticized his band teacher called “</w:t>
      </w:r>
      <w:r w:rsidRPr="00293059">
        <w:rPr>
          <w:rFonts w:ascii="Garamond" w:hAnsi="Garamond"/>
          <w:sz w:val="25"/>
          <w:szCs w:val="25"/>
        </w:rPr>
        <w:t>raymondsucks.org</w:t>
      </w:r>
      <w:r w:rsidR="00892471">
        <w:rPr>
          <w:rFonts w:ascii="Garamond" w:hAnsi="Garamond"/>
          <w:sz w:val="25"/>
          <w:szCs w:val="25"/>
        </w:rPr>
        <w:t>.” S</w:t>
      </w:r>
      <w:r w:rsidRPr="00293059">
        <w:rPr>
          <w:rFonts w:ascii="Garamond" w:hAnsi="Garamond"/>
          <w:sz w:val="25"/>
          <w:szCs w:val="25"/>
        </w:rPr>
        <w:t xml:space="preserve">chool officials suspended Sean for 10 days for violating a rule in the Student Conduct Handbook. The handbook </w:t>
      </w:r>
      <w:proofErr w:type="gramStart"/>
      <w:r w:rsidRPr="00293059">
        <w:rPr>
          <w:rFonts w:ascii="Garamond" w:hAnsi="Garamond"/>
          <w:sz w:val="25"/>
          <w:szCs w:val="25"/>
        </w:rPr>
        <w:t>stated</w:t>
      </w:r>
      <w:proofErr w:type="gramEnd"/>
      <w:r w:rsidRPr="00293059">
        <w:rPr>
          <w:rFonts w:ascii="Garamond" w:hAnsi="Garamond"/>
          <w:sz w:val="25"/>
          <w:szCs w:val="25"/>
        </w:rPr>
        <w:t xml:space="preserve"> </w:t>
      </w:r>
      <w:r w:rsidR="00892471">
        <w:rPr>
          <w:rFonts w:ascii="Garamond" w:hAnsi="Garamond"/>
          <w:sz w:val="25"/>
          <w:szCs w:val="25"/>
        </w:rPr>
        <w:t>“</w:t>
      </w:r>
      <w:r w:rsidRPr="00293059">
        <w:rPr>
          <w:rFonts w:ascii="Garamond" w:hAnsi="Garamond"/>
          <w:sz w:val="25"/>
          <w:szCs w:val="25"/>
        </w:rPr>
        <w:t>students shall not physically assault, vandalize, damage, or attempt to damage the property of a school employee or his/her family or demonstrate physical, written, or verbal disrespect/threat.</w:t>
      </w:r>
      <w:r w:rsidR="00892471">
        <w:rPr>
          <w:rFonts w:ascii="Garamond" w:hAnsi="Garamond"/>
          <w:sz w:val="25"/>
          <w:szCs w:val="25"/>
        </w:rPr>
        <w:t>”</w:t>
      </w:r>
    </w:p>
    <w:p w14:paraId="3C11D07B" w14:textId="70163B07" w:rsidR="00293059" w:rsidRPr="00293059" w:rsidRDefault="00293059" w:rsidP="00B345B1">
      <w:pPr>
        <w:spacing w:after="120"/>
        <w:rPr>
          <w:rFonts w:ascii="Garamond" w:hAnsi="Garamond"/>
          <w:sz w:val="25"/>
          <w:szCs w:val="25"/>
        </w:rPr>
      </w:pPr>
      <w:r w:rsidRPr="00293059">
        <w:rPr>
          <w:rFonts w:ascii="Garamond" w:hAnsi="Garamond"/>
          <w:sz w:val="25"/>
          <w:szCs w:val="25"/>
        </w:rPr>
        <w:t>As a result of his suspension, Sean</w:t>
      </w:r>
      <w:r w:rsidR="00892471">
        <w:rPr>
          <w:rFonts w:ascii="Garamond" w:hAnsi="Garamond"/>
          <w:sz w:val="25"/>
          <w:szCs w:val="25"/>
        </w:rPr>
        <w:t>’</w:t>
      </w:r>
      <w:r w:rsidRPr="00293059">
        <w:rPr>
          <w:rFonts w:ascii="Garamond" w:hAnsi="Garamond"/>
          <w:sz w:val="25"/>
          <w:szCs w:val="25"/>
        </w:rPr>
        <w:t xml:space="preserve">s grades </w:t>
      </w:r>
      <w:proofErr w:type="gramStart"/>
      <w:r w:rsidRPr="00293059">
        <w:rPr>
          <w:rFonts w:ascii="Garamond" w:hAnsi="Garamond"/>
          <w:sz w:val="25"/>
          <w:szCs w:val="25"/>
        </w:rPr>
        <w:t>plummeted</w:t>
      </w:r>
      <w:proofErr w:type="gramEnd"/>
      <w:r w:rsidRPr="00293059">
        <w:rPr>
          <w:rFonts w:ascii="Garamond" w:hAnsi="Garamond"/>
          <w:sz w:val="25"/>
          <w:szCs w:val="25"/>
        </w:rPr>
        <w:t xml:space="preserve"> and he failed band. Believing that the suspension was an unconstitutional violation of </w:t>
      </w:r>
      <w:r w:rsidR="00892471">
        <w:rPr>
          <w:rFonts w:ascii="Garamond" w:hAnsi="Garamond"/>
          <w:sz w:val="25"/>
          <w:szCs w:val="25"/>
        </w:rPr>
        <w:t xml:space="preserve">his </w:t>
      </w:r>
      <w:r w:rsidRPr="00293059">
        <w:rPr>
          <w:rFonts w:ascii="Garamond" w:hAnsi="Garamond"/>
          <w:sz w:val="25"/>
          <w:szCs w:val="25"/>
        </w:rPr>
        <w:t>First Amendment</w:t>
      </w:r>
      <w:r w:rsidR="00892471">
        <w:rPr>
          <w:rFonts w:ascii="Garamond" w:hAnsi="Garamond"/>
          <w:sz w:val="25"/>
          <w:szCs w:val="25"/>
        </w:rPr>
        <w:t xml:space="preserve"> right to free speech</w:t>
      </w:r>
      <w:r w:rsidRPr="00293059">
        <w:rPr>
          <w:rFonts w:ascii="Garamond" w:hAnsi="Garamond"/>
          <w:sz w:val="25"/>
          <w:szCs w:val="25"/>
        </w:rPr>
        <w:t>, Sean filed a lawsuit against the school district</w:t>
      </w:r>
      <w:r w:rsidR="00892471">
        <w:rPr>
          <w:rFonts w:ascii="Garamond" w:hAnsi="Garamond"/>
          <w:sz w:val="25"/>
          <w:szCs w:val="25"/>
        </w:rPr>
        <w:t>’</w:t>
      </w:r>
      <w:r w:rsidRPr="00293059">
        <w:rPr>
          <w:rFonts w:ascii="Garamond" w:hAnsi="Garamond"/>
          <w:sz w:val="25"/>
          <w:szCs w:val="25"/>
        </w:rPr>
        <w:t>s board of education. U.S. District Court Judge John M. Manos heard the case and agreed with Sean</w:t>
      </w:r>
      <w:r w:rsidR="00892471">
        <w:rPr>
          <w:rFonts w:ascii="Garamond" w:hAnsi="Garamond"/>
          <w:sz w:val="25"/>
          <w:szCs w:val="25"/>
        </w:rPr>
        <w:t>’</w:t>
      </w:r>
      <w:r w:rsidRPr="00293059">
        <w:rPr>
          <w:rFonts w:ascii="Garamond" w:hAnsi="Garamond"/>
          <w:sz w:val="25"/>
          <w:szCs w:val="25"/>
        </w:rPr>
        <w:t xml:space="preserve">s lawyer who stated that school officials do not have the authority to regulate speech made by students off campus grounds. While admitting that the case may have been different had Sean </w:t>
      </w:r>
      <w:r w:rsidR="00892471">
        <w:rPr>
          <w:rFonts w:ascii="Garamond" w:hAnsi="Garamond"/>
          <w:sz w:val="25"/>
          <w:szCs w:val="25"/>
        </w:rPr>
        <w:t>“</w:t>
      </w:r>
      <w:r w:rsidRPr="00293059">
        <w:rPr>
          <w:rFonts w:ascii="Garamond" w:hAnsi="Garamond"/>
          <w:sz w:val="25"/>
          <w:szCs w:val="25"/>
        </w:rPr>
        <w:t>hurled obscenities at his teacher face-to-face on school grounds, in front of other students,</w:t>
      </w:r>
      <w:r w:rsidR="00892471">
        <w:rPr>
          <w:rFonts w:ascii="Garamond" w:hAnsi="Garamond"/>
          <w:sz w:val="25"/>
          <w:szCs w:val="25"/>
        </w:rPr>
        <w:t xml:space="preserve">” </w:t>
      </w:r>
      <w:r w:rsidRPr="00293059">
        <w:rPr>
          <w:rFonts w:ascii="Garamond" w:hAnsi="Garamond"/>
          <w:sz w:val="25"/>
          <w:szCs w:val="25"/>
        </w:rPr>
        <w:t xml:space="preserve">the </w:t>
      </w:r>
      <w:r w:rsidR="00892471">
        <w:rPr>
          <w:rFonts w:ascii="Garamond" w:hAnsi="Garamond"/>
          <w:sz w:val="25"/>
          <w:szCs w:val="25"/>
        </w:rPr>
        <w:t>j</w:t>
      </w:r>
      <w:r w:rsidRPr="00293059">
        <w:rPr>
          <w:rFonts w:ascii="Garamond" w:hAnsi="Garamond"/>
          <w:sz w:val="25"/>
          <w:szCs w:val="25"/>
        </w:rPr>
        <w:t xml:space="preserve">udge recognized that </w:t>
      </w:r>
      <w:r w:rsidR="00892471">
        <w:rPr>
          <w:rFonts w:ascii="Garamond" w:hAnsi="Garamond"/>
          <w:sz w:val="25"/>
          <w:szCs w:val="25"/>
        </w:rPr>
        <w:t>“</w:t>
      </w:r>
      <w:r w:rsidRPr="00293059">
        <w:rPr>
          <w:rFonts w:ascii="Garamond" w:hAnsi="Garamond"/>
          <w:sz w:val="25"/>
          <w:szCs w:val="25"/>
        </w:rPr>
        <w:t>the involvement by the school in punishing plaintiff for posting an Internet website critical of defendant . . . raises the ugly specter of Big Brother.</w:t>
      </w:r>
      <w:r w:rsidR="00892471">
        <w:rPr>
          <w:rFonts w:ascii="Garamond" w:hAnsi="Garamond"/>
          <w:sz w:val="25"/>
          <w:szCs w:val="25"/>
        </w:rPr>
        <w:t>”</w:t>
      </w:r>
    </w:p>
    <w:p w14:paraId="1277D408" w14:textId="67FCE4AD" w:rsidR="00293059" w:rsidRPr="00293059" w:rsidRDefault="00293059" w:rsidP="00B345B1">
      <w:pPr>
        <w:spacing w:after="120"/>
        <w:rPr>
          <w:rFonts w:ascii="Garamond" w:hAnsi="Garamond"/>
          <w:sz w:val="25"/>
          <w:szCs w:val="25"/>
        </w:rPr>
      </w:pPr>
      <w:r w:rsidRPr="00293059">
        <w:rPr>
          <w:rFonts w:ascii="Garamond" w:hAnsi="Garamond"/>
          <w:sz w:val="25"/>
          <w:szCs w:val="25"/>
        </w:rPr>
        <w:t>Upon losing the case, school officials expunged Sean</w:t>
      </w:r>
      <w:r w:rsidR="00892471">
        <w:rPr>
          <w:rFonts w:ascii="Garamond" w:hAnsi="Garamond"/>
          <w:sz w:val="25"/>
          <w:szCs w:val="25"/>
        </w:rPr>
        <w:t>’</w:t>
      </w:r>
      <w:r w:rsidRPr="00293059">
        <w:rPr>
          <w:rFonts w:ascii="Garamond" w:hAnsi="Garamond"/>
          <w:sz w:val="25"/>
          <w:szCs w:val="25"/>
        </w:rPr>
        <w:t xml:space="preserve">s suspension, wrote him a letter of apology for </w:t>
      </w:r>
      <w:r w:rsidR="00892471">
        <w:rPr>
          <w:rFonts w:ascii="Garamond" w:hAnsi="Garamond"/>
          <w:sz w:val="25"/>
          <w:szCs w:val="25"/>
        </w:rPr>
        <w:t>“</w:t>
      </w:r>
      <w:proofErr w:type="spellStart"/>
      <w:r w:rsidRPr="00293059">
        <w:rPr>
          <w:rFonts w:ascii="Garamond" w:hAnsi="Garamond"/>
          <w:sz w:val="25"/>
          <w:szCs w:val="25"/>
        </w:rPr>
        <w:t>abridg</w:t>
      </w:r>
      <w:proofErr w:type="spellEnd"/>
      <w:r w:rsidRPr="00293059">
        <w:rPr>
          <w:rFonts w:ascii="Garamond" w:hAnsi="Garamond"/>
          <w:sz w:val="25"/>
          <w:szCs w:val="25"/>
        </w:rPr>
        <w:t>[</w:t>
      </w:r>
      <w:proofErr w:type="spellStart"/>
      <w:r w:rsidRPr="00293059">
        <w:rPr>
          <w:rFonts w:ascii="Garamond" w:hAnsi="Garamond"/>
          <w:sz w:val="25"/>
          <w:szCs w:val="25"/>
        </w:rPr>
        <w:t>ing</w:t>
      </w:r>
      <w:proofErr w:type="spellEnd"/>
      <w:r w:rsidRPr="00293059">
        <w:rPr>
          <w:rFonts w:ascii="Garamond" w:hAnsi="Garamond"/>
          <w:sz w:val="25"/>
          <w:szCs w:val="25"/>
        </w:rPr>
        <w:t>] students</w:t>
      </w:r>
      <w:r w:rsidR="00892471">
        <w:rPr>
          <w:rFonts w:ascii="Garamond" w:hAnsi="Garamond"/>
          <w:sz w:val="25"/>
          <w:szCs w:val="25"/>
        </w:rPr>
        <w:t>’</w:t>
      </w:r>
      <w:r w:rsidRPr="00293059">
        <w:rPr>
          <w:rFonts w:ascii="Garamond" w:hAnsi="Garamond"/>
          <w:sz w:val="25"/>
          <w:szCs w:val="25"/>
        </w:rPr>
        <w:t xml:space="preserve"> legitimate exercise of their constitutional rights,</w:t>
      </w:r>
      <w:r w:rsidR="00892471">
        <w:rPr>
          <w:rFonts w:ascii="Garamond" w:hAnsi="Garamond"/>
          <w:sz w:val="25"/>
          <w:szCs w:val="25"/>
        </w:rPr>
        <w:t>”</w:t>
      </w:r>
      <w:r w:rsidRPr="00293059">
        <w:rPr>
          <w:rFonts w:ascii="Garamond" w:hAnsi="Garamond"/>
          <w:sz w:val="25"/>
          <w:szCs w:val="25"/>
        </w:rPr>
        <w:t xml:space="preserve"> and paid Sean $30,000.</w:t>
      </w:r>
    </w:p>
    <w:p w14:paraId="425783F5" w14:textId="3F27CE86" w:rsidR="00293059" w:rsidRPr="00293059" w:rsidRDefault="00EC2D82" w:rsidP="00892471">
      <w:pPr>
        <w:pStyle w:val="Subhead2sl"/>
      </w:pPr>
      <w:r>
        <w:t>Case #</w:t>
      </w:r>
      <w:r>
        <w:t>2</w:t>
      </w:r>
      <w:r>
        <w:t xml:space="preserve">: </w:t>
      </w:r>
      <w:r w:rsidR="00293059" w:rsidRPr="00293059">
        <w:t>Beussink v. Woodland R-IV School District</w:t>
      </w:r>
      <w:r w:rsidR="00293059" w:rsidRPr="00892471">
        <w:rPr>
          <w:i w:val="0"/>
          <w:iCs/>
        </w:rPr>
        <w:t> (1998)</w:t>
      </w:r>
    </w:p>
    <w:p w14:paraId="46350410" w14:textId="58812FF7" w:rsidR="00293059" w:rsidRPr="00293059" w:rsidRDefault="00293059" w:rsidP="00B345B1">
      <w:pPr>
        <w:spacing w:after="120"/>
        <w:rPr>
          <w:rFonts w:ascii="Garamond" w:hAnsi="Garamond"/>
          <w:sz w:val="25"/>
          <w:szCs w:val="25"/>
        </w:rPr>
      </w:pPr>
      <w:r w:rsidRPr="00293059">
        <w:rPr>
          <w:rFonts w:ascii="Garamond" w:hAnsi="Garamond"/>
          <w:sz w:val="25"/>
          <w:szCs w:val="25"/>
        </w:rPr>
        <w:t xml:space="preserve">Brandon Buessink, a junior at Woodland High School, added comments to his personal </w:t>
      </w:r>
      <w:r w:rsidR="00892471">
        <w:rPr>
          <w:rFonts w:ascii="Garamond" w:hAnsi="Garamond"/>
          <w:sz w:val="25"/>
          <w:szCs w:val="25"/>
        </w:rPr>
        <w:t>website t</w:t>
      </w:r>
      <w:r w:rsidRPr="00293059">
        <w:rPr>
          <w:rFonts w:ascii="Garamond" w:hAnsi="Garamond"/>
          <w:sz w:val="25"/>
          <w:szCs w:val="25"/>
        </w:rPr>
        <w:t>hat criticized teachers and administrators at his school. When a student showed Brandon</w:t>
      </w:r>
      <w:r w:rsidR="00892471">
        <w:rPr>
          <w:rFonts w:ascii="Garamond" w:hAnsi="Garamond"/>
          <w:sz w:val="25"/>
          <w:szCs w:val="25"/>
        </w:rPr>
        <w:t>’</w:t>
      </w:r>
      <w:r w:rsidRPr="00293059">
        <w:rPr>
          <w:rFonts w:ascii="Garamond" w:hAnsi="Garamond"/>
          <w:sz w:val="25"/>
          <w:szCs w:val="25"/>
        </w:rPr>
        <w:t xml:space="preserve">s </w:t>
      </w:r>
      <w:r w:rsidR="00892471">
        <w:rPr>
          <w:rFonts w:ascii="Garamond" w:hAnsi="Garamond"/>
          <w:sz w:val="25"/>
          <w:szCs w:val="25"/>
        </w:rPr>
        <w:lastRenderedPageBreak/>
        <w:t xml:space="preserve">website </w:t>
      </w:r>
      <w:r w:rsidRPr="00293059">
        <w:rPr>
          <w:rFonts w:ascii="Garamond" w:hAnsi="Garamond"/>
          <w:sz w:val="25"/>
          <w:szCs w:val="25"/>
        </w:rPr>
        <w:t xml:space="preserve">to a teacher, the teacher was upset by the vulgar language and criticism the site contained. </w:t>
      </w:r>
      <w:r w:rsidR="00892471">
        <w:rPr>
          <w:rFonts w:ascii="Garamond" w:hAnsi="Garamond"/>
          <w:sz w:val="25"/>
          <w:szCs w:val="25"/>
        </w:rPr>
        <w:t xml:space="preserve">The school </w:t>
      </w:r>
      <w:r w:rsidRPr="00293059">
        <w:rPr>
          <w:rFonts w:ascii="Garamond" w:hAnsi="Garamond"/>
          <w:sz w:val="25"/>
          <w:szCs w:val="25"/>
        </w:rPr>
        <w:t>principal suspend</w:t>
      </w:r>
      <w:r w:rsidR="00892471">
        <w:rPr>
          <w:rFonts w:ascii="Garamond" w:hAnsi="Garamond"/>
          <w:sz w:val="25"/>
          <w:szCs w:val="25"/>
        </w:rPr>
        <w:t>ed</w:t>
      </w:r>
      <w:r w:rsidRPr="00293059">
        <w:rPr>
          <w:rFonts w:ascii="Garamond" w:hAnsi="Garamond"/>
          <w:sz w:val="25"/>
          <w:szCs w:val="25"/>
        </w:rPr>
        <w:t xml:space="preserve"> Brandon for five days due to the </w:t>
      </w:r>
      <w:r w:rsidR="00892471">
        <w:rPr>
          <w:rFonts w:ascii="Garamond" w:hAnsi="Garamond"/>
          <w:sz w:val="25"/>
          <w:szCs w:val="25"/>
        </w:rPr>
        <w:t>“</w:t>
      </w:r>
      <w:r w:rsidRPr="00293059">
        <w:rPr>
          <w:rFonts w:ascii="Garamond" w:hAnsi="Garamond"/>
          <w:sz w:val="25"/>
          <w:szCs w:val="25"/>
        </w:rPr>
        <w:t>offensive nature</w:t>
      </w:r>
      <w:r w:rsidR="00892471">
        <w:rPr>
          <w:rFonts w:ascii="Garamond" w:hAnsi="Garamond"/>
          <w:sz w:val="25"/>
          <w:szCs w:val="25"/>
        </w:rPr>
        <w:t>”</w:t>
      </w:r>
      <w:r w:rsidRPr="00293059">
        <w:rPr>
          <w:rFonts w:ascii="Garamond" w:hAnsi="Garamond"/>
          <w:sz w:val="25"/>
          <w:szCs w:val="25"/>
        </w:rPr>
        <w:t xml:space="preserve"> of his </w:t>
      </w:r>
      <w:r w:rsidR="00892471">
        <w:rPr>
          <w:rFonts w:ascii="Garamond" w:hAnsi="Garamond"/>
          <w:sz w:val="25"/>
          <w:szCs w:val="25"/>
        </w:rPr>
        <w:t>web</w:t>
      </w:r>
      <w:r w:rsidRPr="00293059">
        <w:rPr>
          <w:rFonts w:ascii="Garamond" w:hAnsi="Garamond"/>
          <w:sz w:val="25"/>
          <w:szCs w:val="25"/>
        </w:rPr>
        <w:t>site. At the end of the five days, the principal decided to extend Brandon</w:t>
      </w:r>
      <w:r w:rsidR="00892471">
        <w:rPr>
          <w:rFonts w:ascii="Garamond" w:hAnsi="Garamond"/>
          <w:sz w:val="25"/>
          <w:szCs w:val="25"/>
        </w:rPr>
        <w:t>’</w:t>
      </w:r>
      <w:r w:rsidRPr="00293059">
        <w:rPr>
          <w:rFonts w:ascii="Garamond" w:hAnsi="Garamond"/>
          <w:sz w:val="25"/>
          <w:szCs w:val="25"/>
        </w:rPr>
        <w:t>s suspension for 10 more days.</w:t>
      </w:r>
    </w:p>
    <w:p w14:paraId="74EB24D3" w14:textId="4D84D146" w:rsidR="00293059" w:rsidRPr="00293059" w:rsidRDefault="00293059" w:rsidP="00B345B1">
      <w:pPr>
        <w:spacing w:after="120"/>
        <w:rPr>
          <w:rFonts w:ascii="Garamond" w:hAnsi="Garamond"/>
          <w:sz w:val="25"/>
          <w:szCs w:val="25"/>
        </w:rPr>
      </w:pPr>
      <w:r w:rsidRPr="00293059">
        <w:rPr>
          <w:rFonts w:ascii="Garamond" w:hAnsi="Garamond"/>
          <w:sz w:val="25"/>
          <w:szCs w:val="25"/>
        </w:rPr>
        <w:t>Brandon took his case to U.S. District Court, arguing that the First Amendment</w:t>
      </w:r>
      <w:r w:rsidR="00892471">
        <w:rPr>
          <w:rFonts w:ascii="Garamond" w:hAnsi="Garamond"/>
          <w:sz w:val="25"/>
          <w:szCs w:val="25"/>
        </w:rPr>
        <w:t>’</w:t>
      </w:r>
      <w:r w:rsidRPr="00293059">
        <w:rPr>
          <w:rFonts w:ascii="Garamond" w:hAnsi="Garamond"/>
          <w:sz w:val="25"/>
          <w:szCs w:val="25"/>
        </w:rPr>
        <w:t xml:space="preserve">s protection of free speech meant his suspension was unconstitutional. District Judge Rodney Sippel agreed. In his ruling, Judge Sippel said that school officials did not </w:t>
      </w:r>
      <w:r w:rsidR="00B345B1">
        <w:rPr>
          <w:rFonts w:ascii="Garamond" w:hAnsi="Garamond"/>
          <w:sz w:val="25"/>
          <w:szCs w:val="25"/>
        </w:rPr>
        <w:t>“</w:t>
      </w:r>
      <w:r w:rsidRPr="00293059">
        <w:rPr>
          <w:rFonts w:ascii="Garamond" w:hAnsi="Garamond"/>
          <w:sz w:val="25"/>
          <w:szCs w:val="25"/>
        </w:rPr>
        <w:t>show that its action [suspension of Brandon] was caused by something more than a mere desire to avoid the discomfort and unpleasantness that always accompany an unpopular viewpoint.</w:t>
      </w:r>
      <w:r w:rsidR="00B345B1">
        <w:rPr>
          <w:rFonts w:ascii="Garamond" w:hAnsi="Garamond"/>
          <w:sz w:val="25"/>
          <w:szCs w:val="25"/>
        </w:rPr>
        <w:t>”</w:t>
      </w:r>
    </w:p>
    <w:p w14:paraId="2DDDEB85" w14:textId="64CD1506" w:rsidR="00293059" w:rsidRPr="00293059" w:rsidRDefault="00293059" w:rsidP="00B345B1">
      <w:pPr>
        <w:spacing w:after="120"/>
        <w:rPr>
          <w:rFonts w:ascii="Garamond" w:hAnsi="Garamond"/>
          <w:b/>
          <w:bCs/>
          <w:i/>
          <w:iCs/>
          <w:sz w:val="25"/>
          <w:szCs w:val="25"/>
        </w:rPr>
      </w:pPr>
      <w:r w:rsidRPr="00293059">
        <w:rPr>
          <w:rFonts w:ascii="Garamond" w:hAnsi="Garamond"/>
          <w:sz w:val="25"/>
          <w:szCs w:val="25"/>
        </w:rPr>
        <w:t xml:space="preserve">Summarizing his opinion, Judge Sippel concluded, </w:t>
      </w:r>
      <w:r w:rsidR="00B345B1">
        <w:rPr>
          <w:rFonts w:ascii="Garamond" w:hAnsi="Garamond"/>
          <w:sz w:val="25"/>
          <w:szCs w:val="25"/>
        </w:rPr>
        <w:t>“</w:t>
      </w:r>
      <w:r w:rsidRPr="00293059">
        <w:rPr>
          <w:rFonts w:ascii="Garamond" w:hAnsi="Garamond"/>
          <w:sz w:val="25"/>
          <w:szCs w:val="25"/>
        </w:rPr>
        <w:t>[t]he public interest is not only served by allowing Beussink</w:t>
      </w:r>
      <w:r w:rsidR="00B345B1">
        <w:rPr>
          <w:rFonts w:ascii="Garamond" w:hAnsi="Garamond"/>
          <w:sz w:val="25"/>
          <w:szCs w:val="25"/>
        </w:rPr>
        <w:t>’</w:t>
      </w:r>
      <w:r w:rsidRPr="00293059">
        <w:rPr>
          <w:rFonts w:ascii="Garamond" w:hAnsi="Garamond"/>
          <w:sz w:val="25"/>
          <w:szCs w:val="25"/>
        </w:rPr>
        <w:t>s message to be free from censure, but also by giving the students at Woodland High School this opportunity to see the protections of the United States Constitution . . .</w:t>
      </w:r>
      <w:r w:rsidR="00B345B1">
        <w:rPr>
          <w:rFonts w:ascii="Garamond" w:hAnsi="Garamond"/>
          <w:sz w:val="25"/>
          <w:szCs w:val="25"/>
        </w:rPr>
        <w:t xml:space="preserve"> .”</w:t>
      </w:r>
    </w:p>
    <w:p w14:paraId="0031B4AF" w14:textId="4842E793" w:rsidR="00293059" w:rsidRPr="00293059" w:rsidRDefault="00EC2D82" w:rsidP="00B345B1">
      <w:pPr>
        <w:pStyle w:val="Subhead2sl"/>
      </w:pPr>
      <w:r>
        <w:t>Case #</w:t>
      </w:r>
      <w:r>
        <w:t>3</w:t>
      </w:r>
      <w:r>
        <w:t xml:space="preserve">: </w:t>
      </w:r>
      <w:r w:rsidR="00293059" w:rsidRPr="00293059">
        <w:t>Emmett v. Kent School District Number 415 </w:t>
      </w:r>
      <w:r w:rsidR="00293059" w:rsidRPr="00B345B1">
        <w:rPr>
          <w:i w:val="0"/>
          <w:iCs/>
        </w:rPr>
        <w:t>(2000)</w:t>
      </w:r>
    </w:p>
    <w:p w14:paraId="65288770" w14:textId="777388A1" w:rsidR="00293059" w:rsidRPr="00293059" w:rsidRDefault="00293059" w:rsidP="00B345B1">
      <w:pPr>
        <w:spacing w:after="120"/>
        <w:rPr>
          <w:rFonts w:ascii="Garamond" w:hAnsi="Garamond"/>
          <w:sz w:val="25"/>
          <w:szCs w:val="25"/>
        </w:rPr>
      </w:pPr>
      <w:r w:rsidRPr="00293059">
        <w:rPr>
          <w:rFonts w:ascii="Garamond" w:hAnsi="Garamond"/>
          <w:sz w:val="25"/>
          <w:szCs w:val="25"/>
        </w:rPr>
        <w:t xml:space="preserve">The </w:t>
      </w:r>
      <w:r w:rsidR="00B345B1">
        <w:rPr>
          <w:rFonts w:ascii="Garamond" w:hAnsi="Garamond"/>
          <w:sz w:val="25"/>
          <w:szCs w:val="25"/>
        </w:rPr>
        <w:t>“</w:t>
      </w:r>
      <w:r w:rsidRPr="00293059">
        <w:rPr>
          <w:rFonts w:ascii="Garamond" w:hAnsi="Garamond"/>
          <w:sz w:val="25"/>
          <w:szCs w:val="25"/>
        </w:rPr>
        <w:t xml:space="preserve">Unofficial </w:t>
      </w:r>
      <w:proofErr w:type="spellStart"/>
      <w:r w:rsidRPr="00293059">
        <w:rPr>
          <w:rFonts w:ascii="Garamond" w:hAnsi="Garamond"/>
          <w:sz w:val="25"/>
          <w:szCs w:val="25"/>
        </w:rPr>
        <w:t>Kentlake</w:t>
      </w:r>
      <w:proofErr w:type="spellEnd"/>
      <w:r w:rsidRPr="00293059">
        <w:rPr>
          <w:rFonts w:ascii="Garamond" w:hAnsi="Garamond"/>
          <w:sz w:val="25"/>
          <w:szCs w:val="25"/>
        </w:rPr>
        <w:t xml:space="preserve"> High Home Page,</w:t>
      </w:r>
      <w:r w:rsidR="00B345B1">
        <w:rPr>
          <w:rFonts w:ascii="Garamond" w:hAnsi="Garamond"/>
          <w:sz w:val="25"/>
          <w:szCs w:val="25"/>
        </w:rPr>
        <w:t>”</w:t>
      </w:r>
      <w:r w:rsidRPr="00293059">
        <w:rPr>
          <w:rFonts w:ascii="Garamond" w:hAnsi="Garamond"/>
          <w:sz w:val="25"/>
          <w:szCs w:val="25"/>
        </w:rPr>
        <w:t xml:space="preserve"> published by an 18-year-old student at that school, allowed visitors to vote on which mock-obituary subject posted on the site should be </w:t>
      </w:r>
      <w:r w:rsidR="00B345B1">
        <w:rPr>
          <w:rFonts w:ascii="Garamond" w:hAnsi="Garamond"/>
          <w:sz w:val="25"/>
          <w:szCs w:val="25"/>
        </w:rPr>
        <w:t>“</w:t>
      </w:r>
      <w:r w:rsidRPr="00293059">
        <w:rPr>
          <w:rFonts w:ascii="Garamond" w:hAnsi="Garamond"/>
          <w:sz w:val="25"/>
          <w:szCs w:val="25"/>
        </w:rPr>
        <w:t>next to die.</w:t>
      </w:r>
      <w:r w:rsidR="00B345B1">
        <w:rPr>
          <w:rFonts w:ascii="Garamond" w:hAnsi="Garamond"/>
          <w:sz w:val="25"/>
          <w:szCs w:val="25"/>
        </w:rPr>
        <w:t>”</w:t>
      </w:r>
      <w:r w:rsidRPr="00293059">
        <w:rPr>
          <w:rFonts w:ascii="Garamond" w:hAnsi="Garamond"/>
          <w:sz w:val="25"/>
          <w:szCs w:val="25"/>
        </w:rPr>
        <w:t xml:space="preserve"> Shortly after school administrators </w:t>
      </w:r>
      <w:r w:rsidR="00B345B1">
        <w:rPr>
          <w:rFonts w:ascii="Garamond" w:hAnsi="Garamond"/>
          <w:sz w:val="25"/>
          <w:szCs w:val="25"/>
        </w:rPr>
        <w:t xml:space="preserve">learned of </w:t>
      </w:r>
      <w:r w:rsidRPr="00293059">
        <w:rPr>
          <w:rFonts w:ascii="Garamond" w:hAnsi="Garamond"/>
          <w:sz w:val="25"/>
          <w:szCs w:val="25"/>
        </w:rPr>
        <w:t xml:space="preserve">the site, a local news station ran a story in which the site was described as containing a </w:t>
      </w:r>
      <w:r w:rsidR="00B345B1">
        <w:rPr>
          <w:rFonts w:ascii="Garamond" w:hAnsi="Garamond"/>
          <w:sz w:val="25"/>
          <w:szCs w:val="25"/>
        </w:rPr>
        <w:t>“</w:t>
      </w:r>
      <w:r w:rsidRPr="00293059">
        <w:rPr>
          <w:rFonts w:ascii="Garamond" w:hAnsi="Garamond"/>
          <w:sz w:val="25"/>
          <w:szCs w:val="25"/>
        </w:rPr>
        <w:t>hit list</w:t>
      </w:r>
      <w:r w:rsidR="00B345B1">
        <w:rPr>
          <w:rFonts w:ascii="Garamond" w:hAnsi="Garamond"/>
          <w:sz w:val="25"/>
          <w:szCs w:val="25"/>
        </w:rPr>
        <w:t>”</w:t>
      </w:r>
      <w:r w:rsidRPr="00293059">
        <w:rPr>
          <w:rFonts w:ascii="Garamond" w:hAnsi="Garamond"/>
          <w:sz w:val="25"/>
          <w:szCs w:val="25"/>
        </w:rPr>
        <w:t xml:space="preserve"> of people to be killed. While the site contained a disclaimer stating that the site was an independent effort and for entertainment purposes only, school officials immediately placed the site</w:t>
      </w:r>
      <w:r w:rsidR="00B345B1">
        <w:rPr>
          <w:rFonts w:ascii="Garamond" w:hAnsi="Garamond"/>
          <w:sz w:val="25"/>
          <w:szCs w:val="25"/>
        </w:rPr>
        <w:t>’</w:t>
      </w:r>
      <w:r w:rsidRPr="00293059">
        <w:rPr>
          <w:rFonts w:ascii="Garamond" w:hAnsi="Garamond"/>
          <w:sz w:val="25"/>
          <w:szCs w:val="25"/>
        </w:rPr>
        <w:t>s author on emergency expulsion. The school</w:t>
      </w:r>
      <w:r w:rsidR="00B345B1">
        <w:rPr>
          <w:rFonts w:ascii="Garamond" w:hAnsi="Garamond"/>
          <w:sz w:val="25"/>
          <w:szCs w:val="25"/>
        </w:rPr>
        <w:t>’</w:t>
      </w:r>
      <w:r w:rsidRPr="00293059">
        <w:rPr>
          <w:rFonts w:ascii="Garamond" w:hAnsi="Garamond"/>
          <w:sz w:val="25"/>
          <w:szCs w:val="25"/>
        </w:rPr>
        <w:t xml:space="preserve">s action was based on a school policy prohibiting </w:t>
      </w:r>
      <w:r w:rsidR="00B345B1">
        <w:rPr>
          <w:rFonts w:ascii="Garamond" w:hAnsi="Garamond"/>
          <w:sz w:val="25"/>
          <w:szCs w:val="25"/>
        </w:rPr>
        <w:t>“</w:t>
      </w:r>
      <w:r w:rsidRPr="00293059">
        <w:rPr>
          <w:rFonts w:ascii="Garamond" w:hAnsi="Garamond"/>
          <w:sz w:val="25"/>
          <w:szCs w:val="25"/>
        </w:rPr>
        <w:t>harassment, intimidation, disruption to the educational process and violation of Kent School District copyright.</w:t>
      </w:r>
      <w:r w:rsidR="00B345B1">
        <w:rPr>
          <w:rFonts w:ascii="Garamond" w:hAnsi="Garamond"/>
          <w:sz w:val="25"/>
          <w:szCs w:val="25"/>
        </w:rPr>
        <w:t>”</w:t>
      </w:r>
    </w:p>
    <w:p w14:paraId="5EE0B107" w14:textId="571A64CD" w:rsidR="00293059" w:rsidRPr="00293059" w:rsidRDefault="00293059" w:rsidP="00B345B1">
      <w:pPr>
        <w:spacing w:after="120"/>
        <w:rPr>
          <w:rFonts w:ascii="Garamond" w:hAnsi="Garamond"/>
          <w:sz w:val="25"/>
          <w:szCs w:val="25"/>
        </w:rPr>
      </w:pPr>
      <w:r w:rsidRPr="00293059">
        <w:rPr>
          <w:rFonts w:ascii="Garamond" w:hAnsi="Garamond"/>
          <w:sz w:val="25"/>
          <w:szCs w:val="25"/>
        </w:rPr>
        <w:t>Although the student</w:t>
      </w:r>
      <w:r w:rsidR="00B345B1">
        <w:rPr>
          <w:rFonts w:ascii="Garamond" w:hAnsi="Garamond"/>
          <w:sz w:val="25"/>
          <w:szCs w:val="25"/>
        </w:rPr>
        <w:t>’</w:t>
      </w:r>
      <w:r w:rsidRPr="00293059">
        <w:rPr>
          <w:rFonts w:ascii="Garamond" w:hAnsi="Garamond"/>
          <w:sz w:val="25"/>
          <w:szCs w:val="25"/>
        </w:rPr>
        <w:t xml:space="preserve">s expulsion was quickly converted to a five-day suspension, the student sued in U.S. District Court </w:t>
      </w:r>
      <w:r w:rsidR="00B345B1">
        <w:rPr>
          <w:rFonts w:ascii="Garamond" w:hAnsi="Garamond"/>
          <w:sz w:val="25"/>
          <w:szCs w:val="25"/>
        </w:rPr>
        <w:t xml:space="preserve">arguing that their </w:t>
      </w:r>
      <w:r w:rsidRPr="00293059">
        <w:rPr>
          <w:rFonts w:ascii="Garamond" w:hAnsi="Garamond"/>
          <w:sz w:val="25"/>
          <w:szCs w:val="25"/>
        </w:rPr>
        <w:t>First Amendment</w:t>
      </w:r>
      <w:r w:rsidR="00B345B1">
        <w:rPr>
          <w:rFonts w:ascii="Garamond" w:hAnsi="Garamond"/>
          <w:sz w:val="25"/>
          <w:szCs w:val="25"/>
        </w:rPr>
        <w:t xml:space="preserve"> f</w:t>
      </w:r>
      <w:r w:rsidRPr="00293059">
        <w:rPr>
          <w:rFonts w:ascii="Garamond" w:hAnsi="Garamond"/>
          <w:sz w:val="25"/>
          <w:szCs w:val="25"/>
        </w:rPr>
        <w:t xml:space="preserve">reedom of </w:t>
      </w:r>
      <w:r w:rsidR="00B345B1">
        <w:rPr>
          <w:rFonts w:ascii="Garamond" w:hAnsi="Garamond"/>
          <w:sz w:val="25"/>
          <w:szCs w:val="25"/>
        </w:rPr>
        <w:t>e</w:t>
      </w:r>
      <w:r w:rsidRPr="00293059">
        <w:rPr>
          <w:rFonts w:ascii="Garamond" w:hAnsi="Garamond"/>
          <w:sz w:val="25"/>
          <w:szCs w:val="25"/>
        </w:rPr>
        <w:t xml:space="preserve">xpression </w:t>
      </w:r>
      <w:r w:rsidR="00B345B1">
        <w:rPr>
          <w:rFonts w:ascii="Garamond" w:hAnsi="Garamond"/>
          <w:sz w:val="25"/>
          <w:szCs w:val="25"/>
        </w:rPr>
        <w:t xml:space="preserve">rights were violated. </w:t>
      </w:r>
      <w:r w:rsidRPr="00293059">
        <w:rPr>
          <w:rFonts w:ascii="Garamond" w:hAnsi="Garamond"/>
          <w:sz w:val="25"/>
          <w:szCs w:val="25"/>
        </w:rPr>
        <w:t xml:space="preserve">District Court Judge John C. Coughenour admitted in his ruling that student websites </w:t>
      </w:r>
      <w:r w:rsidR="00B345B1">
        <w:rPr>
          <w:rFonts w:ascii="Garamond" w:hAnsi="Garamond"/>
          <w:sz w:val="25"/>
          <w:szCs w:val="25"/>
        </w:rPr>
        <w:t>“</w:t>
      </w:r>
      <w:r w:rsidRPr="00293059">
        <w:rPr>
          <w:rFonts w:ascii="Garamond" w:hAnsi="Garamond"/>
          <w:sz w:val="25"/>
          <w:szCs w:val="25"/>
        </w:rPr>
        <w:t>can be an early indication of a student</w:t>
      </w:r>
      <w:r w:rsidR="00B345B1">
        <w:rPr>
          <w:rFonts w:ascii="Garamond" w:hAnsi="Garamond"/>
          <w:sz w:val="25"/>
          <w:szCs w:val="25"/>
        </w:rPr>
        <w:t>’</w:t>
      </w:r>
      <w:r w:rsidRPr="00293059">
        <w:rPr>
          <w:rFonts w:ascii="Garamond" w:hAnsi="Garamond"/>
          <w:sz w:val="25"/>
          <w:szCs w:val="25"/>
        </w:rPr>
        <w:t>s violent inclinations.</w:t>
      </w:r>
      <w:r w:rsidR="00B345B1">
        <w:rPr>
          <w:rFonts w:ascii="Garamond" w:hAnsi="Garamond"/>
          <w:sz w:val="25"/>
          <w:szCs w:val="25"/>
        </w:rPr>
        <w:t>”</w:t>
      </w:r>
      <w:r w:rsidRPr="00293059">
        <w:rPr>
          <w:rFonts w:ascii="Garamond" w:hAnsi="Garamond"/>
          <w:sz w:val="25"/>
          <w:szCs w:val="25"/>
        </w:rPr>
        <w:t xml:space="preserve"> However, the judge also stated that the student-generated nature of the site, combined with the failure of school officials to present any evidence that </w:t>
      </w:r>
      <w:r w:rsidR="00B345B1">
        <w:rPr>
          <w:rFonts w:ascii="Garamond" w:hAnsi="Garamond"/>
          <w:sz w:val="25"/>
          <w:szCs w:val="25"/>
        </w:rPr>
        <w:t>“</w:t>
      </w:r>
      <w:r w:rsidRPr="00293059">
        <w:rPr>
          <w:rFonts w:ascii="Garamond" w:hAnsi="Garamond"/>
          <w:sz w:val="25"/>
          <w:szCs w:val="25"/>
        </w:rPr>
        <w:t>the mock obituaries and voting on this website were intended to threaten anyone . . .</w:t>
      </w:r>
      <w:r w:rsidR="00B345B1">
        <w:rPr>
          <w:rFonts w:ascii="Garamond" w:hAnsi="Garamond"/>
          <w:sz w:val="25"/>
          <w:szCs w:val="25"/>
        </w:rPr>
        <w:t xml:space="preserve"> .” </w:t>
      </w:r>
      <w:r w:rsidRPr="00293059">
        <w:rPr>
          <w:rFonts w:ascii="Garamond" w:hAnsi="Garamond"/>
          <w:sz w:val="25"/>
          <w:szCs w:val="25"/>
        </w:rPr>
        <w:t>did not meet the standards laid out in preceding student free speech cases.</w:t>
      </w:r>
    </w:p>
    <w:p w14:paraId="726F0539" w14:textId="2BBA7DB6" w:rsidR="00293059" w:rsidRPr="00293059" w:rsidRDefault="00293059" w:rsidP="00B345B1">
      <w:pPr>
        <w:spacing w:after="120"/>
        <w:rPr>
          <w:rFonts w:ascii="Garamond" w:hAnsi="Garamond"/>
          <w:sz w:val="25"/>
          <w:szCs w:val="25"/>
        </w:rPr>
      </w:pPr>
      <w:r w:rsidRPr="00293059">
        <w:rPr>
          <w:rFonts w:ascii="Garamond" w:hAnsi="Garamond"/>
          <w:sz w:val="25"/>
          <w:szCs w:val="25"/>
        </w:rPr>
        <w:t>Upon conclusion of the case, the school district agreed to pay the student one dollar plus attorney</w:t>
      </w:r>
      <w:r w:rsidR="00B345B1">
        <w:rPr>
          <w:rFonts w:ascii="Garamond" w:hAnsi="Garamond"/>
          <w:sz w:val="25"/>
          <w:szCs w:val="25"/>
        </w:rPr>
        <w:t>’</w:t>
      </w:r>
      <w:r w:rsidRPr="00293059">
        <w:rPr>
          <w:rFonts w:ascii="Garamond" w:hAnsi="Garamond"/>
          <w:sz w:val="25"/>
          <w:szCs w:val="25"/>
        </w:rPr>
        <w:t>s fees and remove the student</w:t>
      </w:r>
      <w:r w:rsidR="00B345B1">
        <w:rPr>
          <w:rFonts w:ascii="Garamond" w:hAnsi="Garamond"/>
          <w:sz w:val="25"/>
          <w:szCs w:val="25"/>
        </w:rPr>
        <w:t>’</w:t>
      </w:r>
      <w:r w:rsidRPr="00293059">
        <w:rPr>
          <w:rFonts w:ascii="Garamond" w:hAnsi="Garamond"/>
          <w:sz w:val="25"/>
          <w:szCs w:val="25"/>
        </w:rPr>
        <w:t>s suspension from school records.</w:t>
      </w:r>
    </w:p>
    <w:p w14:paraId="759B0C78" w14:textId="3A1C0BDA" w:rsidR="00293059" w:rsidRPr="00A33335" w:rsidRDefault="00EC2D82" w:rsidP="00B345B1">
      <w:pPr>
        <w:pStyle w:val="Subhead2sl"/>
      </w:pPr>
      <w:r>
        <w:t>Case #</w:t>
      </w:r>
      <w:r>
        <w:t>4</w:t>
      </w:r>
      <w:r>
        <w:t xml:space="preserve">: </w:t>
      </w:r>
      <w:proofErr w:type="spellStart"/>
      <w:r w:rsidR="00293059" w:rsidRPr="00A33335">
        <w:t>Beidler</w:t>
      </w:r>
      <w:proofErr w:type="spellEnd"/>
      <w:r w:rsidR="00293059" w:rsidRPr="00A33335">
        <w:t> v. North Thurston School District Number Three (2000)</w:t>
      </w:r>
    </w:p>
    <w:p w14:paraId="4D72CB08" w14:textId="7EA78227" w:rsidR="00293059" w:rsidRPr="00293059" w:rsidRDefault="00293059" w:rsidP="006A5DC4">
      <w:pPr>
        <w:spacing w:after="120"/>
        <w:rPr>
          <w:rFonts w:ascii="Garamond" w:hAnsi="Garamond"/>
          <w:sz w:val="25"/>
          <w:szCs w:val="25"/>
        </w:rPr>
      </w:pPr>
      <w:r w:rsidRPr="00293059">
        <w:rPr>
          <w:rFonts w:ascii="Garamond" w:hAnsi="Garamond"/>
          <w:sz w:val="25"/>
          <w:szCs w:val="25"/>
        </w:rPr>
        <w:t xml:space="preserve">While completing his junior year at Timberline High School, Karl Beidler created a website depicting one of </w:t>
      </w:r>
      <w:r w:rsidR="00B345B1">
        <w:rPr>
          <w:rFonts w:ascii="Garamond" w:hAnsi="Garamond"/>
          <w:sz w:val="25"/>
          <w:szCs w:val="25"/>
        </w:rPr>
        <w:t xml:space="preserve">the school’s </w:t>
      </w:r>
      <w:r w:rsidRPr="00293059">
        <w:rPr>
          <w:rFonts w:ascii="Garamond" w:hAnsi="Garamond"/>
          <w:sz w:val="25"/>
          <w:szCs w:val="25"/>
        </w:rPr>
        <w:t xml:space="preserve">assistant principals as a Nazi, drunk, and graffiti artist. </w:t>
      </w:r>
      <w:r w:rsidR="00B345B1">
        <w:rPr>
          <w:rFonts w:ascii="Garamond" w:hAnsi="Garamond"/>
          <w:sz w:val="25"/>
          <w:szCs w:val="25"/>
        </w:rPr>
        <w:t xml:space="preserve">The principal place </w:t>
      </w:r>
      <w:proofErr w:type="spellStart"/>
      <w:r w:rsidR="00B345B1">
        <w:rPr>
          <w:rFonts w:ascii="Garamond" w:hAnsi="Garamond"/>
          <w:sz w:val="25"/>
          <w:szCs w:val="25"/>
        </w:rPr>
        <w:t>Beidler</w:t>
      </w:r>
      <w:proofErr w:type="spellEnd"/>
      <w:r w:rsidR="00B345B1">
        <w:rPr>
          <w:rFonts w:ascii="Garamond" w:hAnsi="Garamond"/>
          <w:sz w:val="25"/>
          <w:szCs w:val="25"/>
        </w:rPr>
        <w:t xml:space="preserve"> on emergency suspension a</w:t>
      </w:r>
      <w:r w:rsidRPr="00293059">
        <w:rPr>
          <w:rFonts w:ascii="Garamond" w:hAnsi="Garamond"/>
          <w:sz w:val="25"/>
          <w:szCs w:val="25"/>
        </w:rPr>
        <w:t xml:space="preserve">fter testifying that he found the website </w:t>
      </w:r>
      <w:r w:rsidR="00B345B1">
        <w:rPr>
          <w:rFonts w:ascii="Garamond" w:hAnsi="Garamond"/>
          <w:sz w:val="25"/>
          <w:szCs w:val="25"/>
        </w:rPr>
        <w:lastRenderedPageBreak/>
        <w:t>“</w:t>
      </w:r>
      <w:r w:rsidRPr="00293059">
        <w:rPr>
          <w:rFonts w:ascii="Garamond" w:hAnsi="Garamond"/>
          <w:sz w:val="25"/>
          <w:szCs w:val="25"/>
        </w:rPr>
        <w:t>appalling and inappropriate</w:t>
      </w:r>
      <w:r w:rsidR="00B345B1">
        <w:rPr>
          <w:rFonts w:ascii="Garamond" w:hAnsi="Garamond"/>
          <w:sz w:val="25"/>
          <w:szCs w:val="25"/>
        </w:rPr>
        <w:t xml:space="preserve">” and after </w:t>
      </w:r>
      <w:r w:rsidR="00B345B1" w:rsidRPr="00293059">
        <w:rPr>
          <w:rFonts w:ascii="Garamond" w:hAnsi="Garamond"/>
          <w:sz w:val="25"/>
          <w:szCs w:val="25"/>
        </w:rPr>
        <w:t xml:space="preserve">teachers complained about feeling uncomfortable with </w:t>
      </w:r>
      <w:proofErr w:type="spellStart"/>
      <w:r w:rsidR="00B345B1" w:rsidRPr="00293059">
        <w:rPr>
          <w:rFonts w:ascii="Garamond" w:hAnsi="Garamond"/>
          <w:sz w:val="25"/>
          <w:szCs w:val="25"/>
        </w:rPr>
        <w:t>Beidler</w:t>
      </w:r>
      <w:proofErr w:type="spellEnd"/>
      <w:r w:rsidR="00B345B1" w:rsidRPr="00293059">
        <w:rPr>
          <w:rFonts w:ascii="Garamond" w:hAnsi="Garamond"/>
          <w:sz w:val="25"/>
          <w:szCs w:val="25"/>
        </w:rPr>
        <w:t xml:space="preserve"> in their class</w:t>
      </w:r>
      <w:r w:rsidR="00B345B1">
        <w:rPr>
          <w:rFonts w:ascii="Garamond" w:hAnsi="Garamond"/>
          <w:sz w:val="25"/>
          <w:szCs w:val="25"/>
        </w:rPr>
        <w:t xml:space="preserve">. </w:t>
      </w:r>
      <w:proofErr w:type="spellStart"/>
      <w:r w:rsidRPr="00293059">
        <w:rPr>
          <w:rFonts w:ascii="Garamond" w:hAnsi="Garamond"/>
          <w:sz w:val="25"/>
          <w:szCs w:val="25"/>
        </w:rPr>
        <w:t>Beidler</w:t>
      </w:r>
      <w:proofErr w:type="spellEnd"/>
      <w:r w:rsidRPr="00293059">
        <w:rPr>
          <w:rFonts w:ascii="Garamond" w:hAnsi="Garamond"/>
          <w:sz w:val="25"/>
          <w:szCs w:val="25"/>
        </w:rPr>
        <w:t xml:space="preserve"> was ultimately transferred to an alternative educational program in his school district, but he was allowed to return to Timberline for his senior year.</w:t>
      </w:r>
    </w:p>
    <w:p w14:paraId="08F2513A" w14:textId="1586CD1D" w:rsidR="00293059" w:rsidRPr="00293059" w:rsidRDefault="00293059" w:rsidP="006A5DC4">
      <w:pPr>
        <w:spacing w:after="120"/>
        <w:rPr>
          <w:rFonts w:ascii="Garamond" w:hAnsi="Garamond"/>
          <w:sz w:val="25"/>
          <w:szCs w:val="25"/>
        </w:rPr>
      </w:pPr>
      <w:r w:rsidRPr="00293059">
        <w:rPr>
          <w:rFonts w:ascii="Garamond" w:hAnsi="Garamond"/>
          <w:sz w:val="25"/>
          <w:szCs w:val="25"/>
        </w:rPr>
        <w:t>Beidler took his case to a state</w:t>
      </w:r>
      <w:r w:rsidR="00B345B1">
        <w:rPr>
          <w:rFonts w:ascii="Garamond" w:hAnsi="Garamond"/>
          <w:sz w:val="25"/>
          <w:szCs w:val="25"/>
        </w:rPr>
        <w:t>-level</w:t>
      </w:r>
      <w:r w:rsidRPr="00293059">
        <w:rPr>
          <w:rFonts w:ascii="Garamond" w:hAnsi="Garamond"/>
          <w:sz w:val="25"/>
          <w:szCs w:val="25"/>
        </w:rPr>
        <w:t xml:space="preserve"> trial court and argued that his suspension and placement were unconstitutional under the First Amendment. Specifically, </w:t>
      </w:r>
      <w:proofErr w:type="spellStart"/>
      <w:r w:rsidRPr="00293059">
        <w:rPr>
          <w:rFonts w:ascii="Garamond" w:hAnsi="Garamond"/>
          <w:sz w:val="25"/>
          <w:szCs w:val="25"/>
        </w:rPr>
        <w:t>Beidler</w:t>
      </w:r>
      <w:r w:rsidR="00B345B1">
        <w:rPr>
          <w:rFonts w:ascii="Garamond" w:hAnsi="Garamond"/>
          <w:sz w:val="25"/>
          <w:szCs w:val="25"/>
        </w:rPr>
        <w:t>’</w:t>
      </w:r>
      <w:r w:rsidRPr="00293059">
        <w:rPr>
          <w:rFonts w:ascii="Garamond" w:hAnsi="Garamond"/>
          <w:sz w:val="25"/>
          <w:szCs w:val="25"/>
        </w:rPr>
        <w:t>s</w:t>
      </w:r>
      <w:proofErr w:type="spellEnd"/>
      <w:r w:rsidRPr="00293059">
        <w:rPr>
          <w:rFonts w:ascii="Garamond" w:hAnsi="Garamond"/>
          <w:sz w:val="25"/>
          <w:szCs w:val="25"/>
        </w:rPr>
        <w:t xml:space="preserve"> attorney argued that because the website </w:t>
      </w:r>
      <w:r w:rsidR="00B345B1">
        <w:rPr>
          <w:rFonts w:ascii="Garamond" w:hAnsi="Garamond"/>
          <w:sz w:val="25"/>
          <w:szCs w:val="25"/>
        </w:rPr>
        <w:t>“</w:t>
      </w:r>
      <w:r w:rsidRPr="00293059">
        <w:rPr>
          <w:rFonts w:ascii="Garamond" w:hAnsi="Garamond"/>
          <w:sz w:val="25"/>
          <w:szCs w:val="25"/>
        </w:rPr>
        <w:t>caused no substantial disruption</w:t>
      </w:r>
      <w:r w:rsidR="00B345B1">
        <w:rPr>
          <w:rFonts w:ascii="Garamond" w:hAnsi="Garamond"/>
          <w:sz w:val="25"/>
          <w:szCs w:val="25"/>
        </w:rPr>
        <w:t>”</w:t>
      </w:r>
      <w:r w:rsidRPr="00293059">
        <w:rPr>
          <w:rFonts w:ascii="Garamond" w:hAnsi="Garamond"/>
          <w:sz w:val="25"/>
          <w:szCs w:val="25"/>
        </w:rPr>
        <w:t xml:space="preserve"> and school officials had no </w:t>
      </w:r>
      <w:r w:rsidR="00B345B1">
        <w:rPr>
          <w:rFonts w:ascii="Garamond" w:hAnsi="Garamond"/>
          <w:sz w:val="25"/>
          <w:szCs w:val="25"/>
        </w:rPr>
        <w:t>“</w:t>
      </w:r>
      <w:r w:rsidRPr="00293059">
        <w:rPr>
          <w:rFonts w:ascii="Garamond" w:hAnsi="Garamond"/>
          <w:sz w:val="25"/>
          <w:szCs w:val="25"/>
        </w:rPr>
        <w:t>authority to police off-campus or Internet student speech,</w:t>
      </w:r>
      <w:r w:rsidR="00B345B1">
        <w:rPr>
          <w:rFonts w:ascii="Garamond" w:hAnsi="Garamond"/>
          <w:sz w:val="25"/>
          <w:szCs w:val="25"/>
        </w:rPr>
        <w:t>”</w:t>
      </w:r>
      <w:r w:rsidRPr="00293059">
        <w:rPr>
          <w:rFonts w:ascii="Garamond" w:hAnsi="Garamond"/>
          <w:sz w:val="25"/>
          <w:szCs w:val="25"/>
        </w:rPr>
        <w:t xml:space="preserve"> the suspension was unconstitutional.</w:t>
      </w:r>
    </w:p>
    <w:p w14:paraId="5322CFD2" w14:textId="342E1132" w:rsidR="00293059" w:rsidRDefault="00293059" w:rsidP="006A5DC4">
      <w:pPr>
        <w:spacing w:after="120"/>
        <w:rPr>
          <w:rFonts w:ascii="Garamond" w:hAnsi="Garamond"/>
          <w:sz w:val="25"/>
          <w:szCs w:val="25"/>
        </w:rPr>
      </w:pPr>
      <w:r w:rsidRPr="00293059">
        <w:rPr>
          <w:rFonts w:ascii="Garamond" w:hAnsi="Garamond"/>
          <w:sz w:val="25"/>
          <w:szCs w:val="25"/>
        </w:rPr>
        <w:t xml:space="preserve">The trial court agreed with </w:t>
      </w:r>
      <w:proofErr w:type="spellStart"/>
      <w:r w:rsidRPr="00293059">
        <w:rPr>
          <w:rFonts w:ascii="Garamond" w:hAnsi="Garamond"/>
          <w:sz w:val="25"/>
          <w:szCs w:val="25"/>
        </w:rPr>
        <w:t>Beidler</w:t>
      </w:r>
      <w:r w:rsidR="00B345B1">
        <w:rPr>
          <w:rFonts w:ascii="Garamond" w:hAnsi="Garamond"/>
          <w:sz w:val="25"/>
          <w:szCs w:val="25"/>
        </w:rPr>
        <w:t>’</w:t>
      </w:r>
      <w:r w:rsidRPr="00293059">
        <w:rPr>
          <w:rFonts w:ascii="Garamond" w:hAnsi="Garamond"/>
          <w:sz w:val="25"/>
          <w:szCs w:val="25"/>
        </w:rPr>
        <w:t>s</w:t>
      </w:r>
      <w:proofErr w:type="spellEnd"/>
      <w:r w:rsidRPr="00293059">
        <w:rPr>
          <w:rFonts w:ascii="Garamond" w:hAnsi="Garamond"/>
          <w:sz w:val="25"/>
          <w:szCs w:val="25"/>
        </w:rPr>
        <w:t xml:space="preserve"> attorney, ruling that the school district had failed to meet </w:t>
      </w:r>
      <w:r w:rsidRPr="00293059">
        <w:rPr>
          <w:rFonts w:ascii="Garamond" w:hAnsi="Garamond"/>
          <w:i/>
          <w:iCs/>
          <w:sz w:val="25"/>
          <w:szCs w:val="25"/>
        </w:rPr>
        <w:t>Tinker</w:t>
      </w:r>
      <w:r w:rsidR="00B345B1">
        <w:rPr>
          <w:rFonts w:ascii="Garamond" w:hAnsi="Garamond"/>
          <w:i/>
          <w:iCs/>
          <w:sz w:val="25"/>
          <w:szCs w:val="25"/>
        </w:rPr>
        <w:t>’</w:t>
      </w:r>
      <w:r w:rsidRPr="00293059">
        <w:rPr>
          <w:rFonts w:ascii="Garamond" w:hAnsi="Garamond"/>
          <w:i/>
          <w:iCs/>
          <w:sz w:val="25"/>
          <w:szCs w:val="25"/>
        </w:rPr>
        <w:t>s</w:t>
      </w:r>
      <w:r w:rsidRPr="00293059">
        <w:rPr>
          <w:rFonts w:ascii="Garamond" w:hAnsi="Garamond"/>
          <w:sz w:val="25"/>
          <w:szCs w:val="25"/>
        </w:rPr>
        <w:t> standard governing disruptive speech.</w:t>
      </w:r>
    </w:p>
    <w:p w14:paraId="798B9C81" w14:textId="4D673EA9" w:rsidR="00293059" w:rsidRPr="00A33335" w:rsidRDefault="00EC2D82" w:rsidP="00EC2D82">
      <w:pPr>
        <w:pStyle w:val="Subhead2sl"/>
      </w:pPr>
      <w:r>
        <w:t>Case #</w:t>
      </w:r>
      <w:r>
        <w:t>5</w:t>
      </w:r>
      <w:r>
        <w:t xml:space="preserve">: </w:t>
      </w:r>
      <w:r w:rsidR="00293059" w:rsidRPr="00A33335">
        <w:t>J.S. v. Bethlehem Area School District (1998)</w:t>
      </w:r>
    </w:p>
    <w:p w14:paraId="24197ED3" w14:textId="7230A187" w:rsidR="00293059" w:rsidRPr="00293059" w:rsidRDefault="00293059" w:rsidP="006A5DC4">
      <w:pPr>
        <w:spacing w:after="120"/>
        <w:rPr>
          <w:rFonts w:ascii="Garamond" w:hAnsi="Garamond"/>
          <w:sz w:val="25"/>
          <w:szCs w:val="25"/>
        </w:rPr>
      </w:pPr>
      <w:r w:rsidRPr="00293059">
        <w:rPr>
          <w:rFonts w:ascii="Garamond" w:hAnsi="Garamond"/>
          <w:sz w:val="25"/>
          <w:szCs w:val="25"/>
        </w:rPr>
        <w:t>An eighth-grade student in Bethlehem, Pennsylvania</w:t>
      </w:r>
      <w:r w:rsidR="00EC2D82">
        <w:rPr>
          <w:rFonts w:ascii="Garamond" w:hAnsi="Garamond"/>
          <w:sz w:val="25"/>
          <w:szCs w:val="25"/>
        </w:rPr>
        <w:t>,</w:t>
      </w:r>
      <w:r w:rsidRPr="00293059">
        <w:rPr>
          <w:rFonts w:ascii="Garamond" w:hAnsi="Garamond"/>
          <w:sz w:val="25"/>
          <w:szCs w:val="25"/>
        </w:rPr>
        <w:t xml:space="preserve"> was suspended for 10 days before being permanently expelled from middle school as a result of the website he published from his personal computer. This website contained vulgar and derogatory information about several employees from his middle school, asking questions like, </w:t>
      </w:r>
      <w:r w:rsidR="00EC2D82">
        <w:rPr>
          <w:rFonts w:ascii="Garamond" w:hAnsi="Garamond"/>
          <w:sz w:val="25"/>
          <w:szCs w:val="25"/>
        </w:rPr>
        <w:t>“</w:t>
      </w:r>
      <w:r w:rsidRPr="00293059">
        <w:rPr>
          <w:rFonts w:ascii="Garamond" w:hAnsi="Garamond"/>
          <w:sz w:val="25"/>
          <w:szCs w:val="25"/>
        </w:rPr>
        <w:t>Why should she [his algebra teacher] die? . . . Take a look at the diagram and reasons I give, then give me $20 dollars to help pay for the hitman.</w:t>
      </w:r>
      <w:r w:rsidR="006A5DC4">
        <w:rPr>
          <w:rFonts w:ascii="Garamond" w:hAnsi="Garamond"/>
          <w:sz w:val="25"/>
          <w:szCs w:val="25"/>
        </w:rPr>
        <w:t>”</w:t>
      </w:r>
    </w:p>
    <w:p w14:paraId="683905A9" w14:textId="3F62701F" w:rsidR="00293059" w:rsidRPr="00293059" w:rsidRDefault="00293059" w:rsidP="006A5DC4">
      <w:pPr>
        <w:spacing w:after="120"/>
        <w:rPr>
          <w:rFonts w:ascii="Garamond" w:hAnsi="Garamond"/>
          <w:sz w:val="25"/>
          <w:szCs w:val="25"/>
        </w:rPr>
      </w:pPr>
      <w:r w:rsidRPr="00293059">
        <w:rPr>
          <w:rFonts w:ascii="Garamond" w:hAnsi="Garamond"/>
          <w:sz w:val="25"/>
          <w:szCs w:val="25"/>
        </w:rPr>
        <w:t>After his expulsion, the student appealed the school board</w:t>
      </w:r>
      <w:r w:rsidR="006A5DC4">
        <w:rPr>
          <w:rFonts w:ascii="Garamond" w:hAnsi="Garamond"/>
          <w:sz w:val="25"/>
          <w:szCs w:val="25"/>
        </w:rPr>
        <w:t>’</w:t>
      </w:r>
      <w:r w:rsidRPr="00293059">
        <w:rPr>
          <w:rFonts w:ascii="Garamond" w:hAnsi="Garamond"/>
          <w:sz w:val="25"/>
          <w:szCs w:val="25"/>
        </w:rPr>
        <w:t xml:space="preserve">s decision by taking his case to </w:t>
      </w:r>
      <w:proofErr w:type="gramStart"/>
      <w:r w:rsidRPr="00293059">
        <w:rPr>
          <w:rFonts w:ascii="Garamond" w:hAnsi="Garamond"/>
          <w:sz w:val="25"/>
          <w:szCs w:val="25"/>
        </w:rPr>
        <w:t>his the</w:t>
      </w:r>
      <w:proofErr w:type="gramEnd"/>
      <w:r w:rsidRPr="00293059">
        <w:rPr>
          <w:rFonts w:ascii="Garamond" w:hAnsi="Garamond"/>
          <w:sz w:val="25"/>
          <w:szCs w:val="25"/>
        </w:rPr>
        <w:t xml:space="preserve"> Pennsylvania </w:t>
      </w:r>
      <w:r w:rsidR="006A5DC4">
        <w:rPr>
          <w:rFonts w:ascii="Garamond" w:hAnsi="Garamond"/>
          <w:sz w:val="25"/>
          <w:szCs w:val="25"/>
        </w:rPr>
        <w:t>C</w:t>
      </w:r>
      <w:r w:rsidRPr="00293059">
        <w:rPr>
          <w:rFonts w:ascii="Garamond" w:hAnsi="Garamond"/>
          <w:sz w:val="25"/>
          <w:szCs w:val="25"/>
        </w:rPr>
        <w:t xml:space="preserve">ourt of </w:t>
      </w:r>
      <w:r w:rsidR="006A5DC4">
        <w:rPr>
          <w:rFonts w:ascii="Garamond" w:hAnsi="Garamond"/>
          <w:sz w:val="25"/>
          <w:szCs w:val="25"/>
        </w:rPr>
        <w:t>C</w:t>
      </w:r>
      <w:r w:rsidRPr="00293059">
        <w:rPr>
          <w:rFonts w:ascii="Garamond" w:hAnsi="Garamond"/>
          <w:sz w:val="25"/>
          <w:szCs w:val="25"/>
        </w:rPr>
        <w:t xml:space="preserve">ommon </w:t>
      </w:r>
      <w:r w:rsidR="006A5DC4">
        <w:rPr>
          <w:rFonts w:ascii="Garamond" w:hAnsi="Garamond"/>
          <w:sz w:val="25"/>
          <w:szCs w:val="25"/>
        </w:rPr>
        <w:t>P</w:t>
      </w:r>
      <w:r w:rsidRPr="00293059">
        <w:rPr>
          <w:rFonts w:ascii="Garamond" w:hAnsi="Garamond"/>
          <w:sz w:val="25"/>
          <w:szCs w:val="25"/>
        </w:rPr>
        <w:t>leas and the Commonwealth Court of Pennsylvania. Claiming a violation of his First Amendment right to free speech, the student and his attorney argued that his expulsion was unconstitutional.</w:t>
      </w:r>
    </w:p>
    <w:p w14:paraId="6E9B1310" w14:textId="48D22B41" w:rsidR="00293059" w:rsidRPr="00293059" w:rsidRDefault="00293059" w:rsidP="006A5DC4">
      <w:pPr>
        <w:spacing w:after="120"/>
        <w:rPr>
          <w:rFonts w:ascii="Garamond" w:hAnsi="Garamond"/>
          <w:sz w:val="25"/>
          <w:szCs w:val="25"/>
        </w:rPr>
      </w:pPr>
      <w:r w:rsidRPr="00293059">
        <w:rPr>
          <w:rFonts w:ascii="Garamond" w:hAnsi="Garamond"/>
          <w:sz w:val="25"/>
          <w:szCs w:val="25"/>
        </w:rPr>
        <w:t>A majority of the Commonwealth Court of Pennsylvania disagreed, stating that the student</w:t>
      </w:r>
      <w:r w:rsidR="006A5DC4">
        <w:rPr>
          <w:rFonts w:ascii="Garamond" w:hAnsi="Garamond"/>
          <w:sz w:val="25"/>
          <w:szCs w:val="25"/>
        </w:rPr>
        <w:t>’</w:t>
      </w:r>
      <w:r w:rsidRPr="00293059">
        <w:rPr>
          <w:rFonts w:ascii="Garamond" w:hAnsi="Garamond"/>
          <w:sz w:val="25"/>
          <w:szCs w:val="25"/>
        </w:rPr>
        <w:t xml:space="preserve">s website </w:t>
      </w:r>
      <w:r w:rsidR="006A5DC4">
        <w:rPr>
          <w:rFonts w:ascii="Garamond" w:hAnsi="Garamond"/>
          <w:sz w:val="25"/>
          <w:szCs w:val="25"/>
        </w:rPr>
        <w:t>“</w:t>
      </w:r>
      <w:r w:rsidRPr="00293059">
        <w:rPr>
          <w:rFonts w:ascii="Garamond" w:hAnsi="Garamond"/>
          <w:sz w:val="25"/>
          <w:szCs w:val="25"/>
        </w:rPr>
        <w:t>materially disrupted the learning environment</w:t>
      </w:r>
      <w:r w:rsidR="006A5DC4">
        <w:rPr>
          <w:rFonts w:ascii="Garamond" w:hAnsi="Garamond"/>
          <w:sz w:val="25"/>
          <w:szCs w:val="25"/>
        </w:rPr>
        <w:t>”</w:t>
      </w:r>
      <w:r w:rsidRPr="00293059">
        <w:rPr>
          <w:rFonts w:ascii="Garamond" w:hAnsi="Garamond"/>
          <w:sz w:val="25"/>
          <w:szCs w:val="25"/>
        </w:rPr>
        <w:t xml:space="preserve"> because </w:t>
      </w:r>
      <w:r w:rsidR="006A5DC4">
        <w:rPr>
          <w:rFonts w:ascii="Garamond" w:hAnsi="Garamond"/>
          <w:sz w:val="25"/>
          <w:szCs w:val="25"/>
        </w:rPr>
        <w:t xml:space="preserve">students were discussing the site during school and at </w:t>
      </w:r>
      <w:r w:rsidRPr="00293059">
        <w:rPr>
          <w:rFonts w:ascii="Garamond" w:hAnsi="Garamond"/>
          <w:sz w:val="25"/>
          <w:szCs w:val="25"/>
        </w:rPr>
        <w:t>school-sponsored activities</w:t>
      </w:r>
      <w:r w:rsidR="006A5DC4">
        <w:rPr>
          <w:rFonts w:ascii="Garamond" w:hAnsi="Garamond"/>
          <w:sz w:val="25"/>
          <w:szCs w:val="25"/>
        </w:rPr>
        <w:t>.</w:t>
      </w:r>
      <w:r w:rsidRPr="00293059">
        <w:rPr>
          <w:rFonts w:ascii="Garamond" w:hAnsi="Garamond"/>
          <w:sz w:val="25"/>
          <w:szCs w:val="25"/>
        </w:rPr>
        <w:t xml:space="preserve"> Furthermore, the court ruled that the medical leave taken by the teacher as a result of the website was clear evidence that the </w:t>
      </w:r>
      <w:r w:rsidR="006A5DC4">
        <w:rPr>
          <w:rFonts w:ascii="Garamond" w:hAnsi="Garamond"/>
          <w:sz w:val="25"/>
          <w:szCs w:val="25"/>
        </w:rPr>
        <w:t>student’</w:t>
      </w:r>
      <w:r w:rsidRPr="00293059">
        <w:rPr>
          <w:rFonts w:ascii="Garamond" w:hAnsi="Garamond"/>
          <w:sz w:val="25"/>
          <w:szCs w:val="25"/>
        </w:rPr>
        <w:t>s site was distracting.</w:t>
      </w:r>
    </w:p>
    <w:p w14:paraId="4E373184" w14:textId="42F819E8" w:rsidR="00293059" w:rsidRPr="00293059" w:rsidRDefault="00293059" w:rsidP="00293059">
      <w:pPr>
        <w:jc w:val="center"/>
        <w:rPr>
          <w:rFonts w:ascii="Garamond" w:hAnsi="Garamond"/>
          <w:noProof/>
          <w:sz w:val="25"/>
          <w:szCs w:val="25"/>
        </w:rPr>
      </w:pPr>
    </w:p>
    <w:p w14:paraId="5ADB0E95" w14:textId="77777777" w:rsidR="006A5DC4" w:rsidRDefault="006A5DC4" w:rsidP="00293059">
      <w:pPr>
        <w:rPr>
          <w:rFonts w:ascii="Gill Sans MT" w:hAnsi="Gill Sans MT"/>
          <w:b/>
          <w:bCs/>
          <w:i/>
          <w:iCs/>
          <w:sz w:val="25"/>
          <w:szCs w:val="25"/>
        </w:rPr>
        <w:sectPr w:rsidR="006A5DC4" w:rsidSect="00A64DC2">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pPr w:leftFromText="180" w:rightFromText="180" w:vertAnchor="page" w:horzAnchor="margin" w:tblpY="168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6"/>
        <w:gridCol w:w="2543"/>
        <w:gridCol w:w="2544"/>
        <w:gridCol w:w="2543"/>
        <w:gridCol w:w="2544"/>
      </w:tblGrid>
      <w:tr w:rsidR="006A5DC4" w14:paraId="65022735" w14:textId="77777777" w:rsidTr="006A5DC4">
        <w:trPr>
          <w:trHeight w:val="838"/>
        </w:trPr>
        <w:tc>
          <w:tcPr>
            <w:tcW w:w="2776" w:type="dxa"/>
            <w:shd w:val="clear" w:color="auto" w:fill="F2F2F2" w:themeFill="background1" w:themeFillShade="F2"/>
            <w:vAlign w:val="center"/>
          </w:tcPr>
          <w:p w14:paraId="375F6ED4" w14:textId="77777777" w:rsidR="006A5DC4" w:rsidRPr="006A5DC4" w:rsidRDefault="006A5DC4" w:rsidP="006A5DC4">
            <w:pPr>
              <w:pStyle w:val="TableParagraph"/>
              <w:ind w:left="171" w:right="165"/>
              <w:jc w:val="center"/>
              <w:rPr>
                <w:rFonts w:ascii="Garamond" w:hAnsi="Garamond"/>
                <w:b/>
                <w:sz w:val="24"/>
                <w:szCs w:val="24"/>
              </w:rPr>
            </w:pPr>
            <w:r w:rsidRPr="006A5DC4">
              <w:rPr>
                <w:rFonts w:ascii="Garamond" w:hAnsi="Garamond"/>
                <w:b/>
                <w:sz w:val="24"/>
                <w:szCs w:val="24"/>
              </w:rPr>
              <w:lastRenderedPageBreak/>
              <w:t>Case</w:t>
            </w:r>
          </w:p>
        </w:tc>
        <w:tc>
          <w:tcPr>
            <w:tcW w:w="2543" w:type="dxa"/>
            <w:shd w:val="clear" w:color="auto" w:fill="F2F2F2" w:themeFill="background1" w:themeFillShade="F2"/>
            <w:vAlign w:val="center"/>
          </w:tcPr>
          <w:p w14:paraId="173D06CA" w14:textId="60648316" w:rsidR="006A5DC4" w:rsidRPr="006A5DC4" w:rsidRDefault="006A5DC4" w:rsidP="006A5DC4">
            <w:pPr>
              <w:pStyle w:val="TableParagraph"/>
              <w:ind w:left="171" w:right="165"/>
              <w:jc w:val="center"/>
              <w:rPr>
                <w:rFonts w:ascii="Garamond" w:hAnsi="Garamond"/>
                <w:b/>
                <w:sz w:val="24"/>
                <w:szCs w:val="24"/>
              </w:rPr>
            </w:pPr>
            <w:r w:rsidRPr="006A5DC4">
              <w:rPr>
                <w:rFonts w:ascii="Garamond" w:hAnsi="Garamond"/>
                <w:b/>
                <w:sz w:val="24"/>
                <w:szCs w:val="24"/>
              </w:rPr>
              <w:t xml:space="preserve">Background </w:t>
            </w:r>
            <w:r>
              <w:rPr>
                <w:rFonts w:ascii="Garamond" w:hAnsi="Garamond"/>
                <w:b/>
                <w:sz w:val="24"/>
                <w:szCs w:val="24"/>
              </w:rPr>
              <w:t>F</w:t>
            </w:r>
            <w:r w:rsidRPr="006A5DC4">
              <w:rPr>
                <w:rFonts w:ascii="Garamond" w:hAnsi="Garamond"/>
                <w:b/>
                <w:sz w:val="24"/>
                <w:szCs w:val="24"/>
              </w:rPr>
              <w:t>act</w:t>
            </w:r>
            <w:r>
              <w:rPr>
                <w:rFonts w:ascii="Garamond" w:hAnsi="Garamond"/>
                <w:b/>
                <w:sz w:val="24"/>
                <w:szCs w:val="24"/>
              </w:rPr>
              <w:t>s</w:t>
            </w:r>
          </w:p>
        </w:tc>
        <w:tc>
          <w:tcPr>
            <w:tcW w:w="2544" w:type="dxa"/>
            <w:shd w:val="clear" w:color="auto" w:fill="F2F2F2" w:themeFill="background1" w:themeFillShade="F2"/>
            <w:vAlign w:val="center"/>
          </w:tcPr>
          <w:p w14:paraId="1B3A2E81" w14:textId="77777777" w:rsidR="006A5DC4" w:rsidRPr="006A5DC4" w:rsidRDefault="006A5DC4" w:rsidP="006A5DC4">
            <w:pPr>
              <w:pStyle w:val="TableParagraph"/>
              <w:spacing w:line="242" w:lineRule="auto"/>
              <w:ind w:left="171" w:right="165" w:hanging="2"/>
              <w:jc w:val="center"/>
              <w:rPr>
                <w:rFonts w:ascii="Garamond" w:hAnsi="Garamond"/>
                <w:b/>
                <w:sz w:val="24"/>
                <w:szCs w:val="24"/>
              </w:rPr>
            </w:pPr>
            <w:r w:rsidRPr="006A5DC4">
              <w:rPr>
                <w:rFonts w:ascii="Garamond" w:hAnsi="Garamond"/>
                <w:b/>
                <w:sz w:val="24"/>
                <w:szCs w:val="24"/>
              </w:rPr>
              <w:t>Constitutional Question Raised</w:t>
            </w:r>
          </w:p>
        </w:tc>
        <w:tc>
          <w:tcPr>
            <w:tcW w:w="2543" w:type="dxa"/>
            <w:shd w:val="clear" w:color="auto" w:fill="F2F2F2" w:themeFill="background1" w:themeFillShade="F2"/>
            <w:vAlign w:val="center"/>
          </w:tcPr>
          <w:p w14:paraId="2216CA68" w14:textId="7EA43673" w:rsidR="006A5DC4" w:rsidRPr="006A5DC4" w:rsidRDefault="006A5DC4" w:rsidP="006A5DC4">
            <w:pPr>
              <w:pStyle w:val="TableParagraph"/>
              <w:spacing w:line="242" w:lineRule="auto"/>
              <w:ind w:left="171" w:right="165" w:hanging="1"/>
              <w:jc w:val="center"/>
              <w:rPr>
                <w:rFonts w:ascii="Garamond" w:hAnsi="Garamond"/>
                <w:b/>
                <w:sz w:val="24"/>
                <w:szCs w:val="24"/>
              </w:rPr>
            </w:pPr>
            <w:r w:rsidRPr="006A5DC4">
              <w:rPr>
                <w:rFonts w:ascii="Garamond" w:hAnsi="Garamond"/>
                <w:b/>
                <w:sz w:val="24"/>
                <w:szCs w:val="24"/>
              </w:rPr>
              <w:t xml:space="preserve">Was the Tinker </w:t>
            </w:r>
            <w:r w:rsidRPr="006A5DC4">
              <w:rPr>
                <w:rFonts w:ascii="Garamond" w:hAnsi="Garamond"/>
                <w:b/>
                <w:sz w:val="24"/>
                <w:szCs w:val="24"/>
              </w:rPr>
              <w:t>s</w:t>
            </w:r>
            <w:r w:rsidRPr="006A5DC4">
              <w:rPr>
                <w:rFonts w:ascii="Garamond" w:hAnsi="Garamond"/>
                <w:b/>
                <w:sz w:val="24"/>
                <w:szCs w:val="24"/>
              </w:rPr>
              <w:t xml:space="preserve">tandard </w:t>
            </w:r>
            <w:r w:rsidRPr="006A5DC4">
              <w:rPr>
                <w:rFonts w:ascii="Garamond" w:hAnsi="Garamond"/>
                <w:b/>
                <w:sz w:val="24"/>
                <w:szCs w:val="24"/>
              </w:rPr>
              <w:t>a</w:t>
            </w:r>
            <w:r w:rsidRPr="006A5DC4">
              <w:rPr>
                <w:rFonts w:ascii="Garamond" w:hAnsi="Garamond"/>
                <w:b/>
                <w:sz w:val="24"/>
                <w:szCs w:val="24"/>
              </w:rPr>
              <w:t>pplied?</w:t>
            </w:r>
          </w:p>
          <w:p w14:paraId="5F5FAC74" w14:textId="77777777" w:rsidR="006A5DC4" w:rsidRPr="006A5DC4" w:rsidRDefault="006A5DC4" w:rsidP="006A5DC4">
            <w:pPr>
              <w:pStyle w:val="TableParagraph"/>
              <w:spacing w:line="258" w:lineRule="exact"/>
              <w:ind w:left="171" w:right="165"/>
              <w:jc w:val="center"/>
              <w:rPr>
                <w:rFonts w:ascii="Garamond" w:hAnsi="Garamond"/>
                <w:b/>
                <w:sz w:val="24"/>
                <w:szCs w:val="24"/>
              </w:rPr>
            </w:pPr>
            <w:r w:rsidRPr="006A5DC4">
              <w:rPr>
                <w:rFonts w:ascii="Garamond" w:hAnsi="Garamond"/>
                <w:b/>
                <w:sz w:val="24"/>
                <w:szCs w:val="24"/>
              </w:rPr>
              <w:t>How?</w:t>
            </w:r>
          </w:p>
        </w:tc>
        <w:tc>
          <w:tcPr>
            <w:tcW w:w="2544" w:type="dxa"/>
            <w:shd w:val="clear" w:color="auto" w:fill="F2F2F2" w:themeFill="background1" w:themeFillShade="F2"/>
            <w:vAlign w:val="center"/>
          </w:tcPr>
          <w:p w14:paraId="4E065BF2" w14:textId="77777777" w:rsidR="006A5DC4" w:rsidRPr="006A5DC4" w:rsidRDefault="006A5DC4" w:rsidP="006A5DC4">
            <w:pPr>
              <w:pStyle w:val="TableParagraph"/>
              <w:ind w:left="171" w:right="165"/>
              <w:jc w:val="center"/>
              <w:rPr>
                <w:rFonts w:ascii="Garamond" w:hAnsi="Garamond"/>
                <w:b/>
                <w:sz w:val="24"/>
                <w:szCs w:val="24"/>
              </w:rPr>
            </w:pPr>
            <w:r w:rsidRPr="006A5DC4">
              <w:rPr>
                <w:rFonts w:ascii="Garamond" w:hAnsi="Garamond"/>
                <w:b/>
                <w:sz w:val="24"/>
                <w:szCs w:val="24"/>
              </w:rPr>
              <w:t>Court’s Ruling</w:t>
            </w:r>
          </w:p>
        </w:tc>
      </w:tr>
      <w:tr w:rsidR="006A5DC4" w14:paraId="542BD5D1" w14:textId="77777777" w:rsidTr="006A5DC4">
        <w:trPr>
          <w:trHeight w:val="1565"/>
        </w:trPr>
        <w:tc>
          <w:tcPr>
            <w:tcW w:w="2776" w:type="dxa"/>
            <w:shd w:val="clear" w:color="auto" w:fill="F2F2F2" w:themeFill="background1" w:themeFillShade="F2"/>
            <w:vAlign w:val="center"/>
          </w:tcPr>
          <w:p w14:paraId="08389181" w14:textId="62266916" w:rsidR="006A5DC4" w:rsidRPr="006A5DC4" w:rsidRDefault="006A5DC4" w:rsidP="006A5DC4">
            <w:pPr>
              <w:pStyle w:val="TableParagraph"/>
              <w:spacing w:before="8"/>
              <w:jc w:val="center"/>
              <w:rPr>
                <w:rFonts w:ascii="Garamond" w:hAnsi="Garamond"/>
                <w:bCs/>
                <w:iCs/>
                <w:sz w:val="24"/>
                <w:szCs w:val="24"/>
              </w:rPr>
            </w:pPr>
            <w:r w:rsidRPr="006A5DC4">
              <w:rPr>
                <w:rFonts w:ascii="Garamond" w:hAnsi="Garamond"/>
                <w:b/>
                <w:iCs/>
                <w:sz w:val="24"/>
                <w:szCs w:val="24"/>
              </w:rPr>
              <w:t>Case #1:</w:t>
            </w:r>
            <w:r w:rsidRPr="006A5DC4">
              <w:rPr>
                <w:rFonts w:ascii="Garamond" w:hAnsi="Garamond"/>
                <w:bCs/>
                <w:iCs/>
                <w:sz w:val="24"/>
                <w:szCs w:val="24"/>
              </w:rPr>
              <w:t xml:space="preserve"> </w:t>
            </w:r>
            <w:r w:rsidRPr="006A5DC4">
              <w:rPr>
                <w:rFonts w:ascii="Garamond" w:hAnsi="Garamond"/>
                <w:bCs/>
                <w:iCs/>
                <w:sz w:val="24"/>
                <w:szCs w:val="24"/>
              </w:rPr>
              <w:br/>
            </w:r>
            <w:r w:rsidRPr="006A5DC4">
              <w:rPr>
                <w:rFonts w:ascii="Garamond" w:hAnsi="Garamond"/>
                <w:bCs/>
                <w:i/>
                <w:sz w:val="24"/>
                <w:szCs w:val="24"/>
              </w:rPr>
              <w:t>O</w:t>
            </w:r>
            <w:r w:rsidRPr="006A5DC4">
              <w:rPr>
                <w:rFonts w:ascii="Garamond" w:hAnsi="Garamond"/>
                <w:bCs/>
                <w:i/>
                <w:sz w:val="24"/>
                <w:szCs w:val="24"/>
              </w:rPr>
              <w:t>’</w:t>
            </w:r>
            <w:r w:rsidRPr="006A5DC4">
              <w:rPr>
                <w:rFonts w:ascii="Garamond" w:hAnsi="Garamond"/>
                <w:bCs/>
                <w:i/>
                <w:sz w:val="24"/>
                <w:szCs w:val="24"/>
              </w:rPr>
              <w:t xml:space="preserve">Brien v. Westlake City </w:t>
            </w:r>
            <w:r>
              <w:rPr>
                <w:rFonts w:ascii="Garamond" w:hAnsi="Garamond"/>
                <w:bCs/>
                <w:i/>
                <w:sz w:val="24"/>
                <w:szCs w:val="24"/>
              </w:rPr>
              <w:br/>
            </w:r>
            <w:r w:rsidRPr="006A5DC4">
              <w:rPr>
                <w:rFonts w:ascii="Garamond" w:hAnsi="Garamond"/>
                <w:bCs/>
                <w:i/>
                <w:sz w:val="24"/>
                <w:szCs w:val="24"/>
              </w:rPr>
              <w:t>Schools Board of Education</w:t>
            </w:r>
          </w:p>
        </w:tc>
        <w:tc>
          <w:tcPr>
            <w:tcW w:w="2543" w:type="dxa"/>
          </w:tcPr>
          <w:p w14:paraId="7D32B45D" w14:textId="77777777" w:rsidR="006A5DC4" w:rsidRDefault="006A5DC4" w:rsidP="006A5DC4">
            <w:pPr>
              <w:pStyle w:val="TableParagraph"/>
              <w:rPr>
                <w:rFonts w:ascii="Times New Roman"/>
              </w:rPr>
            </w:pPr>
          </w:p>
        </w:tc>
        <w:tc>
          <w:tcPr>
            <w:tcW w:w="2544" w:type="dxa"/>
          </w:tcPr>
          <w:p w14:paraId="1D3E3DF6" w14:textId="77777777" w:rsidR="006A5DC4" w:rsidRDefault="006A5DC4" w:rsidP="006A5DC4">
            <w:pPr>
              <w:pStyle w:val="TableParagraph"/>
              <w:rPr>
                <w:rFonts w:ascii="Times New Roman"/>
              </w:rPr>
            </w:pPr>
          </w:p>
        </w:tc>
        <w:tc>
          <w:tcPr>
            <w:tcW w:w="2543" w:type="dxa"/>
          </w:tcPr>
          <w:p w14:paraId="77DBC8AD" w14:textId="77777777" w:rsidR="006A5DC4" w:rsidRDefault="006A5DC4" w:rsidP="006A5DC4">
            <w:pPr>
              <w:pStyle w:val="TableParagraph"/>
              <w:rPr>
                <w:rFonts w:ascii="Times New Roman"/>
              </w:rPr>
            </w:pPr>
          </w:p>
        </w:tc>
        <w:tc>
          <w:tcPr>
            <w:tcW w:w="2544" w:type="dxa"/>
          </w:tcPr>
          <w:p w14:paraId="45AE8B89" w14:textId="77777777" w:rsidR="006A5DC4" w:rsidRDefault="006A5DC4" w:rsidP="006A5DC4">
            <w:pPr>
              <w:pStyle w:val="TableParagraph"/>
              <w:rPr>
                <w:rFonts w:ascii="Times New Roman"/>
              </w:rPr>
            </w:pPr>
          </w:p>
        </w:tc>
      </w:tr>
      <w:tr w:rsidR="006A5DC4" w14:paraId="5D087946" w14:textId="77777777" w:rsidTr="006A5DC4">
        <w:trPr>
          <w:trHeight w:val="1565"/>
        </w:trPr>
        <w:tc>
          <w:tcPr>
            <w:tcW w:w="2776" w:type="dxa"/>
            <w:shd w:val="clear" w:color="auto" w:fill="F2F2F2" w:themeFill="background1" w:themeFillShade="F2"/>
            <w:vAlign w:val="center"/>
          </w:tcPr>
          <w:p w14:paraId="69E3831A" w14:textId="719048EA" w:rsidR="006A5DC4" w:rsidRPr="006A5DC4" w:rsidRDefault="006A5DC4" w:rsidP="006A5DC4">
            <w:pPr>
              <w:pStyle w:val="TableParagraph"/>
              <w:spacing w:before="8"/>
              <w:jc w:val="center"/>
              <w:rPr>
                <w:b/>
                <w:i/>
                <w:sz w:val="24"/>
                <w:szCs w:val="24"/>
              </w:rPr>
            </w:pPr>
            <w:r w:rsidRPr="006A5DC4">
              <w:rPr>
                <w:rFonts w:ascii="Garamond" w:hAnsi="Garamond"/>
                <w:b/>
                <w:iCs/>
                <w:sz w:val="24"/>
                <w:szCs w:val="24"/>
              </w:rPr>
              <w:t xml:space="preserve">Case #2: </w:t>
            </w:r>
            <w:r w:rsidRPr="006A5DC4">
              <w:rPr>
                <w:rFonts w:ascii="Garamond" w:hAnsi="Garamond"/>
                <w:b/>
                <w:iCs/>
                <w:sz w:val="24"/>
                <w:szCs w:val="24"/>
              </w:rPr>
              <w:br/>
            </w:r>
            <w:r w:rsidRPr="006A5DC4">
              <w:rPr>
                <w:rFonts w:ascii="Garamond" w:hAnsi="Garamond"/>
                <w:bCs/>
                <w:i/>
                <w:sz w:val="24"/>
                <w:szCs w:val="24"/>
              </w:rPr>
              <w:t xml:space="preserve">Beussink v. Woodland </w:t>
            </w:r>
            <w:r w:rsidRPr="006A5DC4">
              <w:rPr>
                <w:rFonts w:ascii="Garamond" w:hAnsi="Garamond"/>
                <w:bCs/>
                <w:i/>
                <w:sz w:val="24"/>
                <w:szCs w:val="24"/>
              </w:rPr>
              <w:br/>
            </w:r>
            <w:r w:rsidRPr="006A5DC4">
              <w:rPr>
                <w:rFonts w:ascii="Garamond" w:hAnsi="Garamond"/>
                <w:bCs/>
                <w:i/>
                <w:sz w:val="24"/>
                <w:szCs w:val="24"/>
              </w:rPr>
              <w:t>R-IV School District</w:t>
            </w:r>
          </w:p>
        </w:tc>
        <w:tc>
          <w:tcPr>
            <w:tcW w:w="2543" w:type="dxa"/>
          </w:tcPr>
          <w:p w14:paraId="58296173" w14:textId="77777777" w:rsidR="006A5DC4" w:rsidRDefault="006A5DC4" w:rsidP="006A5DC4">
            <w:pPr>
              <w:pStyle w:val="TableParagraph"/>
              <w:rPr>
                <w:rFonts w:ascii="Times New Roman"/>
              </w:rPr>
            </w:pPr>
          </w:p>
        </w:tc>
        <w:tc>
          <w:tcPr>
            <w:tcW w:w="2544" w:type="dxa"/>
          </w:tcPr>
          <w:p w14:paraId="468C4CEC" w14:textId="77777777" w:rsidR="006A5DC4" w:rsidRDefault="006A5DC4" w:rsidP="006A5DC4">
            <w:pPr>
              <w:pStyle w:val="TableParagraph"/>
              <w:rPr>
                <w:rFonts w:ascii="Times New Roman"/>
              </w:rPr>
            </w:pPr>
          </w:p>
        </w:tc>
        <w:tc>
          <w:tcPr>
            <w:tcW w:w="2543" w:type="dxa"/>
          </w:tcPr>
          <w:p w14:paraId="0F6FD2E7" w14:textId="77777777" w:rsidR="006A5DC4" w:rsidRDefault="006A5DC4" w:rsidP="006A5DC4">
            <w:pPr>
              <w:pStyle w:val="TableParagraph"/>
              <w:rPr>
                <w:rFonts w:ascii="Times New Roman"/>
              </w:rPr>
            </w:pPr>
          </w:p>
        </w:tc>
        <w:tc>
          <w:tcPr>
            <w:tcW w:w="2544" w:type="dxa"/>
          </w:tcPr>
          <w:p w14:paraId="4FFAA13D" w14:textId="77777777" w:rsidR="006A5DC4" w:rsidRDefault="006A5DC4" w:rsidP="006A5DC4">
            <w:pPr>
              <w:pStyle w:val="TableParagraph"/>
              <w:rPr>
                <w:rFonts w:ascii="Times New Roman"/>
              </w:rPr>
            </w:pPr>
          </w:p>
        </w:tc>
      </w:tr>
      <w:tr w:rsidR="006A5DC4" w14:paraId="43440472" w14:textId="77777777" w:rsidTr="006A5DC4">
        <w:trPr>
          <w:trHeight w:val="1565"/>
        </w:trPr>
        <w:tc>
          <w:tcPr>
            <w:tcW w:w="2776" w:type="dxa"/>
            <w:shd w:val="clear" w:color="auto" w:fill="F2F2F2" w:themeFill="background1" w:themeFillShade="F2"/>
            <w:vAlign w:val="center"/>
          </w:tcPr>
          <w:p w14:paraId="00F89C65" w14:textId="21B0782C" w:rsidR="006A5DC4" w:rsidRPr="006A5DC4" w:rsidRDefault="006A5DC4" w:rsidP="006A5DC4">
            <w:pPr>
              <w:pStyle w:val="TableParagraph"/>
              <w:spacing w:before="8"/>
              <w:jc w:val="center"/>
              <w:rPr>
                <w:b/>
                <w:i/>
                <w:sz w:val="24"/>
                <w:szCs w:val="24"/>
              </w:rPr>
            </w:pPr>
            <w:r w:rsidRPr="006A5DC4">
              <w:rPr>
                <w:rFonts w:ascii="Garamond" w:hAnsi="Garamond"/>
                <w:b/>
                <w:iCs/>
                <w:sz w:val="24"/>
                <w:szCs w:val="24"/>
              </w:rPr>
              <w:t xml:space="preserve">Case #3: </w:t>
            </w:r>
            <w:r w:rsidRPr="006A5DC4">
              <w:rPr>
                <w:rFonts w:ascii="Garamond" w:hAnsi="Garamond"/>
                <w:b/>
                <w:iCs/>
                <w:sz w:val="24"/>
                <w:szCs w:val="24"/>
              </w:rPr>
              <w:br/>
            </w:r>
            <w:r w:rsidRPr="006A5DC4">
              <w:rPr>
                <w:rFonts w:ascii="Garamond" w:hAnsi="Garamond"/>
                <w:bCs/>
                <w:i/>
                <w:sz w:val="24"/>
                <w:szCs w:val="24"/>
              </w:rPr>
              <w:t>Emmett v. Kent School District Number 415</w:t>
            </w:r>
          </w:p>
        </w:tc>
        <w:tc>
          <w:tcPr>
            <w:tcW w:w="2543" w:type="dxa"/>
          </w:tcPr>
          <w:p w14:paraId="5C946DEF" w14:textId="77777777" w:rsidR="006A5DC4" w:rsidRDefault="006A5DC4" w:rsidP="006A5DC4">
            <w:pPr>
              <w:pStyle w:val="TableParagraph"/>
              <w:rPr>
                <w:rFonts w:ascii="Times New Roman"/>
              </w:rPr>
            </w:pPr>
          </w:p>
        </w:tc>
        <w:tc>
          <w:tcPr>
            <w:tcW w:w="2544" w:type="dxa"/>
          </w:tcPr>
          <w:p w14:paraId="454A6036" w14:textId="77777777" w:rsidR="006A5DC4" w:rsidRDefault="006A5DC4" w:rsidP="006A5DC4">
            <w:pPr>
              <w:pStyle w:val="TableParagraph"/>
              <w:rPr>
                <w:rFonts w:ascii="Times New Roman"/>
              </w:rPr>
            </w:pPr>
          </w:p>
        </w:tc>
        <w:tc>
          <w:tcPr>
            <w:tcW w:w="2543" w:type="dxa"/>
          </w:tcPr>
          <w:p w14:paraId="5159DC9F" w14:textId="77777777" w:rsidR="006A5DC4" w:rsidRDefault="006A5DC4" w:rsidP="006A5DC4">
            <w:pPr>
              <w:pStyle w:val="TableParagraph"/>
              <w:rPr>
                <w:rFonts w:ascii="Times New Roman"/>
              </w:rPr>
            </w:pPr>
          </w:p>
        </w:tc>
        <w:tc>
          <w:tcPr>
            <w:tcW w:w="2544" w:type="dxa"/>
          </w:tcPr>
          <w:p w14:paraId="7F7193E7" w14:textId="77777777" w:rsidR="006A5DC4" w:rsidRDefault="006A5DC4" w:rsidP="006A5DC4">
            <w:pPr>
              <w:pStyle w:val="TableParagraph"/>
              <w:rPr>
                <w:rFonts w:ascii="Times New Roman"/>
              </w:rPr>
            </w:pPr>
          </w:p>
        </w:tc>
      </w:tr>
      <w:tr w:rsidR="006A5DC4" w14:paraId="3535961A" w14:textId="77777777" w:rsidTr="006A5DC4">
        <w:trPr>
          <w:trHeight w:val="1565"/>
        </w:trPr>
        <w:tc>
          <w:tcPr>
            <w:tcW w:w="2776" w:type="dxa"/>
            <w:shd w:val="clear" w:color="auto" w:fill="F2F2F2" w:themeFill="background1" w:themeFillShade="F2"/>
            <w:vAlign w:val="center"/>
          </w:tcPr>
          <w:p w14:paraId="6AB17BF0" w14:textId="769A65A7" w:rsidR="006A5DC4" w:rsidRPr="006A5DC4" w:rsidRDefault="006A5DC4" w:rsidP="006A5DC4">
            <w:pPr>
              <w:pStyle w:val="TableParagraph"/>
              <w:spacing w:before="8"/>
              <w:jc w:val="center"/>
              <w:rPr>
                <w:b/>
                <w:i/>
                <w:sz w:val="24"/>
                <w:szCs w:val="24"/>
              </w:rPr>
            </w:pPr>
            <w:r w:rsidRPr="006A5DC4">
              <w:rPr>
                <w:rFonts w:ascii="Garamond" w:hAnsi="Garamond"/>
                <w:b/>
                <w:iCs/>
                <w:sz w:val="24"/>
                <w:szCs w:val="24"/>
              </w:rPr>
              <w:t xml:space="preserve">Case #4: </w:t>
            </w:r>
            <w:r w:rsidRPr="006A5DC4">
              <w:rPr>
                <w:rFonts w:ascii="Garamond" w:hAnsi="Garamond"/>
                <w:b/>
                <w:iCs/>
                <w:sz w:val="24"/>
                <w:szCs w:val="24"/>
              </w:rPr>
              <w:br/>
            </w:r>
            <w:proofErr w:type="spellStart"/>
            <w:r w:rsidRPr="006A5DC4">
              <w:rPr>
                <w:rFonts w:ascii="Garamond" w:hAnsi="Garamond"/>
                <w:bCs/>
                <w:i/>
                <w:sz w:val="24"/>
                <w:szCs w:val="24"/>
              </w:rPr>
              <w:t>Beidler</w:t>
            </w:r>
            <w:proofErr w:type="spellEnd"/>
            <w:r w:rsidRPr="006A5DC4">
              <w:rPr>
                <w:rFonts w:ascii="Garamond" w:hAnsi="Garamond"/>
                <w:bCs/>
                <w:i/>
                <w:sz w:val="24"/>
                <w:szCs w:val="24"/>
              </w:rPr>
              <w:t xml:space="preserve"> v. North Thurston </w:t>
            </w:r>
            <w:r>
              <w:rPr>
                <w:rFonts w:ascii="Garamond" w:hAnsi="Garamond"/>
                <w:bCs/>
                <w:i/>
                <w:sz w:val="24"/>
                <w:szCs w:val="24"/>
              </w:rPr>
              <w:br/>
            </w:r>
            <w:r w:rsidRPr="006A5DC4">
              <w:rPr>
                <w:rFonts w:ascii="Garamond" w:hAnsi="Garamond"/>
                <w:bCs/>
                <w:i/>
                <w:sz w:val="24"/>
                <w:szCs w:val="24"/>
              </w:rPr>
              <w:t>School District Number 3</w:t>
            </w:r>
          </w:p>
        </w:tc>
        <w:tc>
          <w:tcPr>
            <w:tcW w:w="2543" w:type="dxa"/>
          </w:tcPr>
          <w:p w14:paraId="35EC8F2A" w14:textId="77777777" w:rsidR="006A5DC4" w:rsidRDefault="006A5DC4" w:rsidP="006A5DC4">
            <w:pPr>
              <w:pStyle w:val="TableParagraph"/>
              <w:rPr>
                <w:rFonts w:ascii="Times New Roman"/>
              </w:rPr>
            </w:pPr>
          </w:p>
        </w:tc>
        <w:tc>
          <w:tcPr>
            <w:tcW w:w="2544" w:type="dxa"/>
          </w:tcPr>
          <w:p w14:paraId="4F3D0417" w14:textId="77777777" w:rsidR="006A5DC4" w:rsidRDefault="006A5DC4" w:rsidP="006A5DC4">
            <w:pPr>
              <w:pStyle w:val="TableParagraph"/>
              <w:rPr>
                <w:rFonts w:ascii="Times New Roman"/>
              </w:rPr>
            </w:pPr>
          </w:p>
        </w:tc>
        <w:tc>
          <w:tcPr>
            <w:tcW w:w="2543" w:type="dxa"/>
          </w:tcPr>
          <w:p w14:paraId="72D2CB48" w14:textId="77777777" w:rsidR="006A5DC4" w:rsidRDefault="006A5DC4" w:rsidP="006A5DC4">
            <w:pPr>
              <w:pStyle w:val="TableParagraph"/>
              <w:rPr>
                <w:rFonts w:ascii="Times New Roman"/>
              </w:rPr>
            </w:pPr>
          </w:p>
        </w:tc>
        <w:tc>
          <w:tcPr>
            <w:tcW w:w="2544" w:type="dxa"/>
          </w:tcPr>
          <w:p w14:paraId="1BCD7CB3" w14:textId="77777777" w:rsidR="006A5DC4" w:rsidRDefault="006A5DC4" w:rsidP="006A5DC4">
            <w:pPr>
              <w:pStyle w:val="TableParagraph"/>
              <w:rPr>
                <w:rFonts w:ascii="Times New Roman"/>
              </w:rPr>
            </w:pPr>
          </w:p>
        </w:tc>
      </w:tr>
      <w:tr w:rsidR="006A5DC4" w14:paraId="3BFB6D4C" w14:textId="77777777" w:rsidTr="006A5DC4">
        <w:trPr>
          <w:trHeight w:val="1565"/>
        </w:trPr>
        <w:tc>
          <w:tcPr>
            <w:tcW w:w="2776" w:type="dxa"/>
            <w:shd w:val="clear" w:color="auto" w:fill="F2F2F2" w:themeFill="background1" w:themeFillShade="F2"/>
            <w:vAlign w:val="center"/>
          </w:tcPr>
          <w:p w14:paraId="2A80ABEA" w14:textId="1C3AB0C1" w:rsidR="006A5DC4" w:rsidRPr="006A5DC4" w:rsidRDefault="006A5DC4" w:rsidP="006A5DC4">
            <w:pPr>
              <w:pStyle w:val="TableParagraph"/>
              <w:spacing w:before="8"/>
              <w:jc w:val="center"/>
              <w:rPr>
                <w:b/>
                <w:i/>
                <w:sz w:val="24"/>
                <w:szCs w:val="24"/>
              </w:rPr>
            </w:pPr>
            <w:r w:rsidRPr="006A5DC4">
              <w:rPr>
                <w:rFonts w:ascii="Garamond" w:hAnsi="Garamond"/>
                <w:b/>
                <w:iCs/>
                <w:sz w:val="24"/>
                <w:szCs w:val="24"/>
              </w:rPr>
              <w:t xml:space="preserve">Case #5: </w:t>
            </w:r>
            <w:r w:rsidRPr="006A5DC4">
              <w:rPr>
                <w:rFonts w:ascii="Garamond" w:hAnsi="Garamond"/>
                <w:b/>
                <w:iCs/>
                <w:sz w:val="24"/>
                <w:szCs w:val="24"/>
              </w:rPr>
              <w:br/>
            </w:r>
            <w:r w:rsidRPr="006A5DC4">
              <w:rPr>
                <w:rFonts w:ascii="Garamond" w:hAnsi="Garamond"/>
                <w:bCs/>
                <w:i/>
                <w:sz w:val="24"/>
                <w:szCs w:val="24"/>
              </w:rPr>
              <w:t xml:space="preserve">J.S. v. Bethlehem Area </w:t>
            </w:r>
            <w:r>
              <w:rPr>
                <w:rFonts w:ascii="Garamond" w:hAnsi="Garamond"/>
                <w:bCs/>
                <w:i/>
                <w:sz w:val="24"/>
                <w:szCs w:val="24"/>
              </w:rPr>
              <w:br/>
            </w:r>
            <w:r w:rsidRPr="006A5DC4">
              <w:rPr>
                <w:rFonts w:ascii="Garamond" w:hAnsi="Garamond"/>
                <w:bCs/>
                <w:i/>
                <w:sz w:val="24"/>
                <w:szCs w:val="24"/>
              </w:rPr>
              <w:t>School District</w:t>
            </w:r>
          </w:p>
        </w:tc>
        <w:tc>
          <w:tcPr>
            <w:tcW w:w="2543" w:type="dxa"/>
          </w:tcPr>
          <w:p w14:paraId="254FE9DB" w14:textId="77777777" w:rsidR="006A5DC4" w:rsidRDefault="006A5DC4" w:rsidP="006A5DC4">
            <w:pPr>
              <w:pStyle w:val="TableParagraph"/>
              <w:rPr>
                <w:rFonts w:ascii="Times New Roman"/>
              </w:rPr>
            </w:pPr>
          </w:p>
        </w:tc>
        <w:tc>
          <w:tcPr>
            <w:tcW w:w="2544" w:type="dxa"/>
          </w:tcPr>
          <w:p w14:paraId="05CB32BB" w14:textId="77777777" w:rsidR="006A5DC4" w:rsidRDefault="006A5DC4" w:rsidP="006A5DC4">
            <w:pPr>
              <w:pStyle w:val="TableParagraph"/>
              <w:rPr>
                <w:rFonts w:ascii="Times New Roman"/>
              </w:rPr>
            </w:pPr>
          </w:p>
        </w:tc>
        <w:tc>
          <w:tcPr>
            <w:tcW w:w="2543" w:type="dxa"/>
          </w:tcPr>
          <w:p w14:paraId="5F65DDF0" w14:textId="77777777" w:rsidR="006A5DC4" w:rsidRDefault="006A5DC4" w:rsidP="006A5DC4">
            <w:pPr>
              <w:pStyle w:val="TableParagraph"/>
              <w:rPr>
                <w:rFonts w:ascii="Times New Roman"/>
              </w:rPr>
            </w:pPr>
          </w:p>
        </w:tc>
        <w:tc>
          <w:tcPr>
            <w:tcW w:w="2544" w:type="dxa"/>
          </w:tcPr>
          <w:p w14:paraId="62002E41" w14:textId="77777777" w:rsidR="006A5DC4" w:rsidRDefault="006A5DC4" w:rsidP="006A5DC4">
            <w:pPr>
              <w:pStyle w:val="TableParagraph"/>
              <w:rPr>
                <w:rFonts w:ascii="Times New Roman"/>
              </w:rPr>
            </w:pPr>
          </w:p>
        </w:tc>
      </w:tr>
    </w:tbl>
    <w:p w14:paraId="476AA545" w14:textId="77777777" w:rsidR="006A5DC4" w:rsidRDefault="006A5DC4" w:rsidP="00293059">
      <w:pPr>
        <w:rPr>
          <w:rFonts w:ascii="Gill Sans MT" w:hAnsi="Gill Sans MT"/>
          <w:b/>
          <w:bCs/>
          <w:i/>
          <w:iCs/>
          <w:sz w:val="25"/>
          <w:szCs w:val="25"/>
        </w:rPr>
        <w:sectPr w:rsidR="006A5DC4" w:rsidSect="006A5DC4">
          <w:headerReference w:type="default" r:id="rId13"/>
          <w:footerReference w:type="default" r:id="rId14"/>
          <w:pgSz w:w="15840" w:h="12240" w:orient="landscape"/>
          <w:pgMar w:top="1440" w:right="1440" w:bottom="1440" w:left="1440" w:header="720" w:footer="720" w:gutter="0"/>
          <w:cols w:space="720"/>
          <w:docGrid w:linePitch="360"/>
        </w:sectPr>
      </w:pPr>
    </w:p>
    <w:p w14:paraId="06262B25" w14:textId="4C03C35D" w:rsidR="00293059" w:rsidRPr="00DA2BD4" w:rsidRDefault="00DA2BD4" w:rsidP="001674A7">
      <w:pPr>
        <w:pStyle w:val="Subhead1sl"/>
      </w:pPr>
      <w:r w:rsidRPr="00DA2BD4">
        <w:lastRenderedPageBreak/>
        <w:t>Question to Consider</w:t>
      </w:r>
    </w:p>
    <w:p w14:paraId="3D620A8B" w14:textId="3A505FFA" w:rsidR="00293059" w:rsidRPr="00DA2BD4" w:rsidRDefault="00DA2BD4" w:rsidP="001674A7">
      <w:pPr>
        <w:spacing w:after="120"/>
        <w:rPr>
          <w:rFonts w:ascii="Garamond" w:hAnsi="Garamond"/>
          <w:sz w:val="25"/>
          <w:szCs w:val="25"/>
        </w:rPr>
      </w:pPr>
      <w:r>
        <w:rPr>
          <w:rFonts w:ascii="Garamond" w:hAnsi="Garamond"/>
          <w:sz w:val="25"/>
          <w:szCs w:val="25"/>
        </w:rPr>
        <w:t>After learning about all the cases, e</w:t>
      </w:r>
      <w:r w:rsidR="00293059" w:rsidRPr="00293059">
        <w:rPr>
          <w:rFonts w:ascii="Garamond" w:hAnsi="Garamond"/>
          <w:sz w:val="25"/>
          <w:szCs w:val="25"/>
        </w:rPr>
        <w:t>valuate the following statement. Be sure to answer in paragraph form and include a topic sentence, three specific supporting details, and a conclusion.</w:t>
      </w:r>
    </w:p>
    <w:p w14:paraId="087F0586" w14:textId="466FE6A5" w:rsidR="00CE1F4B" w:rsidRPr="008057E8" w:rsidRDefault="00293059" w:rsidP="001674A7">
      <w:pPr>
        <w:pStyle w:val="NormalWeb"/>
        <w:shd w:val="clear" w:color="auto" w:fill="FFFFFF"/>
        <w:spacing w:before="0" w:beforeAutospacing="0" w:after="120" w:afterAutospacing="0" w:line="276" w:lineRule="auto"/>
        <w:ind w:left="360" w:right="360"/>
        <w:rPr>
          <w:rFonts w:ascii="Garamond" w:hAnsi="Garamond"/>
          <w:color w:val="000000"/>
          <w:sz w:val="25"/>
          <w:szCs w:val="25"/>
        </w:rPr>
      </w:pPr>
      <w:r w:rsidRPr="00293059">
        <w:rPr>
          <w:rFonts w:ascii="Garamond" w:hAnsi="Garamond"/>
          <w:b/>
          <w:bCs/>
          <w:sz w:val="25"/>
          <w:szCs w:val="25"/>
        </w:rPr>
        <w:t>The Supreme Court</w:t>
      </w:r>
      <w:r w:rsidR="001674A7">
        <w:rPr>
          <w:rFonts w:ascii="Garamond" w:hAnsi="Garamond"/>
          <w:b/>
          <w:bCs/>
          <w:sz w:val="25"/>
          <w:szCs w:val="25"/>
        </w:rPr>
        <w:t>’</w:t>
      </w:r>
      <w:r w:rsidRPr="00293059">
        <w:rPr>
          <w:rFonts w:ascii="Garamond" w:hAnsi="Garamond"/>
          <w:b/>
          <w:bCs/>
          <w:sz w:val="25"/>
          <w:szCs w:val="25"/>
        </w:rPr>
        <w:t>s decision in </w:t>
      </w:r>
      <w:r w:rsidRPr="00293059">
        <w:rPr>
          <w:rFonts w:ascii="Garamond" w:hAnsi="Garamond"/>
          <w:b/>
          <w:bCs/>
          <w:i/>
          <w:iCs/>
          <w:sz w:val="25"/>
          <w:szCs w:val="25"/>
        </w:rPr>
        <w:t>Tinker v. Des Moines</w:t>
      </w:r>
      <w:r w:rsidR="00A33335">
        <w:rPr>
          <w:rFonts w:ascii="Garamond" w:hAnsi="Garamond"/>
          <w:b/>
          <w:bCs/>
          <w:sz w:val="25"/>
          <w:szCs w:val="25"/>
        </w:rPr>
        <w:t xml:space="preserve"> (1969)</w:t>
      </w:r>
      <w:r w:rsidRPr="00293059">
        <w:rPr>
          <w:rFonts w:ascii="Garamond" w:hAnsi="Garamond"/>
          <w:b/>
          <w:bCs/>
          <w:sz w:val="25"/>
          <w:szCs w:val="25"/>
        </w:rPr>
        <w:t> should be considered a landmark decision because the standards developed in </w:t>
      </w:r>
      <w:r w:rsidRPr="00293059">
        <w:rPr>
          <w:rFonts w:ascii="Garamond" w:hAnsi="Garamond"/>
          <w:b/>
          <w:bCs/>
          <w:i/>
          <w:iCs/>
          <w:sz w:val="25"/>
          <w:szCs w:val="25"/>
        </w:rPr>
        <w:t>Tinker</w:t>
      </w:r>
      <w:r w:rsidRPr="00293059">
        <w:rPr>
          <w:rFonts w:ascii="Garamond" w:hAnsi="Garamond"/>
          <w:b/>
          <w:bCs/>
          <w:sz w:val="25"/>
          <w:szCs w:val="25"/>
        </w:rPr>
        <w:t> are being used today in student free speech cases</w:t>
      </w:r>
      <w:r w:rsidR="00A674E5">
        <w:rPr>
          <w:rFonts w:ascii="Garamond" w:hAnsi="Garamond"/>
          <w:b/>
          <w:bCs/>
          <w:sz w:val="25"/>
          <w:szCs w:val="25"/>
        </w:rPr>
        <w:t xml:space="preserve"> involving the internet</w:t>
      </w:r>
      <w:r w:rsidRPr="00293059">
        <w:rPr>
          <w:rFonts w:ascii="Garamond" w:hAnsi="Garamond"/>
          <w:b/>
          <w:bCs/>
          <w:sz w:val="25"/>
          <w:szCs w:val="25"/>
        </w:rPr>
        <w:t>.</w:t>
      </w:r>
      <w:r>
        <w:rPr>
          <w:rFonts w:ascii="Garamond" w:hAnsi="Garamond"/>
          <w:b/>
          <w:bCs/>
        </w:rPr>
        <w:br/>
      </w:r>
      <w:r>
        <w:rPr>
          <w:rFonts w:ascii="Garamond" w:hAnsi="Garamond"/>
          <w:b/>
          <w:bCs/>
        </w:rPr>
        <w:br/>
      </w:r>
      <w:r>
        <w:rPr>
          <w:rFonts w:ascii="Garamond" w:hAnsi="Garamond"/>
          <w:b/>
          <w:bCs/>
        </w:rPr>
        <w:br/>
      </w:r>
      <w:r>
        <w:rPr>
          <w:rFonts w:ascii="Garamond" w:hAnsi="Garamond"/>
          <w:b/>
          <w:bCs/>
        </w:rPr>
        <w:br/>
      </w:r>
    </w:p>
    <w:sectPr w:rsidR="00CE1F4B" w:rsidRPr="008057E8" w:rsidSect="001674A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F0732" w14:textId="77777777" w:rsidR="00D27DB9" w:rsidRDefault="00D27DB9" w:rsidP="0078549D">
      <w:pPr>
        <w:spacing w:after="0" w:line="240" w:lineRule="auto"/>
      </w:pPr>
      <w:r>
        <w:separator/>
      </w:r>
    </w:p>
  </w:endnote>
  <w:endnote w:type="continuationSeparator" w:id="0">
    <w:p w14:paraId="7A8DF8DC" w14:textId="77777777" w:rsidR="00D27DB9" w:rsidRDefault="00D27DB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749590A"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705602602"/>
      <w:docPartObj>
        <w:docPartGallery w:val="Page Numbers (Bottom of Page)"/>
        <w:docPartUnique/>
      </w:docPartObj>
    </w:sdtPr>
    <w:sdtEndPr>
      <w:rPr>
        <w:rStyle w:val="BasiccopyslChar"/>
        <w:rFonts w:eastAsia="Garamond" w:cs="Garamond"/>
        <w:sz w:val="25"/>
        <w:szCs w:val="25"/>
      </w:rPr>
    </w:sdtEndPr>
    <w:sdtContent>
      <w:p w14:paraId="48D7A693" w14:textId="1F5BD340" w:rsidR="006A5DC4" w:rsidRPr="00987C93" w:rsidRDefault="006A5DC4">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001674A7">
          <w:rPr>
            <w:rStyle w:val="BasiccopyslChar"/>
            <w:sz w:val="22"/>
            <w:szCs w:val="22"/>
          </w:rPr>
          <w:t xml:space="preserve">   </w:t>
        </w:r>
        <w:r>
          <w:rPr>
            <w:rStyle w:val="BasiccopyslChar"/>
            <w:sz w:val="22"/>
            <w:szCs w:val="22"/>
          </w:rPr>
          <w:t xml:space="preserve">  </w:t>
        </w:r>
        <w:r w:rsidR="001674A7">
          <w:rPr>
            <w:rStyle w:val="BasiccopyslChar"/>
            <w:sz w:val="22"/>
            <w:szCs w:val="22"/>
          </w:rPr>
          <w:tab/>
        </w:r>
        <w:r w:rsidR="001674A7">
          <w:rPr>
            <w:rStyle w:val="BasiccopyslChar"/>
            <w:sz w:val="22"/>
            <w:szCs w:val="22"/>
          </w:rPr>
          <w:tab/>
        </w:r>
        <w:r w:rsidR="001674A7">
          <w:rPr>
            <w:rStyle w:val="BasiccopyslChar"/>
            <w:sz w:val="22"/>
            <w:szCs w:val="22"/>
          </w:rPr>
          <w:tab/>
        </w:r>
        <w:r w:rsidR="001674A7">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sidRPr="00E64542">
          <w:rPr>
            <w:rStyle w:val="BasiccopyslChar"/>
            <w:noProof/>
            <w:sz w:val="22"/>
            <w:szCs w:val="22"/>
          </w:rPr>
          <w:t>1</w:t>
        </w:r>
        <w:r w:rsidRPr="00E64542">
          <w:rPr>
            <w:rStyle w:val="BasiccopyslCha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1B417" w14:textId="77777777" w:rsidR="00D27DB9" w:rsidRDefault="00D27DB9" w:rsidP="0078549D">
      <w:pPr>
        <w:spacing w:after="0" w:line="240" w:lineRule="auto"/>
      </w:pPr>
      <w:r>
        <w:separator/>
      </w:r>
    </w:p>
  </w:footnote>
  <w:footnote w:type="continuationSeparator" w:id="0">
    <w:p w14:paraId="2464103F" w14:textId="77777777" w:rsidR="00D27DB9" w:rsidRDefault="00D27DB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7138BB0" w:rsidR="00F64E56" w:rsidRPr="007E5DDE" w:rsidRDefault="00A64DC2" w:rsidP="00A64DC2">
    <w:pPr>
      <w:pStyle w:val="Basiccopysl"/>
      <w:rPr>
        <w:bCs/>
        <w:sz w:val="22"/>
        <w:szCs w:val="22"/>
      </w:rPr>
    </w:pPr>
    <w:r w:rsidRPr="00A64DC2">
      <w:rPr>
        <w:sz w:val="22"/>
        <w:szCs w:val="22"/>
      </w:rPr>
      <w:t>LandmarkCases.org</w:t>
    </w:r>
    <w:r w:rsidRPr="00A64DC2">
      <w:rPr>
        <w:sz w:val="22"/>
        <w:szCs w:val="22"/>
      </w:rPr>
      <w:tab/>
    </w:r>
    <w:r>
      <w:rPr>
        <w:sz w:val="22"/>
        <w:szCs w:val="22"/>
      </w:rPr>
      <w:t xml:space="preserve">          </w:t>
    </w:r>
    <w:r w:rsidR="007D273B">
      <w:rPr>
        <w:sz w:val="22"/>
        <w:szCs w:val="22"/>
      </w:rPr>
      <w:tab/>
    </w:r>
    <w:r w:rsidR="00673311">
      <w:rPr>
        <w:sz w:val="22"/>
        <w:szCs w:val="22"/>
      </w:rPr>
      <w:tab/>
    </w:r>
    <w:r w:rsidR="0067459B">
      <w:rPr>
        <w:i/>
        <w:iCs/>
        <w:sz w:val="22"/>
        <w:szCs w:val="22"/>
      </w:rPr>
      <w:t>Tinker v. Des Moines</w:t>
    </w:r>
    <w:r w:rsidR="007D273B" w:rsidRPr="00A64DC2">
      <w:rPr>
        <w:i/>
        <w:iCs/>
        <w:sz w:val="22"/>
        <w:szCs w:val="22"/>
      </w:rPr>
      <w:t xml:space="preserve"> </w:t>
    </w:r>
    <w:r w:rsidR="007D273B" w:rsidRPr="00A64DC2">
      <w:rPr>
        <w:sz w:val="22"/>
        <w:szCs w:val="22"/>
      </w:rPr>
      <w:t>/</w:t>
    </w:r>
    <w:r w:rsidR="00293059">
      <w:rPr>
        <w:sz w:val="22"/>
        <w:szCs w:val="22"/>
      </w:rPr>
      <w:t>The</w:t>
    </w:r>
    <w:r w:rsidR="007D273B" w:rsidRPr="00A64DC2">
      <w:rPr>
        <w:sz w:val="22"/>
        <w:szCs w:val="22"/>
      </w:rPr>
      <w:t xml:space="preserve"> </w:t>
    </w:r>
    <w:r w:rsidR="00390FD7">
      <w:rPr>
        <w:bCs/>
        <w:sz w:val="22"/>
        <w:szCs w:val="22"/>
      </w:rPr>
      <w:t>Internet, Schools,</w:t>
    </w:r>
    <w:r w:rsidR="00DC6F38">
      <w:rPr>
        <w:bCs/>
        <w:sz w:val="22"/>
        <w:szCs w:val="22"/>
      </w:rPr>
      <w:t xml:space="preserve"> and Symbolic Speech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93FCC6F" w:rsidR="00987C93" w:rsidRPr="00A64DC2" w:rsidRDefault="00987C93" w:rsidP="00987C93">
    <w:pPr>
      <w:pStyle w:val="Basiccopysl"/>
      <w:rPr>
        <w:sz w:val="22"/>
        <w:szCs w:val="22"/>
      </w:rPr>
    </w:pPr>
    <w:r w:rsidRPr="00A64DC2">
      <w:rPr>
        <w:sz w:val="22"/>
        <w:szCs w:val="22"/>
      </w:rPr>
      <w:t>LandmarkCases.org</w:t>
    </w:r>
    <w:r w:rsidRPr="00A64DC2">
      <w:rPr>
        <w:sz w:val="22"/>
        <w:szCs w:val="22"/>
      </w:rPr>
      <w:tab/>
    </w:r>
    <w:r w:rsidR="00A64DC2">
      <w:rPr>
        <w:sz w:val="22"/>
        <w:szCs w:val="22"/>
      </w:rPr>
      <w:t xml:space="preserve">          </w:t>
    </w:r>
    <w:r w:rsidR="007D273B">
      <w:rPr>
        <w:sz w:val="22"/>
        <w:szCs w:val="22"/>
      </w:rPr>
      <w:tab/>
    </w:r>
    <w:r w:rsidR="007D273B">
      <w:rPr>
        <w:sz w:val="22"/>
        <w:szCs w:val="22"/>
      </w:rPr>
      <w:tab/>
    </w:r>
    <w:r w:rsidR="007D273B">
      <w:rPr>
        <w:i/>
        <w:iCs/>
        <w:sz w:val="22"/>
        <w:szCs w:val="22"/>
      </w:rPr>
      <w:t>Texas v. Johnson</w:t>
    </w:r>
    <w:r w:rsidR="00A64DC2" w:rsidRPr="00A64DC2">
      <w:rPr>
        <w:i/>
        <w:iCs/>
        <w:sz w:val="22"/>
        <w:szCs w:val="22"/>
      </w:rPr>
      <w:t xml:space="preserve"> </w:t>
    </w:r>
    <w:r w:rsidR="00A64DC2" w:rsidRPr="00A64DC2">
      <w:rPr>
        <w:sz w:val="22"/>
        <w:szCs w:val="22"/>
      </w:rPr>
      <w:t xml:space="preserve">/ </w:t>
    </w:r>
    <w:r w:rsidR="007D273B">
      <w:rPr>
        <w:sz w:val="22"/>
        <w:szCs w:val="22"/>
      </w:rPr>
      <w:t>What Is Symbolic Speech? When Is It Protected?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85978" w14:textId="1075C9C0" w:rsidR="006A5DC4" w:rsidRPr="007E5DDE" w:rsidRDefault="006A5DC4" w:rsidP="00A64DC2">
    <w:pPr>
      <w:pStyle w:val="Basiccopysl"/>
      <w:rPr>
        <w:bCs/>
        <w:sz w:val="22"/>
        <w:szCs w:val="22"/>
      </w:rPr>
    </w:pPr>
    <w:r w:rsidRPr="00A64DC2">
      <w:rPr>
        <w:sz w:val="22"/>
        <w:szCs w:val="22"/>
      </w:rPr>
      <w:t>LandmarkCases.org</w:t>
    </w:r>
    <w:r w:rsidRPr="00A64DC2">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i/>
        <w:iCs/>
        <w:sz w:val="22"/>
        <w:szCs w:val="22"/>
      </w:rPr>
      <w:t>Tinker v. Des Moines</w:t>
    </w:r>
    <w:r w:rsidRPr="00A64DC2">
      <w:rPr>
        <w:i/>
        <w:iCs/>
        <w:sz w:val="22"/>
        <w:szCs w:val="22"/>
      </w:rPr>
      <w:t xml:space="preserve"> </w:t>
    </w:r>
    <w:r w:rsidRPr="00A64DC2">
      <w:rPr>
        <w:sz w:val="22"/>
        <w:szCs w:val="22"/>
      </w:rPr>
      <w:t>/</w:t>
    </w:r>
    <w:r>
      <w:rPr>
        <w:sz w:val="22"/>
        <w:szCs w:val="22"/>
      </w:rPr>
      <w:t>The</w:t>
    </w:r>
    <w:r w:rsidRPr="00A64DC2">
      <w:rPr>
        <w:sz w:val="22"/>
        <w:szCs w:val="22"/>
      </w:rPr>
      <w:t xml:space="preserve"> </w:t>
    </w:r>
    <w:r>
      <w:rPr>
        <w:bCs/>
        <w:sz w:val="22"/>
        <w:szCs w:val="22"/>
      </w:rPr>
      <w:t>Internet, Schools, and Symbolic Speech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4F239" w14:textId="50540498" w:rsidR="001674A7" w:rsidRPr="007E5DDE" w:rsidRDefault="001674A7" w:rsidP="00A64DC2">
    <w:pPr>
      <w:pStyle w:val="Basiccopysl"/>
      <w:rPr>
        <w:bCs/>
        <w:sz w:val="22"/>
        <w:szCs w:val="22"/>
      </w:rPr>
    </w:pPr>
    <w:r w:rsidRPr="00A64DC2">
      <w:rPr>
        <w:sz w:val="22"/>
        <w:szCs w:val="22"/>
      </w:rPr>
      <w:t>LandmarkCases.org</w:t>
    </w:r>
    <w:r w:rsidRPr="00A64DC2">
      <w:rPr>
        <w:sz w:val="22"/>
        <w:szCs w:val="22"/>
      </w:rPr>
      <w:tab/>
    </w:r>
    <w:r>
      <w:rPr>
        <w:sz w:val="22"/>
        <w:szCs w:val="22"/>
      </w:rPr>
      <w:t xml:space="preserve">          </w:t>
    </w:r>
    <w:r>
      <w:rPr>
        <w:sz w:val="22"/>
        <w:szCs w:val="22"/>
      </w:rPr>
      <w:tab/>
    </w:r>
    <w:r>
      <w:rPr>
        <w:sz w:val="22"/>
        <w:szCs w:val="22"/>
      </w:rPr>
      <w:tab/>
      <w:t xml:space="preserve">   </w:t>
    </w:r>
    <w:r>
      <w:rPr>
        <w:i/>
        <w:iCs/>
        <w:sz w:val="22"/>
        <w:szCs w:val="22"/>
      </w:rPr>
      <w:t>Tinker v. Des Moines</w:t>
    </w:r>
    <w:r w:rsidRPr="00A64DC2">
      <w:rPr>
        <w:i/>
        <w:iCs/>
        <w:sz w:val="22"/>
        <w:szCs w:val="22"/>
      </w:rPr>
      <w:t xml:space="preserve"> </w:t>
    </w:r>
    <w:r w:rsidRPr="00A64DC2">
      <w:rPr>
        <w:sz w:val="22"/>
        <w:szCs w:val="22"/>
      </w:rPr>
      <w:t>/</w:t>
    </w:r>
    <w:r>
      <w:rPr>
        <w:sz w:val="22"/>
        <w:szCs w:val="22"/>
      </w:rPr>
      <w:t>The</w:t>
    </w:r>
    <w:r w:rsidRPr="00A64DC2">
      <w:rPr>
        <w:sz w:val="22"/>
        <w:szCs w:val="22"/>
      </w:rPr>
      <w:t xml:space="preserve"> </w:t>
    </w:r>
    <w:r>
      <w:rPr>
        <w:bCs/>
        <w:sz w:val="22"/>
        <w:szCs w:val="22"/>
      </w:rPr>
      <w:t>Internet, Schools, and Symbolic Speech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6E28"/>
    <w:multiLevelType w:val="multilevel"/>
    <w:tmpl w:val="7C42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6460A"/>
    <w:multiLevelType w:val="hybridMultilevel"/>
    <w:tmpl w:val="7E78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420B"/>
    <w:multiLevelType w:val="multilevel"/>
    <w:tmpl w:val="E21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24AFB"/>
    <w:multiLevelType w:val="multilevel"/>
    <w:tmpl w:val="A3EA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5181E"/>
    <w:multiLevelType w:val="multilevel"/>
    <w:tmpl w:val="DBD4D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64573"/>
    <w:multiLevelType w:val="multilevel"/>
    <w:tmpl w:val="3E7E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1095B"/>
    <w:multiLevelType w:val="multilevel"/>
    <w:tmpl w:val="29B2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96E1E"/>
    <w:multiLevelType w:val="multilevel"/>
    <w:tmpl w:val="6288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8276D"/>
    <w:multiLevelType w:val="multilevel"/>
    <w:tmpl w:val="943C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D13D7"/>
    <w:multiLevelType w:val="multilevel"/>
    <w:tmpl w:val="8DB0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245F3"/>
    <w:multiLevelType w:val="multilevel"/>
    <w:tmpl w:val="845E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400F5"/>
    <w:multiLevelType w:val="multilevel"/>
    <w:tmpl w:val="AAF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C72B5"/>
    <w:multiLevelType w:val="multilevel"/>
    <w:tmpl w:val="DA4C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E54D4"/>
    <w:multiLevelType w:val="hybridMultilevel"/>
    <w:tmpl w:val="3C6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5"/>
  </w:num>
  <w:num w:numId="4">
    <w:abstractNumId w:val="8"/>
  </w:num>
  <w:num w:numId="5">
    <w:abstractNumId w:val="14"/>
  </w:num>
  <w:num w:numId="6">
    <w:abstractNumId w:val="10"/>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7"/>
  </w:num>
  <w:num w:numId="12">
    <w:abstractNumId w:val="21"/>
  </w:num>
  <w:num w:numId="13">
    <w:abstractNumId w:val="20"/>
  </w:num>
  <w:num w:numId="14">
    <w:abstractNumId w:val="23"/>
  </w:num>
  <w:num w:numId="15">
    <w:abstractNumId w:val="18"/>
  </w:num>
  <w:num w:numId="16">
    <w:abstractNumId w:val="19"/>
  </w:num>
  <w:num w:numId="17">
    <w:abstractNumId w:val="11"/>
  </w:num>
  <w:num w:numId="18">
    <w:abstractNumId w:val="12"/>
  </w:num>
  <w:num w:numId="19">
    <w:abstractNumId w:val="24"/>
  </w:num>
  <w:num w:numId="20">
    <w:abstractNumId w:val="17"/>
  </w:num>
  <w:num w:numId="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6"/>
  </w:num>
  <w:num w:numId="25">
    <w:abstractNumId w:val="9"/>
  </w:num>
  <w:num w:numId="26">
    <w:abstractNumId w:val="2"/>
  </w:num>
  <w:num w:numId="27">
    <w:abstractNumId w:val="0"/>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43902"/>
    <w:rsid w:val="0005339C"/>
    <w:rsid w:val="00094CC6"/>
    <w:rsid w:val="000D0F15"/>
    <w:rsid w:val="000E239D"/>
    <w:rsid w:val="001056C3"/>
    <w:rsid w:val="00116A1D"/>
    <w:rsid w:val="001674A7"/>
    <w:rsid w:val="00170B98"/>
    <w:rsid w:val="00171293"/>
    <w:rsid w:val="001876A9"/>
    <w:rsid w:val="001B3E05"/>
    <w:rsid w:val="001B6096"/>
    <w:rsid w:val="001C514C"/>
    <w:rsid w:val="001E15DC"/>
    <w:rsid w:val="00201528"/>
    <w:rsid w:val="0021030F"/>
    <w:rsid w:val="00242371"/>
    <w:rsid w:val="0025076D"/>
    <w:rsid w:val="00282B72"/>
    <w:rsid w:val="00284321"/>
    <w:rsid w:val="00290061"/>
    <w:rsid w:val="00291B50"/>
    <w:rsid w:val="00293059"/>
    <w:rsid w:val="002B4D38"/>
    <w:rsid w:val="002C68A3"/>
    <w:rsid w:val="002D2203"/>
    <w:rsid w:val="002D2D31"/>
    <w:rsid w:val="002D7EA0"/>
    <w:rsid w:val="002E34AE"/>
    <w:rsid w:val="00317735"/>
    <w:rsid w:val="00332BD9"/>
    <w:rsid w:val="0035621A"/>
    <w:rsid w:val="00375090"/>
    <w:rsid w:val="00390FD7"/>
    <w:rsid w:val="00396AEB"/>
    <w:rsid w:val="003C203F"/>
    <w:rsid w:val="003C6F20"/>
    <w:rsid w:val="00400A63"/>
    <w:rsid w:val="00416DAF"/>
    <w:rsid w:val="00431128"/>
    <w:rsid w:val="0044621A"/>
    <w:rsid w:val="004632BE"/>
    <w:rsid w:val="0047449C"/>
    <w:rsid w:val="004B2EAD"/>
    <w:rsid w:val="004B560A"/>
    <w:rsid w:val="004B73F9"/>
    <w:rsid w:val="004C327D"/>
    <w:rsid w:val="004E34BC"/>
    <w:rsid w:val="004E7457"/>
    <w:rsid w:val="004F77FB"/>
    <w:rsid w:val="005311FB"/>
    <w:rsid w:val="00572315"/>
    <w:rsid w:val="005A0330"/>
    <w:rsid w:val="005A4E3D"/>
    <w:rsid w:val="00610393"/>
    <w:rsid w:val="006135E5"/>
    <w:rsid w:val="00630B97"/>
    <w:rsid w:val="00657E03"/>
    <w:rsid w:val="00673311"/>
    <w:rsid w:val="0067459B"/>
    <w:rsid w:val="006A5DC4"/>
    <w:rsid w:val="006C3E71"/>
    <w:rsid w:val="006E09C9"/>
    <w:rsid w:val="006E3717"/>
    <w:rsid w:val="007058F6"/>
    <w:rsid w:val="00782455"/>
    <w:rsid w:val="0078549D"/>
    <w:rsid w:val="007B6F07"/>
    <w:rsid w:val="007D273B"/>
    <w:rsid w:val="007D7417"/>
    <w:rsid w:val="007E4354"/>
    <w:rsid w:val="007E5DDE"/>
    <w:rsid w:val="007F700D"/>
    <w:rsid w:val="008057E8"/>
    <w:rsid w:val="00815CB0"/>
    <w:rsid w:val="0081706F"/>
    <w:rsid w:val="00822F12"/>
    <w:rsid w:val="00824C79"/>
    <w:rsid w:val="00892471"/>
    <w:rsid w:val="008E3CA4"/>
    <w:rsid w:val="0092058C"/>
    <w:rsid w:val="0093661B"/>
    <w:rsid w:val="00987813"/>
    <w:rsid w:val="00987C93"/>
    <w:rsid w:val="00990F3F"/>
    <w:rsid w:val="009D6B03"/>
    <w:rsid w:val="009E0FC2"/>
    <w:rsid w:val="00A33335"/>
    <w:rsid w:val="00A64DC2"/>
    <w:rsid w:val="00A674E5"/>
    <w:rsid w:val="00A740A5"/>
    <w:rsid w:val="00AE0C77"/>
    <w:rsid w:val="00AF07E9"/>
    <w:rsid w:val="00AF7333"/>
    <w:rsid w:val="00B1548D"/>
    <w:rsid w:val="00B345B1"/>
    <w:rsid w:val="00B50706"/>
    <w:rsid w:val="00B535F7"/>
    <w:rsid w:val="00B62487"/>
    <w:rsid w:val="00B70633"/>
    <w:rsid w:val="00B8198D"/>
    <w:rsid w:val="00B92AF2"/>
    <w:rsid w:val="00BA6AF7"/>
    <w:rsid w:val="00C05B0A"/>
    <w:rsid w:val="00C1041B"/>
    <w:rsid w:val="00C15DAC"/>
    <w:rsid w:val="00C613A9"/>
    <w:rsid w:val="00CB6C62"/>
    <w:rsid w:val="00CD5480"/>
    <w:rsid w:val="00CE1F4B"/>
    <w:rsid w:val="00D27DB9"/>
    <w:rsid w:val="00D869D1"/>
    <w:rsid w:val="00D918B9"/>
    <w:rsid w:val="00DA2BD4"/>
    <w:rsid w:val="00DC6F38"/>
    <w:rsid w:val="00DE3D18"/>
    <w:rsid w:val="00E34832"/>
    <w:rsid w:val="00E3555A"/>
    <w:rsid w:val="00E50F82"/>
    <w:rsid w:val="00E6118A"/>
    <w:rsid w:val="00E64542"/>
    <w:rsid w:val="00E65315"/>
    <w:rsid w:val="00E74097"/>
    <w:rsid w:val="00E74A47"/>
    <w:rsid w:val="00E91074"/>
    <w:rsid w:val="00EB20C0"/>
    <w:rsid w:val="00EC2D82"/>
    <w:rsid w:val="00EE4238"/>
    <w:rsid w:val="00EF551F"/>
    <w:rsid w:val="00EF7C97"/>
    <w:rsid w:val="00F41C9E"/>
    <w:rsid w:val="00F64E56"/>
    <w:rsid w:val="00FA447D"/>
    <w:rsid w:val="00FB2D00"/>
    <w:rsid w:val="00FC7E4B"/>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table" w:styleId="TableGrid">
    <w:name w:val="Table Grid"/>
    <w:basedOn w:val="TableNormal"/>
    <w:uiPriority w:val="39"/>
    <w:rsid w:val="00630B9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74A47"/>
    <w:pPr>
      <w:autoSpaceDE w:val="0"/>
      <w:autoSpaceDN w:val="0"/>
      <w:adjustRightInd w:val="0"/>
      <w:spacing w:after="0" w:line="321" w:lineRule="atLeast"/>
    </w:pPr>
    <w:rPr>
      <w:rFonts w:ascii="Arial" w:hAnsi="Arial" w:cs="Arial"/>
      <w:sz w:val="24"/>
      <w:szCs w:val="24"/>
    </w:rPr>
  </w:style>
  <w:style w:type="paragraph" w:customStyle="1" w:styleId="Pa3">
    <w:name w:val="Pa3"/>
    <w:basedOn w:val="Normal"/>
    <w:next w:val="Normal"/>
    <w:uiPriority w:val="99"/>
    <w:rsid w:val="00E74A47"/>
    <w:pPr>
      <w:autoSpaceDE w:val="0"/>
      <w:autoSpaceDN w:val="0"/>
      <w:adjustRightInd w:val="0"/>
      <w:spacing w:after="0" w:line="241" w:lineRule="atLeast"/>
    </w:pPr>
    <w:rPr>
      <w:rFonts w:ascii="Arial" w:hAnsi="Arial" w:cs="Arial"/>
      <w:sz w:val="24"/>
      <w:szCs w:val="24"/>
    </w:rPr>
  </w:style>
  <w:style w:type="paragraph" w:customStyle="1" w:styleId="Pa6">
    <w:name w:val="Pa6"/>
    <w:basedOn w:val="Normal"/>
    <w:next w:val="Normal"/>
    <w:uiPriority w:val="99"/>
    <w:rsid w:val="00E74A47"/>
    <w:pPr>
      <w:autoSpaceDE w:val="0"/>
      <w:autoSpaceDN w:val="0"/>
      <w:adjustRightInd w:val="0"/>
      <w:spacing w:after="0" w:line="241" w:lineRule="atLeast"/>
    </w:pPr>
    <w:rPr>
      <w:rFonts w:ascii="Arial" w:hAnsi="Arial" w:cs="Arial"/>
      <w:sz w:val="24"/>
      <w:szCs w:val="24"/>
    </w:rPr>
  </w:style>
  <w:style w:type="paragraph" w:customStyle="1" w:styleId="Pa17">
    <w:name w:val="Pa17"/>
    <w:basedOn w:val="Normal"/>
    <w:next w:val="Normal"/>
    <w:uiPriority w:val="99"/>
    <w:rsid w:val="00E74A47"/>
    <w:pPr>
      <w:autoSpaceDE w:val="0"/>
      <w:autoSpaceDN w:val="0"/>
      <w:adjustRightInd w:val="0"/>
      <w:spacing w:after="0" w:line="241" w:lineRule="atLeast"/>
    </w:pPr>
    <w:rPr>
      <w:rFonts w:ascii="Arial" w:hAnsi="Arial" w:cs="Arial"/>
      <w:sz w:val="24"/>
      <w:szCs w:val="24"/>
    </w:rPr>
  </w:style>
  <w:style w:type="paragraph" w:customStyle="1" w:styleId="TableParagraph">
    <w:name w:val="Table Paragraph"/>
    <w:basedOn w:val="Normal"/>
    <w:uiPriority w:val="1"/>
    <w:qFormat/>
    <w:rsid w:val="006A5DC4"/>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901">
      <w:bodyDiv w:val="1"/>
      <w:marLeft w:val="0"/>
      <w:marRight w:val="0"/>
      <w:marTop w:val="0"/>
      <w:marBottom w:val="0"/>
      <w:divBdr>
        <w:top w:val="none" w:sz="0" w:space="0" w:color="auto"/>
        <w:left w:val="none" w:sz="0" w:space="0" w:color="auto"/>
        <w:bottom w:val="none" w:sz="0" w:space="0" w:color="auto"/>
        <w:right w:val="none" w:sz="0" w:space="0" w:color="auto"/>
      </w:divBdr>
    </w:div>
    <w:div w:id="459962300">
      <w:bodyDiv w:val="1"/>
      <w:marLeft w:val="0"/>
      <w:marRight w:val="0"/>
      <w:marTop w:val="0"/>
      <w:marBottom w:val="0"/>
      <w:divBdr>
        <w:top w:val="none" w:sz="0" w:space="0" w:color="auto"/>
        <w:left w:val="none" w:sz="0" w:space="0" w:color="auto"/>
        <w:bottom w:val="none" w:sz="0" w:space="0" w:color="auto"/>
        <w:right w:val="none" w:sz="0" w:space="0" w:color="auto"/>
      </w:divBdr>
    </w:div>
    <w:div w:id="611088543">
      <w:bodyDiv w:val="1"/>
      <w:marLeft w:val="0"/>
      <w:marRight w:val="0"/>
      <w:marTop w:val="0"/>
      <w:marBottom w:val="0"/>
      <w:divBdr>
        <w:top w:val="none" w:sz="0" w:space="0" w:color="auto"/>
        <w:left w:val="none" w:sz="0" w:space="0" w:color="auto"/>
        <w:bottom w:val="none" w:sz="0" w:space="0" w:color="auto"/>
        <w:right w:val="none" w:sz="0" w:space="0" w:color="auto"/>
      </w:divBdr>
      <w:divsChild>
        <w:div w:id="45313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811100427">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 w:id="1674411540">
      <w:bodyDiv w:val="1"/>
      <w:marLeft w:val="0"/>
      <w:marRight w:val="0"/>
      <w:marTop w:val="0"/>
      <w:marBottom w:val="0"/>
      <w:divBdr>
        <w:top w:val="none" w:sz="0" w:space="0" w:color="auto"/>
        <w:left w:val="none" w:sz="0" w:space="0" w:color="auto"/>
        <w:bottom w:val="none" w:sz="0" w:space="0" w:color="auto"/>
        <w:right w:val="none" w:sz="0" w:space="0" w:color="auto"/>
      </w:divBdr>
    </w:div>
    <w:div w:id="20577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FE4BB396-6707-45DA-8714-042848C1A177}"/>
</file>

<file path=customXml/itemProps3.xml><?xml version="1.0" encoding="utf-8"?>
<ds:datastoreItem xmlns:ds="http://schemas.openxmlformats.org/officeDocument/2006/customXml" ds:itemID="{113945DA-2F9B-47C5-8E70-6913E6D480E2}"/>
</file>

<file path=docProps/app.xml><?xml version="1.0" encoding="utf-8"?>
<Properties xmlns="http://schemas.openxmlformats.org/officeDocument/2006/extended-properties" xmlns:vt="http://schemas.openxmlformats.org/officeDocument/2006/docPropsVTypes">
  <Template>template with copyright + page number</Template>
  <TotalTime>27</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2020-08-22T15:59:00Z</dcterms:created>
  <dcterms:modified xsi:type="dcterms:W3CDTF">2020-08-22T16:30:00Z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