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41A2" w14:textId="3B29298F" w:rsidR="00171293" w:rsidRPr="00D25601" w:rsidRDefault="00116EA1" w:rsidP="0079020E">
      <w:pPr>
        <w:pStyle w:val="Title1sl"/>
        <w:pBdr>
          <w:bottom w:val="single" w:sz="12" w:space="1" w:color="auto"/>
        </w:pBdr>
        <w:spacing w:before="240"/>
        <w:rPr>
          <w:sz w:val="40"/>
          <w:szCs w:val="40"/>
        </w:rPr>
      </w:pPr>
      <w:r>
        <w:rPr>
          <w:i/>
          <w:iCs/>
          <w:sz w:val="40"/>
          <w:szCs w:val="40"/>
        </w:rPr>
        <w:t>Roe v. Wade</w:t>
      </w:r>
      <w:r w:rsidR="00171293" w:rsidRPr="00D25601">
        <w:rPr>
          <w:sz w:val="40"/>
          <w:szCs w:val="40"/>
        </w:rPr>
        <w:t xml:space="preserve"> </w:t>
      </w:r>
      <w:r w:rsidR="00F64E56" w:rsidRPr="00D25601">
        <w:rPr>
          <w:sz w:val="40"/>
          <w:szCs w:val="40"/>
        </w:rPr>
        <w:t xml:space="preserve">/ </w:t>
      </w:r>
      <w:r w:rsidR="00430756">
        <w:rPr>
          <w:sz w:val="40"/>
          <w:szCs w:val="40"/>
        </w:rPr>
        <w:t xml:space="preserve">What the Justices Think about </w:t>
      </w:r>
      <w:r w:rsidR="00232467" w:rsidRPr="00D25601">
        <w:rPr>
          <w:sz w:val="40"/>
          <w:szCs w:val="40"/>
        </w:rPr>
        <w:t xml:space="preserve">Precedent and </w:t>
      </w:r>
      <w:r w:rsidR="00232467" w:rsidRPr="00D25601">
        <w:rPr>
          <w:i/>
          <w:iCs/>
          <w:sz w:val="40"/>
          <w:szCs w:val="40"/>
        </w:rPr>
        <w:t>Stare Decisis</w:t>
      </w:r>
    </w:p>
    <w:p w14:paraId="091D391B" w14:textId="452F3163" w:rsidR="00232467" w:rsidRPr="0079020E" w:rsidRDefault="004003A4" w:rsidP="007F0E2F">
      <w:pPr>
        <w:pStyle w:val="NormalWeb"/>
        <w:shd w:val="clear" w:color="auto" w:fill="FFFFFF"/>
        <w:spacing w:before="0" w:beforeAutospacing="0" w:after="120" w:afterAutospacing="0" w:line="300" w:lineRule="atLeast"/>
        <w:rPr>
          <w:rFonts w:ascii="Garamond" w:eastAsiaTheme="minorHAnsi" w:hAnsi="Garamond" w:cstheme="minorBidi"/>
          <w:sz w:val="25"/>
          <w:szCs w:val="25"/>
        </w:rPr>
      </w:pPr>
      <w:r w:rsidRPr="004003A4">
        <w:rPr>
          <w:rFonts w:ascii="Garamond" w:hAnsi="Garamond"/>
          <w:b/>
          <w:bCs/>
          <w:color w:val="000000"/>
          <w:sz w:val="25"/>
          <w:szCs w:val="25"/>
        </w:rPr>
        <w:t>Instructions:</w:t>
      </w:r>
      <w:r>
        <w:rPr>
          <w:rFonts w:ascii="Garamond" w:hAnsi="Garamond"/>
          <w:color w:val="000000"/>
          <w:sz w:val="25"/>
          <w:szCs w:val="25"/>
        </w:rPr>
        <w:t xml:space="preserve"> </w:t>
      </w:r>
    </w:p>
    <w:p w14:paraId="4A9F35AB" w14:textId="13F3F18C" w:rsidR="008D1B52" w:rsidRDefault="008D1B52" w:rsidP="0079020E">
      <w:pPr>
        <w:pStyle w:val="Numberedlistsl"/>
        <w:numPr>
          <w:ilvl w:val="0"/>
          <w:numId w:val="23"/>
        </w:numPr>
        <w:ind w:left="360"/>
        <w:rPr>
          <w:sz w:val="25"/>
          <w:szCs w:val="25"/>
        </w:rPr>
      </w:pPr>
      <w:r>
        <w:rPr>
          <w:color w:val="000000"/>
          <w:sz w:val="25"/>
          <w:szCs w:val="25"/>
        </w:rPr>
        <w:t xml:space="preserve">Pair up with another student to complete this </w:t>
      </w:r>
      <w:r w:rsidR="00060C68">
        <w:rPr>
          <w:color w:val="000000"/>
          <w:sz w:val="25"/>
          <w:szCs w:val="25"/>
        </w:rPr>
        <w:t>activity</w:t>
      </w:r>
      <w:r>
        <w:rPr>
          <w:color w:val="000000"/>
          <w:sz w:val="25"/>
          <w:szCs w:val="25"/>
        </w:rPr>
        <w:t>.</w:t>
      </w:r>
    </w:p>
    <w:p w14:paraId="412464B3" w14:textId="7D8346BF" w:rsidR="00232467" w:rsidRPr="007F0E2F" w:rsidRDefault="00232467" w:rsidP="0079020E">
      <w:pPr>
        <w:pStyle w:val="Numberedlistsl"/>
        <w:numPr>
          <w:ilvl w:val="0"/>
          <w:numId w:val="23"/>
        </w:numPr>
        <w:ind w:left="360"/>
        <w:rPr>
          <w:sz w:val="25"/>
          <w:szCs w:val="25"/>
        </w:rPr>
      </w:pPr>
      <w:r w:rsidRPr="007F0E2F">
        <w:rPr>
          <w:sz w:val="25"/>
          <w:szCs w:val="25"/>
        </w:rPr>
        <w:t xml:space="preserve">Divide up the </w:t>
      </w:r>
      <w:r w:rsidR="008B1393" w:rsidRPr="008B1393">
        <w:rPr>
          <w:b/>
          <w:bCs/>
          <w:sz w:val="25"/>
          <w:szCs w:val="25"/>
        </w:rPr>
        <w:t>Q</w:t>
      </w:r>
      <w:r w:rsidRPr="008B1393">
        <w:rPr>
          <w:b/>
          <w:bCs/>
          <w:sz w:val="25"/>
          <w:szCs w:val="25"/>
        </w:rPr>
        <w:t>uotes</w:t>
      </w:r>
      <w:r w:rsidRPr="007F0E2F">
        <w:rPr>
          <w:sz w:val="25"/>
          <w:szCs w:val="25"/>
        </w:rPr>
        <w:t xml:space="preserve"> below so you each have </w:t>
      </w:r>
      <w:r w:rsidR="007F0E2F">
        <w:rPr>
          <w:sz w:val="25"/>
          <w:szCs w:val="25"/>
        </w:rPr>
        <w:t>t</w:t>
      </w:r>
      <w:r w:rsidR="00251FD2">
        <w:rPr>
          <w:sz w:val="25"/>
          <w:szCs w:val="25"/>
        </w:rPr>
        <w:t>hree</w:t>
      </w:r>
      <w:r w:rsidR="007F0E2F">
        <w:rPr>
          <w:sz w:val="25"/>
          <w:szCs w:val="25"/>
        </w:rPr>
        <w:t xml:space="preserve"> quotes to </w:t>
      </w:r>
      <w:r w:rsidRPr="007F0E2F">
        <w:rPr>
          <w:sz w:val="25"/>
          <w:szCs w:val="25"/>
        </w:rPr>
        <w:t>work with. </w:t>
      </w:r>
    </w:p>
    <w:p w14:paraId="2C380118" w14:textId="3E868BCA" w:rsidR="00232467" w:rsidRPr="007F0E2F" w:rsidRDefault="007F0E2F" w:rsidP="0079020E">
      <w:pPr>
        <w:pStyle w:val="Numberedlistsl"/>
        <w:numPr>
          <w:ilvl w:val="0"/>
          <w:numId w:val="23"/>
        </w:numPr>
        <w:ind w:left="360"/>
        <w:rPr>
          <w:sz w:val="25"/>
          <w:szCs w:val="25"/>
        </w:rPr>
      </w:pPr>
      <w:r>
        <w:rPr>
          <w:sz w:val="25"/>
          <w:szCs w:val="25"/>
        </w:rPr>
        <w:t xml:space="preserve">Read your </w:t>
      </w:r>
      <w:r w:rsidR="00232467" w:rsidRPr="007F0E2F">
        <w:rPr>
          <w:sz w:val="25"/>
          <w:szCs w:val="25"/>
        </w:rPr>
        <w:t xml:space="preserve">quotes silently. </w:t>
      </w:r>
      <w:r>
        <w:rPr>
          <w:sz w:val="25"/>
          <w:szCs w:val="25"/>
        </w:rPr>
        <w:t>U</w:t>
      </w:r>
      <w:r w:rsidR="00232467" w:rsidRPr="007F0E2F">
        <w:rPr>
          <w:sz w:val="25"/>
          <w:szCs w:val="25"/>
        </w:rPr>
        <w:t xml:space="preserve">nderline passages you think are particularly important. Circle words or </w:t>
      </w:r>
      <w:r w:rsidR="00251FD2">
        <w:rPr>
          <w:sz w:val="25"/>
          <w:szCs w:val="25"/>
        </w:rPr>
        <w:t>sentences</w:t>
      </w:r>
      <w:r w:rsidR="00232467" w:rsidRPr="007F0E2F">
        <w:rPr>
          <w:sz w:val="25"/>
          <w:szCs w:val="25"/>
        </w:rPr>
        <w:t xml:space="preserve"> you have questions about. Then try to put </w:t>
      </w:r>
      <w:r w:rsidR="003C552B">
        <w:rPr>
          <w:sz w:val="25"/>
          <w:szCs w:val="25"/>
        </w:rPr>
        <w:t xml:space="preserve">the quote </w:t>
      </w:r>
      <w:r w:rsidR="00232467" w:rsidRPr="007F0E2F">
        <w:rPr>
          <w:sz w:val="25"/>
          <w:szCs w:val="25"/>
        </w:rPr>
        <w:t>in your own words or summarize it.</w:t>
      </w:r>
      <w:r w:rsidR="0079020E">
        <w:rPr>
          <w:sz w:val="25"/>
          <w:szCs w:val="25"/>
        </w:rPr>
        <w:t xml:space="preserve"> Explain your quotes to your partner. </w:t>
      </w:r>
    </w:p>
    <w:p w14:paraId="7B8EB5EE" w14:textId="3ABA39DA" w:rsidR="00232467" w:rsidRDefault="0079020E" w:rsidP="0079020E">
      <w:pPr>
        <w:pStyle w:val="Numberedlistsl"/>
        <w:numPr>
          <w:ilvl w:val="0"/>
          <w:numId w:val="23"/>
        </w:numPr>
        <w:ind w:left="360"/>
        <w:rPr>
          <w:sz w:val="25"/>
          <w:szCs w:val="25"/>
        </w:rPr>
      </w:pPr>
      <w:r>
        <w:rPr>
          <w:sz w:val="25"/>
          <w:szCs w:val="25"/>
        </w:rPr>
        <w:t>W</w:t>
      </w:r>
      <w:r w:rsidR="00232467" w:rsidRPr="007F0E2F">
        <w:rPr>
          <w:sz w:val="25"/>
          <w:szCs w:val="25"/>
        </w:rPr>
        <w:t xml:space="preserve">ork together to answer the </w:t>
      </w:r>
      <w:r w:rsidR="001D7A42" w:rsidRPr="0079020E">
        <w:rPr>
          <w:b/>
          <w:bCs/>
          <w:sz w:val="25"/>
          <w:szCs w:val="25"/>
        </w:rPr>
        <w:t>Q</w:t>
      </w:r>
      <w:r w:rsidR="00232467" w:rsidRPr="0079020E">
        <w:rPr>
          <w:b/>
          <w:bCs/>
          <w:sz w:val="25"/>
          <w:szCs w:val="25"/>
        </w:rPr>
        <w:t xml:space="preserve">uestions to </w:t>
      </w:r>
      <w:r w:rsidR="001D7A42" w:rsidRPr="0079020E">
        <w:rPr>
          <w:b/>
          <w:bCs/>
          <w:sz w:val="25"/>
          <w:szCs w:val="25"/>
        </w:rPr>
        <w:t>C</w:t>
      </w:r>
      <w:r w:rsidR="00232467" w:rsidRPr="0079020E">
        <w:rPr>
          <w:b/>
          <w:bCs/>
          <w:sz w:val="25"/>
          <w:szCs w:val="25"/>
        </w:rPr>
        <w:t>onsider</w:t>
      </w:r>
      <w:r w:rsidR="001D7A42">
        <w:rPr>
          <w:sz w:val="25"/>
          <w:szCs w:val="25"/>
        </w:rPr>
        <w:t xml:space="preserve"> (page </w:t>
      </w:r>
      <w:r w:rsidR="005927FA">
        <w:rPr>
          <w:sz w:val="25"/>
          <w:szCs w:val="25"/>
        </w:rPr>
        <w:t>5</w:t>
      </w:r>
      <w:r w:rsidR="001D7A42">
        <w:rPr>
          <w:sz w:val="25"/>
          <w:szCs w:val="25"/>
        </w:rPr>
        <w:t>)</w:t>
      </w:r>
      <w:r w:rsidR="00232467" w:rsidRPr="007F0E2F">
        <w:rPr>
          <w:sz w:val="25"/>
          <w:szCs w:val="25"/>
        </w:rPr>
        <w:t>.</w:t>
      </w:r>
    </w:p>
    <w:p w14:paraId="245287C1" w14:textId="5361685F" w:rsidR="001D7A42" w:rsidRPr="007F0E2F" w:rsidRDefault="003C7FBA" w:rsidP="001D7A42">
      <w:pPr>
        <w:pStyle w:val="Numberedlistsl"/>
        <w:numPr>
          <w:ilvl w:val="0"/>
          <w:numId w:val="0"/>
        </w:numPr>
        <w:spacing w:after="240"/>
        <w:rPr>
          <w:sz w:val="25"/>
          <w:szCs w:val="25"/>
        </w:rPr>
      </w:pPr>
      <w:r>
        <w:rPr>
          <w:color w:val="000000"/>
          <w:sz w:val="25"/>
          <w:szCs w:val="25"/>
        </w:rPr>
        <w:pict w14:anchorId="0D2EB1A3">
          <v:rect id="_x0000_i1025" style="width:0;height:1.5pt" o:hralign="center" o:hrstd="t" o:hr="t" fillcolor="#a0a0a0" stroked="f"/>
        </w:pict>
      </w:r>
    </w:p>
    <w:p w14:paraId="604B715B" w14:textId="1A8A8D3C" w:rsidR="001D7A42" w:rsidRPr="003132FA" w:rsidRDefault="001D7A42" w:rsidP="003132FA">
      <w:pPr>
        <w:pStyle w:val="Subhead2sl"/>
        <w:spacing w:before="360"/>
        <w:rPr>
          <w:rStyle w:val="Strong"/>
          <w:rFonts w:ascii="Garamond" w:hAnsi="Garamond"/>
          <w:bCs w:val="0"/>
          <w:i w:val="0"/>
          <w:iCs/>
          <w:color w:val="000000"/>
          <w:sz w:val="28"/>
          <w:szCs w:val="28"/>
        </w:rPr>
      </w:pPr>
      <w:r w:rsidRPr="003132FA">
        <w:rPr>
          <w:i w:val="0"/>
          <w:iCs/>
          <w:sz w:val="28"/>
          <w:szCs w:val="28"/>
        </w:rPr>
        <w:t>Quotes</w:t>
      </w:r>
    </w:p>
    <w:p w14:paraId="3108DC0C" w14:textId="02455AC1" w:rsidR="00232467" w:rsidRPr="001D7A42" w:rsidRDefault="00232467" w:rsidP="001D7A42">
      <w:pPr>
        <w:pStyle w:val="NormalWeb"/>
        <w:numPr>
          <w:ilvl w:val="0"/>
          <w:numId w:val="25"/>
        </w:numPr>
        <w:shd w:val="clear" w:color="auto" w:fill="FFFFFF"/>
        <w:spacing w:before="0" w:beforeAutospacing="0" w:after="240" w:afterAutospacing="0" w:line="300" w:lineRule="atLeast"/>
        <w:ind w:left="360"/>
        <w:rPr>
          <w:rFonts w:ascii="Garamond" w:hAnsi="Garamond"/>
          <w:color w:val="000000"/>
          <w:sz w:val="25"/>
          <w:szCs w:val="25"/>
        </w:rPr>
      </w:pPr>
      <w:r w:rsidRPr="001D7A42">
        <w:rPr>
          <w:rStyle w:val="Strong"/>
          <w:rFonts w:ascii="Garamond" w:hAnsi="Garamond"/>
          <w:color w:val="000000"/>
          <w:sz w:val="25"/>
          <w:szCs w:val="25"/>
        </w:rPr>
        <w:t>Justices Sandra Day O’Conner and Stephen G. Breyer</w:t>
      </w:r>
      <w:r w:rsidRPr="001D7A42">
        <w:rPr>
          <w:rFonts w:ascii="Garamond" w:hAnsi="Garamond"/>
          <w:color w:val="000000"/>
          <w:sz w:val="25"/>
          <w:szCs w:val="25"/>
        </w:rPr>
        <w:t xml:space="preserve"> in a taped interview with students </w:t>
      </w:r>
      <w:r w:rsidR="001D3DAD">
        <w:rPr>
          <w:rFonts w:ascii="Garamond" w:hAnsi="Garamond"/>
          <w:color w:val="000000"/>
          <w:sz w:val="25"/>
          <w:szCs w:val="25"/>
        </w:rPr>
        <w:t>in June 2005</w:t>
      </w:r>
      <w:r w:rsidRPr="001D7A42">
        <w:rPr>
          <w:rFonts w:ascii="Garamond" w:hAnsi="Garamond"/>
          <w:color w:val="000000"/>
          <w:sz w:val="25"/>
          <w:szCs w:val="25"/>
        </w:rPr>
        <w:t>. When asked about what might influence the justices to overturn a precedent, </w:t>
      </w:r>
      <w:r w:rsidRPr="001D7A42">
        <w:rPr>
          <w:rStyle w:val="Strong"/>
          <w:rFonts w:ascii="Garamond" w:hAnsi="Garamond"/>
          <w:color w:val="000000"/>
          <w:sz w:val="25"/>
          <w:szCs w:val="25"/>
        </w:rPr>
        <w:t>Justice O’Connor</w:t>
      </w:r>
      <w:r w:rsidRPr="001D7A42">
        <w:rPr>
          <w:rFonts w:ascii="Garamond" w:hAnsi="Garamond"/>
          <w:color w:val="000000"/>
          <w:sz w:val="25"/>
          <w:szCs w:val="25"/>
        </w:rPr>
        <w:t> said: </w:t>
      </w:r>
    </w:p>
    <w:p w14:paraId="3BEE933F" w14:textId="06979AC8" w:rsidR="00232467" w:rsidRPr="001D7A42" w:rsidRDefault="00232467" w:rsidP="001D7A42">
      <w:pPr>
        <w:pStyle w:val="NormalWeb"/>
        <w:shd w:val="clear" w:color="auto" w:fill="FFFFFF"/>
        <w:spacing w:before="0" w:beforeAutospacing="0" w:after="120" w:afterAutospacing="0" w:line="300" w:lineRule="atLeast"/>
        <w:ind w:left="720" w:right="360"/>
        <w:rPr>
          <w:rFonts w:ascii="Garamond" w:hAnsi="Garamond"/>
          <w:color w:val="000000"/>
          <w:sz w:val="25"/>
          <w:szCs w:val="25"/>
        </w:rPr>
      </w:pPr>
      <w:r w:rsidRPr="001D7A42">
        <w:rPr>
          <w:rStyle w:val="Emphasis"/>
          <w:rFonts w:ascii="Garamond" w:hAnsi="Garamond"/>
          <w:i w:val="0"/>
          <w:iCs w:val="0"/>
          <w:color w:val="000000"/>
          <w:sz w:val="25"/>
          <w:szCs w:val="25"/>
        </w:rPr>
        <w:t>Well I think you have to be able to persuade at least five members of this nine-member Court that an earlier judgment and opinion decided by this Court is now clearly wrong. That is possible to do. We can be persuaded at times that something we decided earlier has become, over time, no longer defensible.</w:t>
      </w:r>
    </w:p>
    <w:p w14:paraId="4A93BE63" w14:textId="0119A614" w:rsidR="00232467" w:rsidRPr="001D7A42" w:rsidRDefault="00232467" w:rsidP="001D7A42">
      <w:pPr>
        <w:pStyle w:val="NormalWeb"/>
        <w:shd w:val="clear" w:color="auto" w:fill="FFFFFF"/>
        <w:spacing w:before="0" w:beforeAutospacing="0" w:after="120" w:afterAutospacing="0" w:line="300" w:lineRule="atLeast"/>
        <w:ind w:left="720" w:right="360"/>
        <w:rPr>
          <w:rFonts w:ascii="Garamond" w:hAnsi="Garamond"/>
          <w:color w:val="000000"/>
          <w:sz w:val="25"/>
          <w:szCs w:val="25"/>
        </w:rPr>
      </w:pPr>
      <w:r w:rsidRPr="001D7A42">
        <w:rPr>
          <w:rStyle w:val="Emphasis"/>
          <w:rFonts w:ascii="Garamond" w:hAnsi="Garamond"/>
          <w:i w:val="0"/>
          <w:iCs w:val="0"/>
          <w:color w:val="000000"/>
          <w:sz w:val="25"/>
          <w:szCs w:val="25"/>
        </w:rPr>
        <w:t>And the most clear big example of that was in </w:t>
      </w:r>
      <w:r w:rsidRPr="001D7A42">
        <w:rPr>
          <w:rFonts w:ascii="Garamond" w:hAnsi="Garamond"/>
          <w:i/>
          <w:iCs/>
          <w:color w:val="000000"/>
          <w:sz w:val="25"/>
          <w:szCs w:val="25"/>
        </w:rPr>
        <w:t>Brown v. Board of Education</w:t>
      </w:r>
      <w:r w:rsidRPr="001D7A42">
        <w:rPr>
          <w:rFonts w:ascii="Garamond" w:hAnsi="Garamond"/>
          <w:color w:val="000000"/>
          <w:sz w:val="25"/>
          <w:szCs w:val="25"/>
        </w:rPr>
        <w:t> </w:t>
      </w:r>
      <w:r w:rsidRPr="001D7A42">
        <w:rPr>
          <w:rStyle w:val="Emphasis"/>
          <w:rFonts w:ascii="Garamond" w:hAnsi="Garamond"/>
          <w:i w:val="0"/>
          <w:iCs w:val="0"/>
          <w:color w:val="000000"/>
          <w:sz w:val="25"/>
          <w:szCs w:val="25"/>
        </w:rPr>
        <w:t>when the Supreme Court decided to overrule the old </w:t>
      </w:r>
      <w:r w:rsidRPr="001D7A42">
        <w:rPr>
          <w:rFonts w:ascii="Garamond" w:hAnsi="Garamond"/>
          <w:i/>
          <w:iCs/>
          <w:color w:val="000000"/>
          <w:sz w:val="25"/>
          <w:szCs w:val="25"/>
        </w:rPr>
        <w:t>Plessy v. Ferguson</w:t>
      </w:r>
      <w:r w:rsidRPr="001D7A42">
        <w:rPr>
          <w:rFonts w:ascii="Garamond" w:hAnsi="Garamond"/>
          <w:color w:val="000000"/>
          <w:sz w:val="25"/>
          <w:szCs w:val="25"/>
        </w:rPr>
        <w:t> </w:t>
      </w:r>
      <w:r w:rsidRPr="001D7A42">
        <w:rPr>
          <w:rStyle w:val="Emphasis"/>
          <w:rFonts w:ascii="Garamond" w:hAnsi="Garamond"/>
          <w:i w:val="0"/>
          <w:iCs w:val="0"/>
          <w:color w:val="000000"/>
          <w:sz w:val="25"/>
          <w:szCs w:val="25"/>
        </w:rPr>
        <w:t>principle that you could have separate public facilities for people based on race provided they were roughly the same. You know, the same school, one for people of the black race, one for people of the white race. That’s what </w:t>
      </w:r>
      <w:r w:rsidRPr="001D7A42">
        <w:rPr>
          <w:rFonts w:ascii="Garamond" w:hAnsi="Garamond"/>
          <w:i/>
          <w:iCs/>
          <w:color w:val="000000"/>
          <w:sz w:val="25"/>
          <w:szCs w:val="25"/>
        </w:rPr>
        <w:t>Plessy</w:t>
      </w:r>
      <w:r w:rsidRPr="001D7A42">
        <w:rPr>
          <w:rFonts w:ascii="Garamond" w:hAnsi="Garamond"/>
          <w:color w:val="000000"/>
          <w:sz w:val="25"/>
          <w:szCs w:val="25"/>
        </w:rPr>
        <w:t> </w:t>
      </w:r>
      <w:r w:rsidRPr="001D7A42">
        <w:rPr>
          <w:rStyle w:val="Emphasis"/>
          <w:rFonts w:ascii="Garamond" w:hAnsi="Garamond"/>
          <w:i w:val="0"/>
          <w:iCs w:val="0"/>
          <w:color w:val="000000"/>
          <w:sz w:val="25"/>
          <w:szCs w:val="25"/>
        </w:rPr>
        <w:t>said was all right. The members of this Court unanimously concluded that just was not valid and it overturned it [</w:t>
      </w:r>
      <w:r w:rsidRPr="001D7A42">
        <w:rPr>
          <w:rFonts w:ascii="Garamond" w:hAnsi="Garamond"/>
          <w:i/>
          <w:iCs/>
          <w:color w:val="000000"/>
          <w:sz w:val="25"/>
          <w:szCs w:val="25"/>
        </w:rPr>
        <w:t>Plessy</w:t>
      </w:r>
      <w:r w:rsidRPr="001D7A42">
        <w:rPr>
          <w:rStyle w:val="Emphasis"/>
          <w:rFonts w:ascii="Garamond" w:hAnsi="Garamond"/>
          <w:i w:val="0"/>
          <w:iCs w:val="0"/>
          <w:color w:val="000000"/>
          <w:sz w:val="25"/>
          <w:szCs w:val="25"/>
        </w:rPr>
        <w:t>].</w:t>
      </w:r>
    </w:p>
    <w:p w14:paraId="20FBC863" w14:textId="4F2D144A" w:rsidR="00232467" w:rsidRDefault="00232467"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So what standard is required? It’s just a standard of persuading at least five members of the Court that an earlier precedent is clearly wrong and shouldn’t remain the law of the nation.</w:t>
      </w:r>
    </w:p>
    <w:p w14:paraId="0F704CDA" w14:textId="78F70EB0" w:rsidR="00200FF9" w:rsidRPr="00200FF9" w:rsidRDefault="00200FF9" w:rsidP="00F1193A">
      <w:pPr>
        <w:pStyle w:val="NormalWeb"/>
        <w:shd w:val="clear" w:color="auto" w:fill="FFFFFF"/>
        <w:spacing w:before="0" w:beforeAutospacing="0" w:after="168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53D86AFC" w14:textId="46BF56AE" w:rsidR="00232467" w:rsidRPr="001D7A42" w:rsidRDefault="00232467" w:rsidP="001D7A42">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1D7A42">
        <w:rPr>
          <w:rStyle w:val="Strong"/>
          <w:rFonts w:ascii="Garamond" w:hAnsi="Garamond"/>
          <w:sz w:val="25"/>
          <w:szCs w:val="25"/>
        </w:rPr>
        <w:lastRenderedPageBreak/>
        <w:t>Justices Sandra Day O’Conner and Stephen G. Breyer</w:t>
      </w:r>
      <w:r w:rsidRPr="001D7A42">
        <w:rPr>
          <w:rStyle w:val="Strong"/>
          <w:rFonts w:ascii="Garamond" w:hAnsi="Garamond"/>
          <w:b w:val="0"/>
          <w:bCs w:val="0"/>
          <w:sz w:val="25"/>
          <w:szCs w:val="25"/>
        </w:rPr>
        <w:t xml:space="preserve"> in a taped interview with students </w:t>
      </w:r>
      <w:r w:rsidR="00B5461E">
        <w:rPr>
          <w:rStyle w:val="Strong"/>
          <w:rFonts w:ascii="Garamond" w:hAnsi="Garamond"/>
          <w:b w:val="0"/>
          <w:bCs w:val="0"/>
          <w:sz w:val="25"/>
          <w:szCs w:val="25"/>
        </w:rPr>
        <w:t>in June 2005</w:t>
      </w:r>
      <w:r w:rsidRPr="001D7A42">
        <w:rPr>
          <w:rStyle w:val="Strong"/>
          <w:rFonts w:ascii="Garamond" w:hAnsi="Garamond"/>
          <w:b w:val="0"/>
          <w:bCs w:val="0"/>
          <w:sz w:val="25"/>
          <w:szCs w:val="25"/>
        </w:rPr>
        <w:t>. After Justice O</w:t>
      </w:r>
      <w:r w:rsidR="001D7A42">
        <w:rPr>
          <w:rStyle w:val="Strong"/>
          <w:rFonts w:ascii="Garamond" w:hAnsi="Garamond"/>
          <w:b w:val="0"/>
          <w:bCs w:val="0"/>
          <w:sz w:val="25"/>
          <w:szCs w:val="25"/>
        </w:rPr>
        <w:t>’</w:t>
      </w:r>
      <w:r w:rsidRPr="001D7A42">
        <w:rPr>
          <w:rStyle w:val="Strong"/>
          <w:rFonts w:ascii="Garamond" w:hAnsi="Garamond"/>
          <w:b w:val="0"/>
          <w:bCs w:val="0"/>
          <w:sz w:val="25"/>
          <w:szCs w:val="25"/>
        </w:rPr>
        <w:t>Connor</w:t>
      </w:r>
      <w:r w:rsidR="001D7A42">
        <w:rPr>
          <w:rStyle w:val="Strong"/>
          <w:rFonts w:ascii="Garamond" w:hAnsi="Garamond"/>
          <w:b w:val="0"/>
          <w:bCs w:val="0"/>
          <w:sz w:val="25"/>
          <w:szCs w:val="25"/>
        </w:rPr>
        <w:t>’</w:t>
      </w:r>
      <w:r w:rsidRPr="001D7A42">
        <w:rPr>
          <w:rStyle w:val="Strong"/>
          <w:rFonts w:ascii="Garamond" w:hAnsi="Garamond"/>
          <w:b w:val="0"/>
          <w:bCs w:val="0"/>
          <w:sz w:val="25"/>
          <w:szCs w:val="25"/>
        </w:rPr>
        <w:t>s answer about what might influence the justices to overturn a precedent, </w:t>
      </w:r>
      <w:r w:rsidRPr="001D7A42">
        <w:rPr>
          <w:rStyle w:val="Strong"/>
          <w:rFonts w:ascii="Garamond" w:hAnsi="Garamond"/>
          <w:color w:val="000000"/>
          <w:sz w:val="25"/>
          <w:szCs w:val="25"/>
        </w:rPr>
        <w:t>Justice Breyer</w:t>
      </w:r>
      <w:r w:rsidRPr="001D7A42">
        <w:rPr>
          <w:rStyle w:val="Strong"/>
          <w:rFonts w:ascii="Garamond" w:hAnsi="Garamond"/>
          <w:sz w:val="25"/>
          <w:szCs w:val="25"/>
        </w:rPr>
        <w:t> </w:t>
      </w:r>
      <w:r w:rsidRPr="001D7A42">
        <w:rPr>
          <w:rStyle w:val="Strong"/>
          <w:rFonts w:ascii="Garamond" w:hAnsi="Garamond"/>
          <w:b w:val="0"/>
          <w:bCs w:val="0"/>
          <w:sz w:val="25"/>
          <w:szCs w:val="25"/>
        </w:rPr>
        <w:t>added:</w:t>
      </w:r>
    </w:p>
    <w:p w14:paraId="308D2143" w14:textId="39A1609E" w:rsidR="00232467" w:rsidRPr="001D7A42" w:rsidRDefault="00232467" w:rsidP="001D7A42">
      <w:pPr>
        <w:pStyle w:val="NormalWeb"/>
        <w:shd w:val="clear" w:color="auto" w:fill="FFFFFF"/>
        <w:spacing w:before="0" w:beforeAutospacing="0" w:after="240" w:afterAutospacing="0" w:line="300" w:lineRule="atLeast"/>
        <w:ind w:left="720" w:right="360"/>
        <w:rPr>
          <w:rStyle w:val="Emphasis"/>
        </w:rPr>
      </w:pPr>
      <w:r w:rsidRPr="001D7A42">
        <w:rPr>
          <w:rStyle w:val="Emphasis"/>
          <w:rFonts w:ascii="Garamond" w:hAnsi="Garamond"/>
          <w:i w:val="0"/>
          <w:iCs w:val="0"/>
          <w:color w:val="000000"/>
          <w:sz w:val="25"/>
          <w:szCs w:val="25"/>
        </w:rPr>
        <w:t>That last phrase [persuading at least five members of the Court that an earlier precedent is clearly wrong and shouldn’t remain the law of the nation] is very important. Every one of us understands that if you change the law too often, even when it was wrong before, people cannot live their lives. They can’t plan how to live; they can’t plan their societies. So no one thinks just because a case is wrong that you are going to overturn it. They have to both think it was wrong and think it’s harmful and causing a lot of trouble.</w:t>
      </w:r>
    </w:p>
    <w:p w14:paraId="3141C768" w14:textId="634DDA29" w:rsidR="00232467" w:rsidRDefault="00232467"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Now, if you said never overturn a case, we’d still live in a society that had racial segregation. That would be terrible. So, of course, sometimes you have to overturn a case. But five people [justices] have to agree it was wrong then and it’s wrong now and it’s causing a lot of harm to the point where even though people have to plan their lives, we better get rid of it. That happens very rarely.</w:t>
      </w:r>
    </w:p>
    <w:p w14:paraId="5CACD8C2" w14:textId="77777777" w:rsidR="00200FF9" w:rsidRPr="00200FF9" w:rsidRDefault="00200FF9" w:rsidP="00F1193A">
      <w:pPr>
        <w:pStyle w:val="NormalWeb"/>
        <w:shd w:val="clear" w:color="auto" w:fill="FFFFFF"/>
        <w:spacing w:before="0" w:beforeAutospacing="0" w:after="168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16C0CBC0" w14:textId="356D2402" w:rsidR="00232467" w:rsidRPr="001D7A42" w:rsidRDefault="00F34056" w:rsidP="001D7A42">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1D7A42">
        <w:rPr>
          <w:rStyle w:val="Strong"/>
          <w:rFonts w:ascii="Garamond" w:hAnsi="Garamond"/>
          <w:sz w:val="25"/>
          <w:szCs w:val="25"/>
        </w:rPr>
        <w:t xml:space="preserve">Chief Justice </w:t>
      </w:r>
      <w:r w:rsidR="00232467" w:rsidRPr="001D7A42">
        <w:rPr>
          <w:rStyle w:val="Strong"/>
          <w:rFonts w:ascii="Garamond" w:hAnsi="Garamond"/>
          <w:sz w:val="25"/>
          <w:szCs w:val="25"/>
        </w:rPr>
        <w:t>John Roberts</w:t>
      </w:r>
      <w:r w:rsidR="00232467" w:rsidRPr="001D7A42">
        <w:rPr>
          <w:rStyle w:val="Strong"/>
          <w:rFonts w:ascii="Garamond" w:hAnsi="Garamond"/>
          <w:b w:val="0"/>
          <w:bCs w:val="0"/>
          <w:sz w:val="25"/>
          <w:szCs w:val="25"/>
        </w:rPr>
        <w:t> at his Senate confirmation hearing</w:t>
      </w:r>
      <w:r w:rsidR="00072C46">
        <w:rPr>
          <w:rStyle w:val="Strong"/>
          <w:rFonts w:ascii="Garamond" w:hAnsi="Garamond"/>
          <w:b w:val="0"/>
          <w:bCs w:val="0"/>
          <w:sz w:val="25"/>
          <w:szCs w:val="25"/>
        </w:rPr>
        <w:t xml:space="preserve"> in </w:t>
      </w:r>
      <w:r w:rsidR="00232467" w:rsidRPr="001D7A42">
        <w:rPr>
          <w:rStyle w:val="Strong"/>
          <w:rFonts w:ascii="Garamond" w:hAnsi="Garamond"/>
          <w:b w:val="0"/>
          <w:bCs w:val="0"/>
          <w:sz w:val="25"/>
          <w:szCs w:val="25"/>
        </w:rPr>
        <w:t>September 2005:</w:t>
      </w:r>
    </w:p>
    <w:p w14:paraId="7D554051" w14:textId="6E04728D" w:rsidR="00232467" w:rsidRDefault="001D7A42"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T</w:t>
      </w:r>
      <w:r w:rsidR="00232467" w:rsidRPr="001D7A42">
        <w:rPr>
          <w:rStyle w:val="Emphasis"/>
          <w:rFonts w:ascii="Garamond" w:hAnsi="Garamond"/>
          <w:i w:val="0"/>
          <w:iCs w:val="0"/>
          <w:color w:val="000000"/>
          <w:sz w:val="25"/>
          <w:szCs w:val="25"/>
        </w:rPr>
        <w:t>he principles of </w:t>
      </w:r>
      <w:r w:rsidR="00232467" w:rsidRPr="001D7A42">
        <w:rPr>
          <w:rStyle w:val="Emphasis"/>
          <w:rFonts w:ascii="Garamond" w:hAnsi="Garamond"/>
          <w:sz w:val="25"/>
          <w:szCs w:val="25"/>
        </w:rPr>
        <w:t>stare decisis </w:t>
      </w:r>
      <w:r w:rsidR="00232467" w:rsidRPr="001D7A42">
        <w:rPr>
          <w:rStyle w:val="Emphasis"/>
          <w:rFonts w:ascii="Garamond" w:hAnsi="Garamond"/>
          <w:i w:val="0"/>
          <w:iCs w:val="0"/>
          <w:color w:val="000000"/>
          <w:sz w:val="25"/>
          <w:szCs w:val="25"/>
        </w:rPr>
        <w:t>look at a number of factors. Settled expectations is one of them…</w:t>
      </w:r>
      <w:r>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Whether or not particular precedents have proved to be unworkable is another consideration on the other side …</w:t>
      </w:r>
      <w:r>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I</w:t>
      </w:r>
      <w:r w:rsidRPr="001D7A42">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do think it is a jolt to the legal system when you overrule a precedent. Precedent plays an important role in promoting stability and evenhandedness.</w:t>
      </w:r>
    </w:p>
    <w:p w14:paraId="3B08B4B3" w14:textId="77777777" w:rsidR="00200FF9" w:rsidRPr="00200FF9" w:rsidRDefault="00200FF9" w:rsidP="00F1193A">
      <w:pPr>
        <w:pStyle w:val="NormalWeb"/>
        <w:shd w:val="clear" w:color="auto" w:fill="FFFFFF"/>
        <w:spacing w:before="0" w:beforeAutospacing="0" w:after="168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7A963ADB" w14:textId="77777777" w:rsidR="00C53EBB" w:rsidRDefault="00C53EBB" w:rsidP="00200FF9">
      <w:pPr>
        <w:pStyle w:val="NormalWeb"/>
        <w:numPr>
          <w:ilvl w:val="0"/>
          <w:numId w:val="25"/>
        </w:numPr>
        <w:shd w:val="clear" w:color="auto" w:fill="FFFFFF"/>
        <w:spacing w:before="0" w:beforeAutospacing="0" w:after="240" w:afterAutospacing="0" w:line="300" w:lineRule="atLeast"/>
        <w:ind w:left="360"/>
        <w:rPr>
          <w:rStyle w:val="Strong"/>
          <w:rFonts w:ascii="Garamond" w:hAnsi="Garamond"/>
          <w:sz w:val="25"/>
          <w:szCs w:val="25"/>
        </w:rPr>
      </w:pPr>
      <w:r>
        <w:rPr>
          <w:rStyle w:val="Strong"/>
          <w:rFonts w:ascii="Garamond" w:hAnsi="Garamond"/>
          <w:sz w:val="25"/>
          <w:szCs w:val="25"/>
        </w:rPr>
        <w:br w:type="page"/>
      </w:r>
    </w:p>
    <w:p w14:paraId="50CA3A5F" w14:textId="2F3E0D6F" w:rsidR="00232467" w:rsidRPr="00200FF9" w:rsidRDefault="00F34056" w:rsidP="00200FF9">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200FF9">
        <w:rPr>
          <w:rStyle w:val="Strong"/>
          <w:rFonts w:ascii="Garamond" w:hAnsi="Garamond"/>
          <w:sz w:val="25"/>
          <w:szCs w:val="25"/>
        </w:rPr>
        <w:lastRenderedPageBreak/>
        <w:t xml:space="preserve">Justice </w:t>
      </w:r>
      <w:r w:rsidR="00232467" w:rsidRPr="00200FF9">
        <w:rPr>
          <w:rStyle w:val="Strong"/>
          <w:rFonts w:ascii="Garamond" w:hAnsi="Garamond"/>
          <w:sz w:val="25"/>
          <w:szCs w:val="25"/>
        </w:rPr>
        <w:t>Stephen Breyer</w:t>
      </w:r>
      <w:r w:rsidR="00232467" w:rsidRPr="00200FF9">
        <w:rPr>
          <w:rStyle w:val="Strong"/>
          <w:rFonts w:ascii="Garamond" w:hAnsi="Garamond"/>
          <w:b w:val="0"/>
          <w:bCs w:val="0"/>
          <w:sz w:val="25"/>
          <w:szCs w:val="25"/>
        </w:rPr>
        <w:t>, writing for the Court in </w:t>
      </w:r>
      <w:r w:rsidR="00232467" w:rsidRPr="00200FF9">
        <w:rPr>
          <w:rStyle w:val="Strong"/>
          <w:rFonts w:ascii="Garamond" w:hAnsi="Garamond"/>
          <w:b w:val="0"/>
          <w:bCs w:val="0"/>
          <w:i/>
          <w:iCs/>
          <w:sz w:val="25"/>
          <w:szCs w:val="25"/>
        </w:rPr>
        <w:t>Randall v. Sorrell</w:t>
      </w:r>
      <w:r w:rsidR="00232467" w:rsidRPr="00200FF9">
        <w:rPr>
          <w:rStyle w:val="Strong"/>
          <w:rFonts w:ascii="Garamond" w:hAnsi="Garamond"/>
          <w:b w:val="0"/>
          <w:bCs w:val="0"/>
          <w:sz w:val="25"/>
          <w:szCs w:val="25"/>
        </w:rPr>
        <w:t xml:space="preserve">, the </w:t>
      </w:r>
      <w:r w:rsidR="00200FF9">
        <w:rPr>
          <w:rStyle w:val="Strong"/>
          <w:rFonts w:ascii="Garamond" w:hAnsi="Garamond"/>
          <w:b w:val="0"/>
          <w:bCs w:val="0"/>
          <w:sz w:val="25"/>
          <w:szCs w:val="25"/>
        </w:rPr>
        <w:t xml:space="preserve">2006 </w:t>
      </w:r>
      <w:r w:rsidR="00232467" w:rsidRPr="00200FF9">
        <w:rPr>
          <w:rStyle w:val="Strong"/>
          <w:rFonts w:ascii="Garamond" w:hAnsi="Garamond"/>
          <w:b w:val="0"/>
          <w:bCs w:val="0"/>
          <w:sz w:val="25"/>
          <w:szCs w:val="25"/>
        </w:rPr>
        <w:t>Vermont campaign finance reform decision:</w:t>
      </w:r>
    </w:p>
    <w:p w14:paraId="792E3BAE" w14:textId="357D8F99" w:rsidR="00232467" w:rsidRPr="00200FF9" w:rsidRDefault="00232467" w:rsidP="00200FF9">
      <w:pPr>
        <w:pStyle w:val="NormalWeb"/>
        <w:shd w:val="clear" w:color="auto" w:fill="FFFFFF"/>
        <w:spacing w:before="0" w:beforeAutospacing="0" w:after="120" w:afterAutospacing="0" w:line="300" w:lineRule="atLeast"/>
        <w:ind w:left="720" w:right="360"/>
        <w:rPr>
          <w:rStyle w:val="Emphasis"/>
          <w:rFonts w:ascii="Garamond" w:hAnsi="Garamond"/>
          <w:sz w:val="25"/>
          <w:szCs w:val="25"/>
        </w:rPr>
      </w:pPr>
      <w:r w:rsidRPr="00200FF9">
        <w:rPr>
          <w:rStyle w:val="Emphasis"/>
          <w:rFonts w:ascii="Garamond" w:hAnsi="Garamond"/>
          <w:i w:val="0"/>
          <w:iCs w:val="0"/>
          <w:color w:val="000000"/>
          <w:sz w:val="25"/>
          <w:szCs w:val="25"/>
        </w:rPr>
        <w:t xml:space="preserve">The Court has often recognized the </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fundamental importance of </w:t>
      </w:r>
      <w:r w:rsidRPr="00200FF9">
        <w:rPr>
          <w:rStyle w:val="Emphasis"/>
          <w:rFonts w:ascii="Garamond" w:hAnsi="Garamond"/>
          <w:sz w:val="25"/>
          <w:szCs w:val="25"/>
        </w:rPr>
        <w:t>stare decisis</w:t>
      </w:r>
      <w:r w:rsidRPr="00200FF9">
        <w:rPr>
          <w:rStyle w:val="Emphasis"/>
          <w:rFonts w:ascii="Garamond" w:hAnsi="Garamond"/>
          <w:i w:val="0"/>
          <w:iCs w:val="0"/>
          <w:color w:val="000000"/>
          <w:sz w:val="25"/>
          <w:szCs w:val="25"/>
        </w:rPr>
        <w:t>, the basic legal principle that commands judicial respect for a court’s earlier decisions and the rules of law they embody.</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 xml:space="preserve"> The court has pointed out that </w:t>
      </w:r>
      <w:r w:rsidRPr="00200FF9">
        <w:rPr>
          <w:rStyle w:val="Emphasis"/>
          <w:rFonts w:ascii="Garamond" w:hAnsi="Garamond"/>
          <w:sz w:val="25"/>
          <w:szCs w:val="25"/>
        </w:rPr>
        <w:t>stare decisis</w:t>
      </w:r>
      <w:r w:rsidRPr="00200FF9">
        <w:rPr>
          <w:rStyle w:val="Emphasis"/>
          <w:rFonts w:ascii="Garamond" w:hAnsi="Garamond"/>
          <w:i w:val="0"/>
          <w:iCs w:val="0"/>
          <w:color w:val="000000"/>
          <w:sz w:val="25"/>
          <w:szCs w:val="25"/>
        </w:rPr>
        <w:t> </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promotes the evenhanded, predictable and consistent development of legal principles, fosters reliance on judicial decisions, and contributes to the actual and perceived integrity of the judicial process.</w:t>
      </w:r>
      <w:r w:rsidR="00200FF9" w:rsidRPr="00200FF9">
        <w:rPr>
          <w:rStyle w:val="Emphasis"/>
          <w:rFonts w:ascii="Garamond" w:hAnsi="Garamond"/>
          <w:i w:val="0"/>
          <w:iCs w:val="0"/>
          <w:color w:val="000000"/>
          <w:sz w:val="25"/>
          <w:szCs w:val="25"/>
        </w:rPr>
        <w:t>”</w:t>
      </w:r>
    </w:p>
    <w:p w14:paraId="7DB474FF" w14:textId="5808FFB5" w:rsidR="00232467" w:rsidRDefault="00232467" w:rsidP="00200FF9">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200FF9">
        <w:rPr>
          <w:rStyle w:val="Emphasis"/>
          <w:rFonts w:ascii="Garamond" w:hAnsi="Garamond"/>
          <w:sz w:val="25"/>
          <w:szCs w:val="25"/>
        </w:rPr>
        <w:t>Stare decisis </w:t>
      </w:r>
      <w:r w:rsidRPr="00200FF9">
        <w:rPr>
          <w:rStyle w:val="Emphasis"/>
          <w:rFonts w:ascii="Garamond" w:hAnsi="Garamond"/>
          <w:i w:val="0"/>
          <w:iCs w:val="0"/>
          <w:color w:val="000000"/>
          <w:sz w:val="25"/>
          <w:szCs w:val="25"/>
        </w:rPr>
        <w:t>thereby avoids the instability and unfairness that accompany disruption of settled legal expectations. For this reason, the rule of law demands that adhering to our prior case law be the norm. Departure from precedent is exceptional and requires special justification.</w:t>
      </w:r>
    </w:p>
    <w:p w14:paraId="6D0BF837" w14:textId="77777777" w:rsidR="00200FF9" w:rsidRDefault="00200FF9" w:rsidP="00F1193A">
      <w:pPr>
        <w:pStyle w:val="NormalWeb"/>
        <w:shd w:val="clear" w:color="auto" w:fill="FFFFFF"/>
        <w:spacing w:before="0" w:beforeAutospacing="0" w:after="1680" w:afterAutospacing="0" w:line="300" w:lineRule="atLeast"/>
        <w:ind w:left="360" w:right="360"/>
        <w:rPr>
          <w:rStyle w:val="Emphasis"/>
          <w:rFonts w:ascii="Garamond" w:hAnsi="Garamond"/>
          <w:color w:val="000000"/>
          <w:sz w:val="25"/>
          <w:szCs w:val="25"/>
        </w:rPr>
      </w:pPr>
      <w:r w:rsidRPr="00200FF9">
        <w:rPr>
          <w:rStyle w:val="Emphasis"/>
          <w:rFonts w:ascii="Garamond" w:hAnsi="Garamond"/>
          <w:color w:val="000000"/>
          <w:sz w:val="25"/>
          <w:szCs w:val="25"/>
        </w:rPr>
        <w:t>Put this quote in your own words:</w:t>
      </w:r>
    </w:p>
    <w:p w14:paraId="698989A4" w14:textId="432C115C" w:rsidR="001448C5" w:rsidRDefault="001448C5" w:rsidP="001448C5">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rPr>
      </w:pPr>
      <w:r w:rsidRPr="00043211">
        <w:rPr>
          <w:rStyle w:val="Strong"/>
          <w:rFonts w:ascii="Garamond" w:hAnsi="Garamond"/>
        </w:rPr>
        <w:t xml:space="preserve">Justice </w:t>
      </w:r>
      <w:r w:rsidR="002E0AD4" w:rsidRPr="00043211">
        <w:rPr>
          <w:rStyle w:val="Strong"/>
          <w:rFonts w:ascii="Garamond" w:hAnsi="Garamond"/>
        </w:rPr>
        <w:t>Samuel Alito</w:t>
      </w:r>
      <w:r w:rsidRPr="00043211">
        <w:rPr>
          <w:rStyle w:val="Strong"/>
          <w:rFonts w:ascii="Garamond" w:hAnsi="Garamond"/>
          <w:b w:val="0"/>
          <w:bCs w:val="0"/>
        </w:rPr>
        <w:t>, writing for the Court in </w:t>
      </w:r>
      <w:r w:rsidR="003B199B" w:rsidRPr="00043211">
        <w:rPr>
          <w:rStyle w:val="normaltextrun"/>
          <w:rFonts w:ascii="Garamond" w:hAnsi="Garamond" w:cs="Segoe UI"/>
          <w:i/>
          <w:iCs/>
        </w:rPr>
        <w:t>Dobbs v. Jackson Women’s Health Organization</w:t>
      </w:r>
      <w:r w:rsidRPr="00043211">
        <w:rPr>
          <w:rStyle w:val="Strong"/>
          <w:rFonts w:ascii="Garamond" w:hAnsi="Garamond"/>
          <w:b w:val="0"/>
          <w:bCs w:val="0"/>
        </w:rPr>
        <w:t>, the 20</w:t>
      </w:r>
      <w:r w:rsidR="003B199B" w:rsidRPr="00043211">
        <w:rPr>
          <w:rStyle w:val="Strong"/>
          <w:rFonts w:ascii="Garamond" w:hAnsi="Garamond"/>
          <w:b w:val="0"/>
          <w:bCs w:val="0"/>
        </w:rPr>
        <w:t>2</w:t>
      </w:r>
      <w:r w:rsidR="00E432E6">
        <w:rPr>
          <w:rStyle w:val="Strong"/>
          <w:rFonts w:ascii="Garamond" w:hAnsi="Garamond"/>
          <w:b w:val="0"/>
          <w:bCs w:val="0"/>
        </w:rPr>
        <w:t>2</w:t>
      </w:r>
      <w:r w:rsidRPr="00043211">
        <w:rPr>
          <w:rStyle w:val="Strong"/>
          <w:rFonts w:ascii="Garamond" w:hAnsi="Garamond"/>
          <w:b w:val="0"/>
          <w:bCs w:val="0"/>
        </w:rPr>
        <w:t xml:space="preserve"> decision</w:t>
      </w:r>
      <w:r w:rsidR="008545A4" w:rsidRPr="00043211">
        <w:rPr>
          <w:rStyle w:val="Strong"/>
          <w:rFonts w:ascii="Garamond" w:hAnsi="Garamond"/>
          <w:b w:val="0"/>
          <w:bCs w:val="0"/>
        </w:rPr>
        <w:t xml:space="preserve"> </w:t>
      </w:r>
      <w:r w:rsidR="00072C46">
        <w:rPr>
          <w:rStyle w:val="Strong"/>
          <w:rFonts w:ascii="Garamond" w:hAnsi="Garamond"/>
          <w:b w:val="0"/>
          <w:bCs w:val="0"/>
        </w:rPr>
        <w:t xml:space="preserve">that </w:t>
      </w:r>
      <w:r w:rsidR="008545A4" w:rsidRPr="00043211">
        <w:rPr>
          <w:rStyle w:val="Strong"/>
          <w:rFonts w:ascii="Garamond" w:hAnsi="Garamond"/>
          <w:b w:val="0"/>
          <w:bCs w:val="0"/>
        </w:rPr>
        <w:t>overrul</w:t>
      </w:r>
      <w:r w:rsidR="00072C46">
        <w:rPr>
          <w:rStyle w:val="Strong"/>
          <w:rFonts w:ascii="Garamond" w:hAnsi="Garamond"/>
          <w:b w:val="0"/>
          <w:bCs w:val="0"/>
        </w:rPr>
        <w:t xml:space="preserve">ed </w:t>
      </w:r>
      <w:r w:rsidR="00043211" w:rsidRPr="00043211">
        <w:rPr>
          <w:rStyle w:val="cf01"/>
          <w:rFonts w:ascii="Garamond" w:hAnsi="Garamond"/>
          <w:i/>
          <w:iCs/>
          <w:sz w:val="24"/>
          <w:szCs w:val="24"/>
        </w:rPr>
        <w:t>Roe v. Wade</w:t>
      </w:r>
      <w:r w:rsidR="00043211" w:rsidRPr="00043211">
        <w:rPr>
          <w:rStyle w:val="cf01"/>
          <w:rFonts w:ascii="Garamond" w:hAnsi="Garamond"/>
          <w:sz w:val="24"/>
          <w:szCs w:val="24"/>
        </w:rPr>
        <w:t xml:space="preserve"> (1973)</w:t>
      </w:r>
      <w:r w:rsidR="000E72E7">
        <w:rPr>
          <w:rStyle w:val="cf01"/>
          <w:rFonts w:ascii="Garamond" w:hAnsi="Garamond"/>
          <w:sz w:val="24"/>
          <w:szCs w:val="24"/>
        </w:rPr>
        <w:t xml:space="preserve">, which </w:t>
      </w:r>
      <w:r w:rsidR="00043211" w:rsidRPr="00043211">
        <w:rPr>
          <w:rStyle w:val="cf01"/>
          <w:rFonts w:ascii="Garamond" w:hAnsi="Garamond"/>
          <w:sz w:val="24"/>
          <w:szCs w:val="24"/>
        </w:rPr>
        <w:t>had established a constitutional right to abortion</w:t>
      </w:r>
      <w:r w:rsidRPr="00043211">
        <w:rPr>
          <w:rStyle w:val="Strong"/>
          <w:rFonts w:ascii="Garamond" w:hAnsi="Garamond"/>
          <w:b w:val="0"/>
          <w:bCs w:val="0"/>
        </w:rPr>
        <w:t>:</w:t>
      </w:r>
    </w:p>
    <w:p w14:paraId="7D1FB725" w14:textId="77777777" w:rsidR="001448C5" w:rsidRPr="00C14955" w:rsidRDefault="001448C5" w:rsidP="00F1193A">
      <w:pPr>
        <w:spacing w:after="240"/>
        <w:ind w:left="720" w:right="720"/>
        <w:rPr>
          <w:rFonts w:ascii="Garamond" w:hAnsi="Garamond"/>
          <w:sz w:val="24"/>
          <w:szCs w:val="24"/>
        </w:rPr>
      </w:pPr>
      <w:r w:rsidRPr="00C14955">
        <w:rPr>
          <w:rFonts w:ascii="Garamond" w:hAnsi="Garamond"/>
          <w:i/>
          <w:iCs/>
          <w:sz w:val="24"/>
          <w:szCs w:val="24"/>
        </w:rPr>
        <w:t>Stare decisis</w:t>
      </w:r>
      <w:r w:rsidRPr="00C14955">
        <w:rPr>
          <w:rFonts w:ascii="Garamond" w:hAnsi="Garamond"/>
          <w:sz w:val="24"/>
          <w:szCs w:val="24"/>
        </w:rPr>
        <w:t xml:space="preserve"> plays an important role and protects the interests of those who have taken action in reliance on a past decision.  It “reduces incentives for challenging settled precedents, saving parties and courts the expense of endless relitigation</w:t>
      </w:r>
      <w:r>
        <w:rPr>
          <w:rFonts w:ascii="Garamond" w:hAnsi="Garamond"/>
          <w:sz w:val="24"/>
          <w:szCs w:val="24"/>
        </w:rPr>
        <w:t xml:space="preserve"> [taking a case to court more than one time]</w:t>
      </w:r>
      <w:r w:rsidRPr="00C14955">
        <w:rPr>
          <w:rFonts w:ascii="Garamond" w:hAnsi="Garamond"/>
          <w:sz w:val="24"/>
          <w:szCs w:val="24"/>
        </w:rPr>
        <w:t xml:space="preserve">.”…  It “contributes to the actual and perceived integrity of the judicial process.” </w:t>
      </w:r>
      <w:r w:rsidRPr="00C14955">
        <w:rPr>
          <w:rFonts w:ascii="Garamond" w:hAnsi="Garamond"/>
          <w:i/>
          <w:iCs/>
          <w:sz w:val="24"/>
          <w:szCs w:val="24"/>
        </w:rPr>
        <w:t>…</w:t>
      </w:r>
      <w:r w:rsidRPr="00C14955">
        <w:rPr>
          <w:rFonts w:ascii="Garamond" w:hAnsi="Garamond"/>
          <w:sz w:val="24"/>
          <w:szCs w:val="24"/>
        </w:rPr>
        <w:t xml:space="preserve">  And it restrains judicial hubris by respecting the judgment of those who grappled with important questions in the past.  But </w:t>
      </w:r>
      <w:r w:rsidRPr="00C14955">
        <w:rPr>
          <w:rFonts w:ascii="Garamond" w:hAnsi="Garamond"/>
          <w:i/>
          <w:iCs/>
          <w:sz w:val="24"/>
          <w:szCs w:val="24"/>
        </w:rPr>
        <w:t>stare decisis</w:t>
      </w:r>
      <w:r w:rsidRPr="00C14955">
        <w:rPr>
          <w:rFonts w:ascii="Garamond" w:hAnsi="Garamond"/>
          <w:sz w:val="24"/>
          <w:szCs w:val="24"/>
        </w:rPr>
        <w:t xml:space="preserve"> is not an inexorable command… and “is at its weakest when [the Court] interpret[s] the Constitution,”</w:t>
      </w:r>
      <w:r w:rsidRPr="00C14955">
        <w:rPr>
          <w:rFonts w:ascii="Garamond" w:hAnsi="Garamond"/>
          <w:i/>
          <w:iCs/>
          <w:sz w:val="24"/>
          <w:szCs w:val="24"/>
        </w:rPr>
        <w:t>..</w:t>
      </w:r>
      <w:r w:rsidRPr="00C14955">
        <w:rPr>
          <w:rFonts w:ascii="Garamond" w:hAnsi="Garamond"/>
          <w:sz w:val="24"/>
          <w:szCs w:val="24"/>
        </w:rPr>
        <w:t xml:space="preserve">.  Some of the Court’s most important constitutional decisions have overruled prior precedents.  See, e.g., </w:t>
      </w:r>
      <w:r w:rsidRPr="00C14955">
        <w:rPr>
          <w:rFonts w:ascii="Garamond" w:hAnsi="Garamond"/>
          <w:i/>
          <w:iCs/>
          <w:sz w:val="24"/>
          <w:szCs w:val="24"/>
        </w:rPr>
        <w:t xml:space="preserve">Brown v. Board of Education… </w:t>
      </w:r>
      <w:r w:rsidRPr="00C14955">
        <w:rPr>
          <w:rFonts w:ascii="Garamond" w:hAnsi="Garamond"/>
          <w:sz w:val="24"/>
          <w:szCs w:val="24"/>
        </w:rPr>
        <w:t xml:space="preserve">overruling the infamous decision in </w:t>
      </w:r>
      <w:r w:rsidRPr="00C14955">
        <w:rPr>
          <w:rFonts w:ascii="Garamond" w:hAnsi="Garamond"/>
          <w:i/>
          <w:iCs/>
          <w:sz w:val="24"/>
          <w:szCs w:val="24"/>
        </w:rPr>
        <w:t>Plessy v. Ferguson</w:t>
      </w:r>
      <w:r>
        <w:rPr>
          <w:rFonts w:ascii="Garamond" w:hAnsi="Garamond"/>
          <w:sz w:val="24"/>
          <w:szCs w:val="24"/>
        </w:rPr>
        <w:t>…</w:t>
      </w:r>
    </w:p>
    <w:p w14:paraId="7885C3F1" w14:textId="77777777" w:rsidR="00AF429C" w:rsidRDefault="00AF429C" w:rsidP="00F1193A">
      <w:pPr>
        <w:pStyle w:val="NormalWeb"/>
        <w:shd w:val="clear" w:color="auto" w:fill="FFFFFF"/>
        <w:spacing w:before="0" w:beforeAutospacing="0" w:after="1680" w:afterAutospacing="0" w:line="300" w:lineRule="atLeast"/>
        <w:ind w:left="360" w:right="360"/>
        <w:rPr>
          <w:rStyle w:val="Emphasis"/>
          <w:rFonts w:ascii="Garamond" w:hAnsi="Garamond"/>
          <w:color w:val="000000"/>
          <w:sz w:val="25"/>
          <w:szCs w:val="25"/>
        </w:rPr>
      </w:pPr>
      <w:r w:rsidRPr="00200FF9">
        <w:rPr>
          <w:rStyle w:val="Emphasis"/>
          <w:rFonts w:ascii="Garamond" w:hAnsi="Garamond"/>
          <w:color w:val="000000"/>
          <w:sz w:val="25"/>
          <w:szCs w:val="25"/>
        </w:rPr>
        <w:t>Put this quote in your own words:</w:t>
      </w:r>
    </w:p>
    <w:p w14:paraId="03A4F805" w14:textId="3C714E7A" w:rsidR="009A7BE7" w:rsidRPr="00043211" w:rsidRDefault="009A7BE7" w:rsidP="009A7BE7">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rPr>
      </w:pPr>
      <w:r w:rsidRPr="00043211">
        <w:rPr>
          <w:rStyle w:val="Strong"/>
          <w:rFonts w:ascii="Garamond" w:hAnsi="Garamond"/>
        </w:rPr>
        <w:lastRenderedPageBreak/>
        <w:t xml:space="preserve">Justice </w:t>
      </w:r>
      <w:r>
        <w:rPr>
          <w:rStyle w:val="Strong"/>
          <w:rFonts w:ascii="Garamond" w:hAnsi="Garamond"/>
        </w:rPr>
        <w:t>Steven Breyer</w:t>
      </w:r>
      <w:r w:rsidRPr="00043211">
        <w:rPr>
          <w:rStyle w:val="Strong"/>
          <w:rFonts w:ascii="Garamond" w:hAnsi="Garamond"/>
          <w:b w:val="0"/>
          <w:bCs w:val="0"/>
        </w:rPr>
        <w:t xml:space="preserve">, writing for the </w:t>
      </w:r>
      <w:r>
        <w:rPr>
          <w:rStyle w:val="Strong"/>
          <w:rFonts w:ascii="Garamond" w:hAnsi="Garamond"/>
          <w:b w:val="0"/>
          <w:bCs w:val="0"/>
        </w:rPr>
        <w:t>dissent</w:t>
      </w:r>
      <w:r w:rsidRPr="00043211">
        <w:rPr>
          <w:rStyle w:val="Strong"/>
          <w:rFonts w:ascii="Garamond" w:hAnsi="Garamond"/>
          <w:b w:val="0"/>
          <w:bCs w:val="0"/>
        </w:rPr>
        <w:t xml:space="preserve"> in </w:t>
      </w:r>
      <w:r w:rsidRPr="00043211">
        <w:rPr>
          <w:rStyle w:val="normaltextrun"/>
          <w:rFonts w:ascii="Garamond" w:hAnsi="Garamond" w:cs="Segoe UI"/>
          <w:i/>
          <w:iCs/>
        </w:rPr>
        <w:t>Dobbs v. Jackson Women’s Health Organization</w:t>
      </w:r>
      <w:r w:rsidRPr="00043211">
        <w:rPr>
          <w:rStyle w:val="Strong"/>
          <w:rFonts w:ascii="Garamond" w:hAnsi="Garamond"/>
          <w:b w:val="0"/>
          <w:bCs w:val="0"/>
        </w:rPr>
        <w:t xml:space="preserve">, the </w:t>
      </w:r>
      <w:r w:rsidR="000E72E7" w:rsidRPr="00043211">
        <w:rPr>
          <w:rStyle w:val="Strong"/>
          <w:rFonts w:ascii="Garamond" w:hAnsi="Garamond"/>
          <w:b w:val="0"/>
          <w:bCs w:val="0"/>
        </w:rPr>
        <w:t>202</w:t>
      </w:r>
      <w:r w:rsidR="000E72E7">
        <w:rPr>
          <w:rStyle w:val="Strong"/>
          <w:rFonts w:ascii="Garamond" w:hAnsi="Garamond"/>
          <w:b w:val="0"/>
          <w:bCs w:val="0"/>
        </w:rPr>
        <w:t>2</w:t>
      </w:r>
      <w:r w:rsidR="000E72E7" w:rsidRPr="00043211">
        <w:rPr>
          <w:rStyle w:val="Strong"/>
          <w:rFonts w:ascii="Garamond" w:hAnsi="Garamond"/>
          <w:b w:val="0"/>
          <w:bCs w:val="0"/>
        </w:rPr>
        <w:t xml:space="preserve"> decision </w:t>
      </w:r>
      <w:r w:rsidR="000E72E7">
        <w:rPr>
          <w:rStyle w:val="Strong"/>
          <w:rFonts w:ascii="Garamond" w:hAnsi="Garamond"/>
          <w:b w:val="0"/>
          <w:bCs w:val="0"/>
        </w:rPr>
        <w:t xml:space="preserve">that </w:t>
      </w:r>
      <w:r w:rsidR="000E72E7" w:rsidRPr="00043211">
        <w:rPr>
          <w:rStyle w:val="Strong"/>
          <w:rFonts w:ascii="Garamond" w:hAnsi="Garamond"/>
          <w:b w:val="0"/>
          <w:bCs w:val="0"/>
        </w:rPr>
        <w:t>overrul</w:t>
      </w:r>
      <w:r w:rsidR="000E72E7">
        <w:rPr>
          <w:rStyle w:val="Strong"/>
          <w:rFonts w:ascii="Garamond" w:hAnsi="Garamond"/>
          <w:b w:val="0"/>
          <w:bCs w:val="0"/>
        </w:rPr>
        <w:t xml:space="preserve">ed </w:t>
      </w:r>
      <w:r w:rsidR="000E72E7" w:rsidRPr="00043211">
        <w:rPr>
          <w:rStyle w:val="cf01"/>
          <w:rFonts w:ascii="Garamond" w:hAnsi="Garamond"/>
          <w:i/>
          <w:iCs/>
          <w:sz w:val="24"/>
          <w:szCs w:val="24"/>
        </w:rPr>
        <w:t>Roe v. Wade</w:t>
      </w:r>
      <w:r w:rsidR="000E72E7" w:rsidRPr="00043211">
        <w:rPr>
          <w:rStyle w:val="cf01"/>
          <w:rFonts w:ascii="Garamond" w:hAnsi="Garamond"/>
          <w:sz w:val="24"/>
          <w:szCs w:val="24"/>
        </w:rPr>
        <w:t xml:space="preserve"> (1973)</w:t>
      </w:r>
      <w:r w:rsidR="000E72E7">
        <w:rPr>
          <w:rStyle w:val="cf01"/>
          <w:rFonts w:ascii="Garamond" w:hAnsi="Garamond"/>
          <w:sz w:val="24"/>
          <w:szCs w:val="24"/>
        </w:rPr>
        <w:t xml:space="preserve">, which </w:t>
      </w:r>
      <w:r w:rsidR="000E72E7" w:rsidRPr="00043211">
        <w:rPr>
          <w:rStyle w:val="cf01"/>
          <w:rFonts w:ascii="Garamond" w:hAnsi="Garamond"/>
          <w:sz w:val="24"/>
          <w:szCs w:val="24"/>
        </w:rPr>
        <w:t>had established a constitutional right to abortion</w:t>
      </w:r>
      <w:r w:rsidR="000E72E7" w:rsidRPr="00043211">
        <w:rPr>
          <w:rStyle w:val="Strong"/>
          <w:rFonts w:ascii="Garamond" w:hAnsi="Garamond"/>
          <w:b w:val="0"/>
          <w:bCs w:val="0"/>
        </w:rPr>
        <w:t>:</w:t>
      </w:r>
    </w:p>
    <w:p w14:paraId="50EF8001" w14:textId="64AEB9F4" w:rsidR="006875CC" w:rsidRDefault="009C0A7A" w:rsidP="00F1193A">
      <w:pPr>
        <w:pStyle w:val="NormalWeb"/>
        <w:shd w:val="clear" w:color="auto" w:fill="FFFFFF"/>
        <w:spacing w:before="0" w:beforeAutospacing="0" w:after="120" w:afterAutospacing="0" w:line="300" w:lineRule="atLeast"/>
        <w:ind w:left="720" w:right="720"/>
        <w:rPr>
          <w:rFonts w:ascii="Garamond" w:hAnsi="Garamond"/>
          <w:color w:val="000000"/>
          <w:sz w:val="25"/>
          <w:szCs w:val="25"/>
        </w:rPr>
      </w:pPr>
      <w:r w:rsidRPr="009C0A7A">
        <w:rPr>
          <w:rFonts w:ascii="Garamond" w:hAnsi="Garamond"/>
          <w:color w:val="000000"/>
          <w:sz w:val="25"/>
          <w:szCs w:val="25"/>
        </w:rPr>
        <w:t>“</w:t>
      </w:r>
      <w:r w:rsidRPr="00400BA8">
        <w:rPr>
          <w:rFonts w:ascii="Garamond" w:hAnsi="Garamond"/>
          <w:i/>
          <w:iCs/>
          <w:color w:val="000000"/>
          <w:sz w:val="25"/>
          <w:szCs w:val="25"/>
        </w:rPr>
        <w:t>Stare decisis</w:t>
      </w:r>
      <w:r w:rsidRPr="009C0A7A">
        <w:rPr>
          <w:rFonts w:ascii="Garamond" w:hAnsi="Garamond"/>
          <w:color w:val="000000"/>
          <w:sz w:val="25"/>
          <w:szCs w:val="25"/>
        </w:rPr>
        <w:t xml:space="preserve">” means “to stand by things decided.” Black’s Law Dictionary 1696.  Blackstone called it the “established rule to abide by former precedents.” </w:t>
      </w:r>
      <w:r w:rsidRPr="006875CC">
        <w:rPr>
          <w:rFonts w:ascii="Garamond" w:hAnsi="Garamond"/>
          <w:i/>
          <w:iCs/>
          <w:color w:val="000000"/>
          <w:sz w:val="25"/>
          <w:szCs w:val="25"/>
        </w:rPr>
        <w:t>Stare decisis</w:t>
      </w:r>
      <w:r w:rsidRPr="009C0A7A">
        <w:rPr>
          <w:rFonts w:ascii="Garamond" w:hAnsi="Garamond"/>
          <w:color w:val="000000"/>
          <w:sz w:val="25"/>
          <w:szCs w:val="25"/>
        </w:rPr>
        <w:t xml:space="preserve"> “promotes the evenhanded, predictable, and consistent development of legal principles.” It maintains a stability that allows people to order their lives under the law.  </w:t>
      </w:r>
    </w:p>
    <w:p w14:paraId="3A79CF83" w14:textId="53FD80B8" w:rsidR="000D57F5" w:rsidRDefault="009C0A7A" w:rsidP="00F1193A">
      <w:pPr>
        <w:pStyle w:val="NormalWeb"/>
        <w:shd w:val="clear" w:color="auto" w:fill="FFFFFF"/>
        <w:spacing w:before="0" w:beforeAutospacing="0" w:after="120" w:afterAutospacing="0" w:line="300" w:lineRule="atLeast"/>
        <w:ind w:left="720" w:right="720"/>
        <w:rPr>
          <w:rFonts w:ascii="Garamond" w:hAnsi="Garamond"/>
          <w:color w:val="000000"/>
          <w:sz w:val="25"/>
          <w:szCs w:val="25"/>
        </w:rPr>
      </w:pPr>
      <w:r w:rsidRPr="0020175F">
        <w:rPr>
          <w:rFonts w:ascii="Garamond" w:hAnsi="Garamond"/>
          <w:i/>
          <w:iCs/>
          <w:color w:val="000000"/>
          <w:sz w:val="25"/>
          <w:szCs w:val="25"/>
        </w:rPr>
        <w:t>Stare decisis</w:t>
      </w:r>
      <w:r w:rsidRPr="009C0A7A">
        <w:rPr>
          <w:rFonts w:ascii="Garamond" w:hAnsi="Garamond"/>
          <w:color w:val="000000"/>
          <w:sz w:val="25"/>
          <w:szCs w:val="25"/>
        </w:rPr>
        <w:t xml:space="preserve"> also “contributes to the integrity of our constitutional system of government” by ensuring that decisions “are founded in the law rather than in the </w:t>
      </w:r>
      <w:r w:rsidR="00C07372">
        <w:rPr>
          <w:rFonts w:ascii="Garamond" w:hAnsi="Garamond"/>
          <w:color w:val="000000"/>
          <w:sz w:val="25"/>
          <w:szCs w:val="25"/>
        </w:rPr>
        <w:t>[preferences]</w:t>
      </w:r>
      <w:r w:rsidRPr="009C0A7A">
        <w:rPr>
          <w:rFonts w:ascii="Garamond" w:hAnsi="Garamond"/>
          <w:color w:val="000000"/>
          <w:sz w:val="25"/>
          <w:szCs w:val="25"/>
        </w:rPr>
        <w:t xml:space="preserve"> of individuals.” As Hamilton wrote: It “avoid[s] an arbitrary discretion in the courts.” And as Blackstone said before him: It “keep[s] the scale of justice even and steady, and not liable to waver with every new judge’s opinion.” The “glory” of our legal system is that it “gives preference to precedent rather than . . . jurists.” That is why, the story goes, Chief Justice John Marshall donned a plain black robe when he swore the oath of office. That act personified an American tradition. Judges’ personal preferences do not make law; rather, the law speaks through them. </w:t>
      </w:r>
    </w:p>
    <w:p w14:paraId="6509EECD" w14:textId="4F234B1D" w:rsidR="00901D1F" w:rsidRDefault="009C0A7A" w:rsidP="00321BCC">
      <w:pPr>
        <w:pStyle w:val="NormalWeb"/>
        <w:shd w:val="clear" w:color="auto" w:fill="FFFFFF"/>
        <w:spacing w:before="0" w:beforeAutospacing="0" w:after="240" w:afterAutospacing="0" w:line="300" w:lineRule="atLeast"/>
        <w:ind w:left="720" w:right="720"/>
        <w:rPr>
          <w:rFonts w:ascii="Garamond" w:hAnsi="Garamond"/>
          <w:color w:val="000000"/>
          <w:sz w:val="25"/>
          <w:szCs w:val="25"/>
        </w:rPr>
      </w:pPr>
      <w:r w:rsidRPr="009C0A7A">
        <w:rPr>
          <w:rFonts w:ascii="Garamond" w:hAnsi="Garamond"/>
          <w:color w:val="000000"/>
          <w:sz w:val="25"/>
          <w:szCs w:val="25"/>
        </w:rPr>
        <w:t xml:space="preserve">That means the Court may not overrule a decision, even a constitutional one, without a “special justification.”  </w:t>
      </w:r>
      <w:r w:rsidRPr="000D57F5">
        <w:rPr>
          <w:rFonts w:ascii="Garamond" w:hAnsi="Garamond"/>
          <w:i/>
          <w:iCs/>
          <w:color w:val="000000"/>
          <w:sz w:val="25"/>
          <w:szCs w:val="25"/>
        </w:rPr>
        <w:t xml:space="preserve">Stare decisis </w:t>
      </w:r>
      <w:r w:rsidRPr="009C0A7A">
        <w:rPr>
          <w:rFonts w:ascii="Garamond" w:hAnsi="Garamond"/>
          <w:color w:val="000000"/>
          <w:sz w:val="25"/>
          <w:szCs w:val="25"/>
        </w:rPr>
        <w:t xml:space="preserve">is, of course, not an “inexorable command”; it is sometimes appropriate to overrule an earlier decision. But the Court must have a good reason to do so over and above the belief “that the precedent was wrongly decided.” “[I]t is not alone sufficient that we would decide a case differently now than we did then.” </w:t>
      </w:r>
    </w:p>
    <w:p w14:paraId="386F56C0" w14:textId="77777777" w:rsidR="000F4BD7" w:rsidRDefault="000F4BD7" w:rsidP="00C53EBB">
      <w:pPr>
        <w:pStyle w:val="NormalWeb"/>
        <w:shd w:val="clear" w:color="auto" w:fill="FFFFFF"/>
        <w:spacing w:before="0" w:beforeAutospacing="0" w:after="1680" w:afterAutospacing="0" w:line="300" w:lineRule="atLeast"/>
        <w:ind w:left="360" w:right="360"/>
        <w:rPr>
          <w:rStyle w:val="Emphasis"/>
          <w:rFonts w:ascii="Garamond" w:hAnsi="Garamond"/>
          <w:color w:val="000000"/>
          <w:sz w:val="25"/>
          <w:szCs w:val="25"/>
        </w:rPr>
      </w:pPr>
      <w:r w:rsidRPr="00200FF9">
        <w:rPr>
          <w:rStyle w:val="Emphasis"/>
          <w:rFonts w:ascii="Garamond" w:hAnsi="Garamond"/>
          <w:color w:val="000000"/>
          <w:sz w:val="25"/>
          <w:szCs w:val="25"/>
        </w:rPr>
        <w:t>Put this quote in your own words:</w:t>
      </w:r>
    </w:p>
    <w:p w14:paraId="3130CE83" w14:textId="77777777" w:rsidR="000F4BD7" w:rsidRDefault="000F4BD7"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p>
    <w:p w14:paraId="6F42E109" w14:textId="77777777" w:rsidR="00AF429C" w:rsidRPr="00200FF9" w:rsidRDefault="00AF429C"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p>
    <w:p w14:paraId="10B129C0" w14:textId="3F87160A" w:rsidR="00232467" w:rsidRPr="003132FA" w:rsidRDefault="00232467" w:rsidP="003132FA">
      <w:pPr>
        <w:pStyle w:val="Subhead2sl"/>
        <w:spacing w:before="360"/>
        <w:rPr>
          <w:i w:val="0"/>
          <w:iCs/>
          <w:sz w:val="28"/>
          <w:szCs w:val="28"/>
        </w:rPr>
      </w:pPr>
      <w:r w:rsidRPr="003132FA">
        <w:rPr>
          <w:i w:val="0"/>
          <w:iCs/>
          <w:sz w:val="28"/>
          <w:szCs w:val="28"/>
        </w:rPr>
        <w:lastRenderedPageBreak/>
        <w:t>Questions to Consider</w:t>
      </w:r>
    </w:p>
    <w:p w14:paraId="1F3B4014" w14:textId="2F56B2D2" w:rsidR="00232467" w:rsidRPr="00232467" w:rsidRDefault="00232467" w:rsidP="00C53EBB">
      <w:pPr>
        <w:pStyle w:val="NormalWeb"/>
        <w:numPr>
          <w:ilvl w:val="0"/>
          <w:numId w:val="19"/>
        </w:numPr>
        <w:shd w:val="clear" w:color="auto" w:fill="FFFFFF"/>
        <w:tabs>
          <w:tab w:val="clear" w:pos="720"/>
        </w:tabs>
        <w:spacing w:before="0" w:beforeAutospacing="0" w:after="3240" w:afterAutospacing="0" w:line="276" w:lineRule="auto"/>
        <w:ind w:left="360"/>
        <w:rPr>
          <w:rFonts w:ascii="Garamond" w:hAnsi="Garamond"/>
          <w:color w:val="000000"/>
        </w:rPr>
      </w:pPr>
      <w:r w:rsidRPr="00232467">
        <w:rPr>
          <w:rFonts w:ascii="Garamond" w:hAnsi="Garamond"/>
          <w:color w:val="000000"/>
        </w:rPr>
        <w:t>Based on what you read</w:t>
      </w:r>
      <w:r w:rsidR="00437A59">
        <w:rPr>
          <w:rFonts w:ascii="Garamond" w:hAnsi="Garamond"/>
          <w:color w:val="000000"/>
        </w:rPr>
        <w:t xml:space="preserve"> in the quotes</w:t>
      </w:r>
      <w:r w:rsidRPr="00232467">
        <w:rPr>
          <w:rFonts w:ascii="Garamond" w:hAnsi="Garamond"/>
          <w:color w:val="000000"/>
        </w:rPr>
        <w:t>, why is adhering to precedent (or </w:t>
      </w:r>
      <w:r w:rsidRPr="00232467">
        <w:rPr>
          <w:rStyle w:val="Emphasis"/>
          <w:rFonts w:ascii="Garamond" w:hAnsi="Garamond"/>
          <w:color w:val="000000"/>
        </w:rPr>
        <w:t>stare decisis)</w:t>
      </w:r>
      <w:r w:rsidRPr="00232467">
        <w:rPr>
          <w:rFonts w:ascii="Garamond" w:hAnsi="Garamond"/>
          <w:color w:val="000000"/>
        </w:rPr>
        <w:t> important?</w:t>
      </w:r>
    </w:p>
    <w:p w14:paraId="3F16112A" w14:textId="2CB64B1B" w:rsidR="00232467" w:rsidRDefault="00232467" w:rsidP="00C53EBB">
      <w:pPr>
        <w:pStyle w:val="NormalWeb"/>
        <w:numPr>
          <w:ilvl w:val="0"/>
          <w:numId w:val="19"/>
        </w:numPr>
        <w:shd w:val="clear" w:color="auto" w:fill="FFFFFF"/>
        <w:tabs>
          <w:tab w:val="clear" w:pos="720"/>
        </w:tabs>
        <w:spacing w:before="0" w:beforeAutospacing="0" w:after="3240" w:afterAutospacing="0" w:line="276" w:lineRule="auto"/>
        <w:ind w:left="360"/>
        <w:rPr>
          <w:rFonts w:ascii="Garamond" w:hAnsi="Garamond"/>
          <w:color w:val="000000"/>
        </w:rPr>
      </w:pPr>
      <w:r w:rsidRPr="00232467">
        <w:rPr>
          <w:rFonts w:ascii="Garamond" w:hAnsi="Garamond"/>
          <w:color w:val="000000"/>
        </w:rPr>
        <w:t>Based on what you read</w:t>
      </w:r>
      <w:r w:rsidR="00BE7BBA">
        <w:rPr>
          <w:rFonts w:ascii="Garamond" w:hAnsi="Garamond"/>
          <w:color w:val="000000"/>
        </w:rPr>
        <w:t xml:space="preserve"> in the quotes</w:t>
      </w:r>
      <w:r w:rsidRPr="00232467">
        <w:rPr>
          <w:rFonts w:ascii="Garamond" w:hAnsi="Garamond"/>
          <w:color w:val="000000"/>
        </w:rPr>
        <w:t>, what do you think would be acceptable reasons for reversing</w:t>
      </w:r>
      <w:r w:rsidR="00577E7E">
        <w:rPr>
          <w:rFonts w:ascii="Garamond" w:hAnsi="Garamond"/>
          <w:color w:val="000000"/>
        </w:rPr>
        <w:t xml:space="preserve"> or overturning</w:t>
      </w:r>
      <w:r w:rsidRPr="00232467">
        <w:rPr>
          <w:rFonts w:ascii="Garamond" w:hAnsi="Garamond"/>
          <w:color w:val="000000"/>
        </w:rPr>
        <w:t xml:space="preserve"> an existing precedent?</w:t>
      </w:r>
    </w:p>
    <w:p w14:paraId="18C18CAD" w14:textId="33E7C87C" w:rsidR="00677861" w:rsidRPr="00232467" w:rsidRDefault="003513C8" w:rsidP="00C53EBB">
      <w:pPr>
        <w:pStyle w:val="NormalWeb"/>
        <w:numPr>
          <w:ilvl w:val="0"/>
          <w:numId w:val="19"/>
        </w:numPr>
        <w:shd w:val="clear" w:color="auto" w:fill="FFFFFF"/>
        <w:tabs>
          <w:tab w:val="clear" w:pos="720"/>
        </w:tabs>
        <w:spacing w:before="0" w:beforeAutospacing="0" w:after="3240" w:afterAutospacing="0" w:line="276" w:lineRule="auto"/>
        <w:ind w:left="360"/>
        <w:rPr>
          <w:rFonts w:ascii="Garamond" w:hAnsi="Garamond"/>
          <w:color w:val="000000"/>
        </w:rPr>
      </w:pPr>
      <w:r>
        <w:rPr>
          <w:rFonts w:ascii="Garamond" w:hAnsi="Garamond"/>
          <w:color w:val="000000"/>
        </w:rPr>
        <w:t xml:space="preserve">Which quote comes closest to your opinion about how the Court should apply </w:t>
      </w:r>
      <w:r w:rsidRPr="003513C8">
        <w:rPr>
          <w:rFonts w:ascii="Garamond" w:hAnsi="Garamond"/>
          <w:i/>
          <w:iCs/>
          <w:color w:val="000000"/>
        </w:rPr>
        <w:t>stare decisis</w:t>
      </w:r>
      <w:r>
        <w:rPr>
          <w:rFonts w:ascii="Garamond" w:hAnsi="Garamond"/>
          <w:color w:val="000000"/>
        </w:rPr>
        <w:t>? Explain.</w:t>
      </w:r>
    </w:p>
    <w:p w14:paraId="47B459AA" w14:textId="77777777" w:rsidR="00232467" w:rsidRDefault="00232467" w:rsidP="00232467">
      <w:pPr>
        <w:pStyle w:val="NormalWeb"/>
        <w:shd w:val="clear" w:color="auto" w:fill="FFFFFF"/>
        <w:spacing w:before="0" w:beforeAutospacing="0" w:after="300" w:afterAutospacing="0" w:line="300" w:lineRule="atLeast"/>
        <w:rPr>
          <w:rFonts w:ascii="Open Sans" w:hAnsi="Open Sans"/>
          <w:color w:val="000000"/>
          <w:sz w:val="23"/>
          <w:szCs w:val="23"/>
        </w:rPr>
      </w:pPr>
    </w:p>
    <w:p w14:paraId="7FB446B3" w14:textId="77777777" w:rsidR="004062A3" w:rsidRPr="00BE2426" w:rsidRDefault="004062A3" w:rsidP="00232467">
      <w:pPr>
        <w:rPr>
          <w:rFonts w:ascii="Garamond" w:hAnsi="Garamond"/>
          <w:sz w:val="24"/>
          <w:szCs w:val="24"/>
        </w:rPr>
      </w:pPr>
    </w:p>
    <w:sectPr w:rsidR="004062A3" w:rsidRPr="00BE2426" w:rsidSect="004003A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48A6" w14:textId="77777777" w:rsidR="00B24C38" w:rsidRDefault="00B24C38" w:rsidP="0078549D">
      <w:pPr>
        <w:spacing w:after="0" w:line="240" w:lineRule="auto"/>
      </w:pPr>
      <w:r>
        <w:separator/>
      </w:r>
    </w:p>
  </w:endnote>
  <w:endnote w:type="continuationSeparator" w:id="0">
    <w:p w14:paraId="7AE5FDF3" w14:textId="77777777" w:rsidR="00B24C38" w:rsidRDefault="00B24C3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4B70C71F"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w:t>
        </w:r>
        <w:r w:rsidR="00B75DA3">
          <w:rPr>
            <w:rStyle w:val="BasiccopyslChar"/>
            <w:sz w:val="22"/>
            <w:szCs w:val="22"/>
          </w:rPr>
          <w:t>3</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7E42" w14:textId="733898AF" w:rsidR="00987C93" w:rsidRPr="00E64542" w:rsidRDefault="00E64542">
    <w:pPr>
      <w:pStyle w:val="Footer"/>
      <w:rPr>
        <w:rFonts w:ascii="Garamond" w:eastAsia="Garamond" w:hAnsi="Garamond" w:cs="Garamond"/>
      </w:rPr>
    </w:pPr>
    <w:r w:rsidRPr="00987C93">
      <w:rPr>
        <w:rStyle w:val="BasiccopyslChar"/>
        <w:sz w:val="22"/>
        <w:szCs w:val="22"/>
      </w:rPr>
      <w:t>© 202</w:t>
    </w:r>
    <w:r w:rsidR="004003A4">
      <w:rPr>
        <w:rStyle w:val="BasiccopyslChar"/>
        <w:sz w:val="22"/>
        <w:szCs w:val="22"/>
      </w:rPr>
      <w:t>3</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t xml:space="preserve"> Last updated: </w:t>
    </w:r>
    <w:r w:rsidR="004003A4">
      <w:rPr>
        <w:rStyle w:val="BasiccopyslChar"/>
        <w:sz w:val="22"/>
        <w:szCs w:val="22"/>
      </w:rPr>
      <w:t>11</w:t>
    </w:r>
    <w:r w:rsidR="00D25601">
      <w:rPr>
        <w:rStyle w:val="BasiccopyslChar"/>
        <w:sz w:val="22"/>
        <w:szCs w:val="22"/>
      </w:rPr>
      <w:t>/</w:t>
    </w:r>
    <w:r w:rsidR="004003A4">
      <w:rPr>
        <w:rStyle w:val="BasiccopyslChar"/>
        <w:sz w:val="22"/>
        <w:szCs w:val="22"/>
      </w:rPr>
      <w:t>02</w:t>
    </w:r>
    <w:r w:rsidR="00D25601">
      <w:rPr>
        <w:rStyle w:val="BasiccopyslChar"/>
        <w:sz w:val="22"/>
        <w:szCs w:val="22"/>
      </w:rPr>
      <w:t>/202</w:t>
    </w:r>
    <w:r w:rsidR="004003A4">
      <w:rPr>
        <w:rStyle w:val="BasiccopyslChar"/>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2F84" w14:textId="77777777" w:rsidR="00B24C38" w:rsidRDefault="00B24C38" w:rsidP="0078549D">
      <w:pPr>
        <w:spacing w:after="0" w:line="240" w:lineRule="auto"/>
      </w:pPr>
      <w:r>
        <w:separator/>
      </w:r>
    </w:p>
  </w:footnote>
  <w:footnote w:type="continuationSeparator" w:id="0">
    <w:p w14:paraId="57772D51" w14:textId="77777777" w:rsidR="00B24C38" w:rsidRDefault="00B24C3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6AC8" w14:textId="4B583908" w:rsidR="00F64E56" w:rsidRPr="00D25601" w:rsidRDefault="00D25601" w:rsidP="00D25601">
    <w:pPr>
      <w:pStyle w:val="Basiccopysl"/>
      <w:rPr>
        <w:sz w:val="22"/>
        <w:szCs w:val="22"/>
      </w:rPr>
    </w:pPr>
    <w:r w:rsidRPr="00D25601">
      <w:rPr>
        <w:sz w:val="22"/>
        <w:szCs w:val="22"/>
      </w:rPr>
      <w:t>LandmarkCases.org</w:t>
    </w:r>
    <w:r w:rsidRPr="00D25601">
      <w:rPr>
        <w:sz w:val="22"/>
        <w:szCs w:val="22"/>
      </w:rPr>
      <w:tab/>
    </w:r>
    <w:r w:rsidR="00727829">
      <w:rPr>
        <w:sz w:val="22"/>
        <w:szCs w:val="22"/>
      </w:rPr>
      <w:tab/>
    </w:r>
    <w:r w:rsidR="004003A4">
      <w:rPr>
        <w:sz w:val="22"/>
        <w:szCs w:val="22"/>
      </w:rPr>
      <w:t xml:space="preserve">         </w:t>
    </w:r>
    <w:r w:rsidR="00125E58">
      <w:rPr>
        <w:i/>
        <w:iCs/>
        <w:sz w:val="22"/>
        <w:szCs w:val="22"/>
      </w:rPr>
      <w:t>Roe v. Wade</w:t>
    </w:r>
    <w:r w:rsidRPr="00D25601">
      <w:rPr>
        <w:sz w:val="22"/>
        <w:szCs w:val="22"/>
      </w:rPr>
      <w:t xml:space="preserve">/ </w:t>
    </w:r>
    <w:r w:rsidR="00430756">
      <w:rPr>
        <w:sz w:val="22"/>
        <w:szCs w:val="22"/>
      </w:rPr>
      <w:t xml:space="preserve">What the Justices Think about </w:t>
    </w:r>
    <w:r w:rsidRPr="00D25601">
      <w:rPr>
        <w:sz w:val="22"/>
        <w:szCs w:val="22"/>
      </w:rPr>
      <w:t xml:space="preserve">Precedent and </w:t>
    </w:r>
    <w:r w:rsidRPr="00D25601">
      <w:rPr>
        <w:i/>
        <w:iCs/>
        <w:sz w:val="22"/>
        <w:szCs w:val="22"/>
      </w:rPr>
      <w:t>Stare Decisis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6F0" w14:textId="12BB1AD0" w:rsidR="00987C93" w:rsidRPr="00D25601" w:rsidRDefault="00987C93" w:rsidP="00987C93">
    <w:pPr>
      <w:pStyle w:val="Basiccopysl"/>
      <w:rPr>
        <w:sz w:val="22"/>
        <w:szCs w:val="22"/>
      </w:rPr>
    </w:pPr>
    <w:r w:rsidRPr="00D25601">
      <w:rPr>
        <w:sz w:val="22"/>
        <w:szCs w:val="22"/>
      </w:rPr>
      <w:t>LandmarkCases.org</w:t>
    </w:r>
    <w:r w:rsidRPr="00D25601">
      <w:rPr>
        <w:sz w:val="22"/>
        <w:szCs w:val="22"/>
      </w:rPr>
      <w:tab/>
    </w:r>
    <w:r w:rsidRPr="00D25601">
      <w:rPr>
        <w:sz w:val="22"/>
        <w:szCs w:val="22"/>
      </w:rPr>
      <w:tab/>
    </w:r>
    <w:r w:rsidRPr="00D25601">
      <w:rPr>
        <w:sz w:val="22"/>
        <w:szCs w:val="22"/>
      </w:rPr>
      <w:tab/>
    </w:r>
    <w:r w:rsidRPr="00D25601">
      <w:rPr>
        <w:sz w:val="22"/>
        <w:szCs w:val="22"/>
      </w:rPr>
      <w:tab/>
    </w:r>
    <w:r w:rsidRPr="00D25601">
      <w:rPr>
        <w:sz w:val="22"/>
        <w:szCs w:val="22"/>
      </w:rPr>
      <w:tab/>
    </w:r>
    <w:r w:rsidR="00D25601">
      <w:rPr>
        <w:sz w:val="22"/>
        <w:szCs w:val="22"/>
      </w:rPr>
      <w:t xml:space="preserve">      </w:t>
    </w:r>
    <w:r w:rsidR="00116EA1">
      <w:rPr>
        <w:sz w:val="22"/>
        <w:szCs w:val="22"/>
      </w:rPr>
      <w:tab/>
      <w:t xml:space="preserve">   </w:t>
    </w:r>
    <w:r w:rsidR="00116EA1">
      <w:rPr>
        <w:i/>
        <w:iCs/>
        <w:sz w:val="22"/>
        <w:szCs w:val="22"/>
      </w:rPr>
      <w:t>Roe v. Wade</w:t>
    </w:r>
    <w:r w:rsidR="00AE3B15" w:rsidRPr="00D25601">
      <w:rPr>
        <w:i/>
        <w:iCs/>
        <w:sz w:val="22"/>
        <w:szCs w:val="22"/>
      </w:rPr>
      <w:t xml:space="preserve"> </w:t>
    </w:r>
    <w:r w:rsidR="00D25601" w:rsidRPr="00D25601">
      <w:rPr>
        <w:sz w:val="22"/>
        <w:szCs w:val="22"/>
      </w:rPr>
      <w:t xml:space="preserve">/ Precedent and </w:t>
    </w:r>
    <w:r w:rsidR="00D25601" w:rsidRPr="00D25601">
      <w:rPr>
        <w:i/>
        <w:iCs/>
        <w:sz w:val="22"/>
        <w:szCs w:val="22"/>
      </w:rPr>
      <w:t>Stare Decisis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3E2"/>
    <w:multiLevelType w:val="multilevel"/>
    <w:tmpl w:val="0C02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40ACB"/>
    <w:multiLevelType w:val="hybridMultilevel"/>
    <w:tmpl w:val="7B5C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D2F07"/>
    <w:multiLevelType w:val="multilevel"/>
    <w:tmpl w:val="A57A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24DAF"/>
    <w:multiLevelType w:val="hybridMultilevel"/>
    <w:tmpl w:val="CF22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895B9B"/>
    <w:multiLevelType w:val="multilevel"/>
    <w:tmpl w:val="285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D0CDC"/>
    <w:multiLevelType w:val="multilevel"/>
    <w:tmpl w:val="07FE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501225">
    <w:abstractNumId w:val="7"/>
  </w:num>
  <w:num w:numId="2" w16cid:durableId="1747149151">
    <w:abstractNumId w:val="3"/>
  </w:num>
  <w:num w:numId="3" w16cid:durableId="855585060">
    <w:abstractNumId w:val="2"/>
  </w:num>
  <w:num w:numId="4" w16cid:durableId="1378746997">
    <w:abstractNumId w:val="5"/>
  </w:num>
  <w:num w:numId="5" w16cid:durableId="437528364">
    <w:abstractNumId w:val="8"/>
  </w:num>
  <w:num w:numId="6" w16cid:durableId="1346445453">
    <w:abstractNumId w:val="6"/>
  </w:num>
  <w:num w:numId="7" w16cid:durableId="384182193">
    <w:abstractNumId w:val="8"/>
    <w:lvlOverride w:ilvl="0">
      <w:startOverride w:val="1"/>
    </w:lvlOverride>
  </w:num>
  <w:num w:numId="8" w16cid:durableId="165945015">
    <w:abstractNumId w:val="8"/>
    <w:lvlOverride w:ilvl="0">
      <w:startOverride w:val="1"/>
    </w:lvlOverride>
  </w:num>
  <w:num w:numId="9" w16cid:durableId="1473904978">
    <w:abstractNumId w:val="8"/>
    <w:lvlOverride w:ilvl="0">
      <w:startOverride w:val="1"/>
    </w:lvlOverride>
  </w:num>
  <w:num w:numId="10" w16cid:durableId="600064203">
    <w:abstractNumId w:val="8"/>
    <w:lvlOverride w:ilvl="0">
      <w:startOverride w:val="1"/>
    </w:lvlOverride>
  </w:num>
  <w:num w:numId="11" w16cid:durableId="257254768">
    <w:abstractNumId w:val="4"/>
  </w:num>
  <w:num w:numId="12" w16cid:durableId="1247805719">
    <w:abstractNumId w:val="14"/>
  </w:num>
  <w:num w:numId="13" w16cid:durableId="2096199767">
    <w:abstractNumId w:val="12"/>
  </w:num>
  <w:num w:numId="14" w16cid:durableId="343364045">
    <w:abstractNumId w:val="16"/>
  </w:num>
  <w:num w:numId="15" w16cid:durableId="640043737">
    <w:abstractNumId w:val="11"/>
  </w:num>
  <w:num w:numId="16" w16cid:durableId="828180151">
    <w:abstractNumId w:val="9"/>
  </w:num>
  <w:num w:numId="17" w16cid:durableId="685520023">
    <w:abstractNumId w:val="15"/>
  </w:num>
  <w:num w:numId="18" w16cid:durableId="1562599231">
    <w:abstractNumId w:val="13"/>
  </w:num>
  <w:num w:numId="19" w16cid:durableId="475685701">
    <w:abstractNumId w:val="0"/>
  </w:num>
  <w:num w:numId="20" w16cid:durableId="1942762550">
    <w:abstractNumId w:val="3"/>
  </w:num>
  <w:num w:numId="21" w16cid:durableId="2069376229">
    <w:abstractNumId w:val="3"/>
    <w:lvlOverride w:ilvl="0">
      <w:startOverride w:val="1"/>
    </w:lvlOverride>
  </w:num>
  <w:num w:numId="22" w16cid:durableId="241449948">
    <w:abstractNumId w:val="3"/>
  </w:num>
  <w:num w:numId="23" w16cid:durableId="911232129">
    <w:abstractNumId w:val="3"/>
    <w:lvlOverride w:ilvl="0">
      <w:startOverride w:val="1"/>
    </w:lvlOverride>
  </w:num>
  <w:num w:numId="24" w16cid:durableId="763261753">
    <w:abstractNumId w:val="1"/>
  </w:num>
  <w:num w:numId="25" w16cid:durableId="445849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7708"/>
    <w:rsid w:val="000356BB"/>
    <w:rsid w:val="00043211"/>
    <w:rsid w:val="00060C68"/>
    <w:rsid w:val="00062C1B"/>
    <w:rsid w:val="00072C46"/>
    <w:rsid w:val="00075978"/>
    <w:rsid w:val="00094CC6"/>
    <w:rsid w:val="000A0365"/>
    <w:rsid w:val="000D57F5"/>
    <w:rsid w:val="000E239D"/>
    <w:rsid w:val="000E72E7"/>
    <w:rsid w:val="000F4BD7"/>
    <w:rsid w:val="001056C3"/>
    <w:rsid w:val="00116A1D"/>
    <w:rsid w:val="00116EA1"/>
    <w:rsid w:val="00125E58"/>
    <w:rsid w:val="001448C5"/>
    <w:rsid w:val="00170B98"/>
    <w:rsid w:val="00171293"/>
    <w:rsid w:val="00182C32"/>
    <w:rsid w:val="001B3E05"/>
    <w:rsid w:val="001D3DAD"/>
    <w:rsid w:val="001D7A42"/>
    <w:rsid w:val="001E76DE"/>
    <w:rsid w:val="00200FF9"/>
    <w:rsid w:val="00201528"/>
    <w:rsid w:val="0020175F"/>
    <w:rsid w:val="0021030F"/>
    <w:rsid w:val="0022716B"/>
    <w:rsid w:val="00232467"/>
    <w:rsid w:val="0025076D"/>
    <w:rsid w:val="00251FD2"/>
    <w:rsid w:val="00260A4D"/>
    <w:rsid w:val="00290061"/>
    <w:rsid w:val="00291B50"/>
    <w:rsid w:val="002B4D38"/>
    <w:rsid w:val="002C68A3"/>
    <w:rsid w:val="002D2203"/>
    <w:rsid w:val="002D7EA0"/>
    <w:rsid w:val="002E0AD4"/>
    <w:rsid w:val="002E34AE"/>
    <w:rsid w:val="003112D2"/>
    <w:rsid w:val="003132FA"/>
    <w:rsid w:val="00317735"/>
    <w:rsid w:val="00321BCC"/>
    <w:rsid w:val="003513C8"/>
    <w:rsid w:val="0035621A"/>
    <w:rsid w:val="00375090"/>
    <w:rsid w:val="00396AEB"/>
    <w:rsid w:val="003B199B"/>
    <w:rsid w:val="003C552B"/>
    <w:rsid w:val="003C6F20"/>
    <w:rsid w:val="003C7FBA"/>
    <w:rsid w:val="003E4EA5"/>
    <w:rsid w:val="004003A4"/>
    <w:rsid w:val="00400A63"/>
    <w:rsid w:val="00400BA8"/>
    <w:rsid w:val="004062A3"/>
    <w:rsid w:val="00430756"/>
    <w:rsid w:val="00431128"/>
    <w:rsid w:val="00437A59"/>
    <w:rsid w:val="004632BE"/>
    <w:rsid w:val="004638DC"/>
    <w:rsid w:val="004B2EAD"/>
    <w:rsid w:val="004B560A"/>
    <w:rsid w:val="004B73F9"/>
    <w:rsid w:val="004C327D"/>
    <w:rsid w:val="004E7457"/>
    <w:rsid w:val="004F77FB"/>
    <w:rsid w:val="005311FB"/>
    <w:rsid w:val="00572315"/>
    <w:rsid w:val="00577E7E"/>
    <w:rsid w:val="005927FA"/>
    <w:rsid w:val="005A0330"/>
    <w:rsid w:val="005A4E3D"/>
    <w:rsid w:val="00604032"/>
    <w:rsid w:val="006135E5"/>
    <w:rsid w:val="00613C44"/>
    <w:rsid w:val="00622BBE"/>
    <w:rsid w:val="00627291"/>
    <w:rsid w:val="00642165"/>
    <w:rsid w:val="00677861"/>
    <w:rsid w:val="006875CC"/>
    <w:rsid w:val="006A74CE"/>
    <w:rsid w:val="006C3E71"/>
    <w:rsid w:val="006E09C9"/>
    <w:rsid w:val="006E22C3"/>
    <w:rsid w:val="006E3717"/>
    <w:rsid w:val="007058F6"/>
    <w:rsid w:val="00706546"/>
    <w:rsid w:val="00727829"/>
    <w:rsid w:val="00760239"/>
    <w:rsid w:val="00782455"/>
    <w:rsid w:val="0078549D"/>
    <w:rsid w:val="0079020E"/>
    <w:rsid w:val="00796FB9"/>
    <w:rsid w:val="007A47E8"/>
    <w:rsid w:val="007B6F07"/>
    <w:rsid w:val="007F0E2F"/>
    <w:rsid w:val="007F700D"/>
    <w:rsid w:val="00815CB0"/>
    <w:rsid w:val="0081706F"/>
    <w:rsid w:val="00824C79"/>
    <w:rsid w:val="008545A4"/>
    <w:rsid w:val="00890363"/>
    <w:rsid w:val="00892A96"/>
    <w:rsid w:val="008B1393"/>
    <w:rsid w:val="008D1B52"/>
    <w:rsid w:val="00901D1F"/>
    <w:rsid w:val="00931389"/>
    <w:rsid w:val="00943AAE"/>
    <w:rsid w:val="00987813"/>
    <w:rsid w:val="00987C93"/>
    <w:rsid w:val="009A7BE7"/>
    <w:rsid w:val="009C0A7A"/>
    <w:rsid w:val="009D6B03"/>
    <w:rsid w:val="009E0FC2"/>
    <w:rsid w:val="00A368A9"/>
    <w:rsid w:val="00A45C1D"/>
    <w:rsid w:val="00A740A5"/>
    <w:rsid w:val="00A75990"/>
    <w:rsid w:val="00A80789"/>
    <w:rsid w:val="00A8748B"/>
    <w:rsid w:val="00AE0C77"/>
    <w:rsid w:val="00AE3B15"/>
    <w:rsid w:val="00AF429C"/>
    <w:rsid w:val="00AF678D"/>
    <w:rsid w:val="00AF7333"/>
    <w:rsid w:val="00B24C38"/>
    <w:rsid w:val="00B535F7"/>
    <w:rsid w:val="00B5461E"/>
    <w:rsid w:val="00B62487"/>
    <w:rsid w:val="00B75DA3"/>
    <w:rsid w:val="00B83549"/>
    <w:rsid w:val="00B92AF2"/>
    <w:rsid w:val="00BA140B"/>
    <w:rsid w:val="00BA7281"/>
    <w:rsid w:val="00BE2426"/>
    <w:rsid w:val="00BE7BBA"/>
    <w:rsid w:val="00C01ACD"/>
    <w:rsid w:val="00C05B0A"/>
    <w:rsid w:val="00C07372"/>
    <w:rsid w:val="00C15DAC"/>
    <w:rsid w:val="00C45E25"/>
    <w:rsid w:val="00C53EBB"/>
    <w:rsid w:val="00C613A9"/>
    <w:rsid w:val="00CD5480"/>
    <w:rsid w:val="00CE1F4B"/>
    <w:rsid w:val="00CF4575"/>
    <w:rsid w:val="00D25601"/>
    <w:rsid w:val="00D918B9"/>
    <w:rsid w:val="00DC000D"/>
    <w:rsid w:val="00DE3D18"/>
    <w:rsid w:val="00E34832"/>
    <w:rsid w:val="00E3555A"/>
    <w:rsid w:val="00E432E6"/>
    <w:rsid w:val="00E50F82"/>
    <w:rsid w:val="00E6118A"/>
    <w:rsid w:val="00E64542"/>
    <w:rsid w:val="00E74097"/>
    <w:rsid w:val="00EA6467"/>
    <w:rsid w:val="00EB20C0"/>
    <w:rsid w:val="00EC6718"/>
    <w:rsid w:val="00EF7C97"/>
    <w:rsid w:val="00F112DF"/>
    <w:rsid w:val="00F1193A"/>
    <w:rsid w:val="00F211EE"/>
    <w:rsid w:val="00F34056"/>
    <w:rsid w:val="00F64E56"/>
    <w:rsid w:val="00FB67C5"/>
    <w:rsid w:val="00FC6DD2"/>
    <w:rsid w:val="00FC7E4B"/>
    <w:rsid w:val="3F80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062A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paragraph" w:customStyle="1" w:styleId="TableParagraph">
    <w:name w:val="Table Paragraph"/>
    <w:basedOn w:val="Normal"/>
    <w:uiPriority w:val="1"/>
    <w:qFormat/>
    <w:rsid w:val="00760239"/>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rsid w:val="004062A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0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199B"/>
  </w:style>
  <w:style w:type="character" w:customStyle="1" w:styleId="cf01">
    <w:name w:val="cf01"/>
    <w:basedOn w:val="DefaultParagraphFont"/>
    <w:rsid w:val="000432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102530640">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f227aa-5493-4bfe-a302-9771bcf92926">
      <Terms xmlns="http://schemas.microsoft.com/office/infopath/2007/PartnerControls"/>
    </lcf76f155ced4ddcb4097134ff3c332f>
    <TaxCatchAll xmlns="f90ba59e-6231-420d-b202-993c3441322c" xsi:nil="true"/>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3014252E-CDE0-4085-BEA8-6F85003E964D}"/>
</file>

<file path=customXml/itemProps3.xml><?xml version="1.0" encoding="utf-8"?>
<ds:datastoreItem xmlns:ds="http://schemas.openxmlformats.org/officeDocument/2006/customXml" ds:itemID="{5DDDD10C-3D5C-4C49-BF05-39A4259AD80F}">
  <ds:schemaRefs>
    <ds:schemaRef ds:uri="http://schemas.openxmlformats.org/officeDocument/2006/bibliography"/>
  </ds:schemaRefs>
</ds:datastoreItem>
</file>

<file path=customXml/itemProps4.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 ds:uri="http://schemas.microsoft.com/sharepoint/v3"/>
    <ds:schemaRef ds:uri="f90ba59e-6231-420d-b202-993c3441322c"/>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5</Pages>
  <Words>1117</Words>
  <Characters>6371</Characters>
  <Application>Microsoft Office Word</Application>
  <DocSecurity>0</DocSecurity>
  <Lines>53</Lines>
  <Paragraphs>14</Paragraphs>
  <ScaleCrop>false</ScaleCrop>
  <Company>Microsoft</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71</cp:revision>
  <dcterms:created xsi:type="dcterms:W3CDTF">2023-10-09T19:29:00Z</dcterms:created>
  <dcterms:modified xsi:type="dcterms:W3CDTF">2023-11-17T13:48:00Z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