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575A" w14:textId="678A4B98" w:rsidR="00A050E5" w:rsidRPr="00F71CDF" w:rsidRDefault="00EA3A9B" w:rsidP="005F7EB1">
      <w:pPr>
        <w:pStyle w:val="Title1sl"/>
        <w:pBdr>
          <w:bottom w:val="single" w:sz="12" w:space="1" w:color="auto"/>
        </w:pBdr>
        <w:spacing w:before="240" w:line="276" w:lineRule="auto"/>
        <w:rPr>
          <w:sz w:val="40"/>
          <w:szCs w:val="40"/>
        </w:rPr>
      </w:pPr>
      <w:r w:rsidRPr="00F71CDF">
        <w:rPr>
          <w:i/>
          <w:iCs/>
          <w:sz w:val="40"/>
          <w:szCs w:val="40"/>
        </w:rPr>
        <w:t>Roe v. Wade</w:t>
      </w:r>
      <w:r w:rsidR="00F71CDF">
        <w:rPr>
          <w:i/>
          <w:iCs/>
          <w:sz w:val="40"/>
          <w:szCs w:val="40"/>
        </w:rPr>
        <w:t xml:space="preserve"> </w:t>
      </w:r>
      <w:r w:rsidRPr="00F71CDF">
        <w:rPr>
          <w:i/>
          <w:iCs/>
          <w:sz w:val="40"/>
          <w:szCs w:val="40"/>
        </w:rPr>
        <w:t>/</w:t>
      </w:r>
      <w:r w:rsidR="00F71CDF">
        <w:rPr>
          <w:i/>
          <w:iCs/>
          <w:sz w:val="40"/>
          <w:szCs w:val="40"/>
        </w:rPr>
        <w:t xml:space="preserve"> </w:t>
      </w:r>
      <w:r w:rsidR="00A050E5" w:rsidRPr="00F71CDF">
        <w:rPr>
          <w:sz w:val="40"/>
          <w:szCs w:val="40"/>
        </w:rPr>
        <w:t>Precedent</w:t>
      </w:r>
      <w:r w:rsidR="006B14FD" w:rsidRPr="00F71CDF">
        <w:rPr>
          <w:sz w:val="40"/>
          <w:szCs w:val="40"/>
        </w:rPr>
        <w:t xml:space="preserve"> and </w:t>
      </w:r>
      <w:r w:rsidR="00A050E5" w:rsidRPr="00F71CDF">
        <w:rPr>
          <w:i/>
          <w:iCs/>
          <w:sz w:val="40"/>
          <w:szCs w:val="40"/>
        </w:rPr>
        <w:t>Stare Decisis</w:t>
      </w:r>
    </w:p>
    <w:p w14:paraId="70C03B75" w14:textId="736E6DFA" w:rsidR="00F90090" w:rsidRPr="00B8259A" w:rsidRDefault="00F90090" w:rsidP="005F7EB1">
      <w:pPr>
        <w:spacing w:after="0" w:line="276" w:lineRule="auto"/>
        <w:rPr>
          <w:rFonts w:ascii="Garamond" w:hAnsi="Garamond"/>
          <w:bCs/>
          <w:sz w:val="24"/>
          <w:szCs w:val="24"/>
        </w:rPr>
      </w:pPr>
      <w:r w:rsidRPr="00B8259A">
        <w:rPr>
          <w:rFonts w:ascii="Garamond" w:hAnsi="Garamond"/>
          <w:b/>
          <w:sz w:val="24"/>
          <w:szCs w:val="24"/>
        </w:rPr>
        <w:t xml:space="preserve">Instructions: </w:t>
      </w:r>
      <w:r w:rsidR="003303D2" w:rsidRPr="003303D2">
        <w:rPr>
          <w:rFonts w:ascii="Garamond" w:hAnsi="Garamond"/>
          <w:bCs/>
          <w:sz w:val="24"/>
          <w:szCs w:val="24"/>
        </w:rPr>
        <w:t>The following f</w:t>
      </w:r>
      <w:r w:rsidRPr="00B8259A">
        <w:rPr>
          <w:rFonts w:ascii="Garamond" w:hAnsi="Garamond"/>
          <w:bCs/>
          <w:sz w:val="24"/>
          <w:szCs w:val="24"/>
        </w:rPr>
        <w:t xml:space="preserve">our parts comprise this activity. </w:t>
      </w:r>
      <w:r w:rsidR="00B8259A" w:rsidRPr="00B8259A">
        <w:rPr>
          <w:rFonts w:ascii="Garamond" w:hAnsi="Garamond"/>
          <w:bCs/>
          <w:sz w:val="24"/>
          <w:szCs w:val="24"/>
        </w:rPr>
        <w:t xml:space="preserve">Complete each part, as instructed by your teacher. </w:t>
      </w:r>
      <w:r w:rsidRPr="00B8259A">
        <w:rPr>
          <w:rFonts w:ascii="Garamond" w:hAnsi="Garamond"/>
          <w:bCs/>
          <w:sz w:val="24"/>
          <w:szCs w:val="24"/>
        </w:rPr>
        <w:t xml:space="preserve"> </w:t>
      </w:r>
    </w:p>
    <w:p w14:paraId="19DB7871" w14:textId="723184CA" w:rsidR="009B43AA" w:rsidRPr="00CB26B0" w:rsidRDefault="009B43AA" w:rsidP="005F7EB1">
      <w:pPr>
        <w:pStyle w:val="ListParagraph"/>
        <w:numPr>
          <w:ilvl w:val="0"/>
          <w:numId w:val="36"/>
        </w:numPr>
        <w:spacing w:after="0" w:line="276" w:lineRule="auto"/>
        <w:contextualSpacing w:val="0"/>
        <w:rPr>
          <w:rFonts w:ascii="Garamond" w:hAnsi="Garamond"/>
          <w:bCs/>
          <w:sz w:val="24"/>
          <w:szCs w:val="24"/>
        </w:rPr>
      </w:pPr>
      <w:r w:rsidRPr="00CB26B0">
        <w:rPr>
          <w:rFonts w:ascii="Garamond" w:hAnsi="Garamond"/>
          <w:bCs/>
          <w:sz w:val="24"/>
          <w:szCs w:val="24"/>
        </w:rPr>
        <w:t>Part One: Personal Reflection and Class Discussion</w:t>
      </w:r>
    </w:p>
    <w:p w14:paraId="4D74BC20" w14:textId="77777777" w:rsidR="009B43AA" w:rsidRPr="00CB26B0" w:rsidRDefault="009B43AA" w:rsidP="005F7EB1">
      <w:pPr>
        <w:pStyle w:val="ListParagraph"/>
        <w:numPr>
          <w:ilvl w:val="0"/>
          <w:numId w:val="36"/>
        </w:numPr>
        <w:spacing w:after="0" w:line="276" w:lineRule="auto"/>
        <w:contextualSpacing w:val="0"/>
        <w:rPr>
          <w:rFonts w:ascii="Garamond" w:hAnsi="Garamond" w:cs="Sanskrit Text"/>
          <w:bCs/>
          <w:sz w:val="24"/>
          <w:szCs w:val="24"/>
        </w:rPr>
      </w:pPr>
      <w:r w:rsidRPr="00CB26B0">
        <w:rPr>
          <w:rFonts w:ascii="Garamond" w:hAnsi="Garamond" w:cs="Sanskrit Text"/>
          <w:bCs/>
          <w:sz w:val="24"/>
          <w:szCs w:val="24"/>
        </w:rPr>
        <w:t xml:space="preserve">Part Two: Background: Precedent and </w:t>
      </w:r>
      <w:r w:rsidRPr="00CB26B0">
        <w:rPr>
          <w:rFonts w:ascii="Garamond" w:hAnsi="Garamond" w:cs="Sanskrit Text"/>
          <w:bCs/>
          <w:i/>
          <w:iCs/>
          <w:sz w:val="24"/>
          <w:szCs w:val="24"/>
        </w:rPr>
        <w:t>Stare Decisis</w:t>
      </w:r>
    </w:p>
    <w:p w14:paraId="635CEA83" w14:textId="77777777" w:rsidR="009B43AA" w:rsidRPr="00B8259A" w:rsidRDefault="009B43AA" w:rsidP="005F7EB1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Fonts w:ascii="Garamond" w:hAnsi="Garamond" w:cs="Segoe UI"/>
          <w:bCs/>
        </w:rPr>
      </w:pPr>
      <w:r w:rsidRPr="00B8259A">
        <w:rPr>
          <w:rStyle w:val="normaltextrun"/>
          <w:rFonts w:ascii="Garamond" w:hAnsi="Garamond" w:cs="Segoe UI"/>
          <w:bCs/>
        </w:rPr>
        <w:t>Part Three: Overruling Precedents – Historical Examples</w:t>
      </w:r>
    </w:p>
    <w:p w14:paraId="6AA6DC5A" w14:textId="61545028" w:rsidR="009B43AA" w:rsidRPr="00B8259A" w:rsidRDefault="009B43AA" w:rsidP="005F7EB1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Fonts w:ascii="Garamond" w:hAnsi="Garamond" w:cs="Segoe UI"/>
          <w:bCs/>
        </w:rPr>
      </w:pPr>
      <w:r w:rsidRPr="00B8259A">
        <w:rPr>
          <w:rStyle w:val="normaltextrun"/>
          <w:rFonts w:ascii="Garamond" w:hAnsi="Garamond" w:cs="Segoe UI"/>
          <w:bCs/>
        </w:rPr>
        <w:t>Part Four: Criteria for Overruling Precedents</w:t>
      </w:r>
    </w:p>
    <w:p w14:paraId="320E75AE" w14:textId="78B5B36B" w:rsidR="00CB26B0" w:rsidRDefault="004856E2" w:rsidP="005F7EB1">
      <w:pPr>
        <w:spacing w:after="0"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pict w14:anchorId="6DB103A2">
          <v:rect id="_x0000_i1025" style="width:0;height:1.5pt" o:hralign="center" o:hrstd="t" o:hr="t" fillcolor="#a0a0a0" stroked="f"/>
        </w:pict>
      </w:r>
    </w:p>
    <w:p w14:paraId="749E4A87" w14:textId="657E1C3E" w:rsidR="00F90090" w:rsidRPr="003303D2" w:rsidRDefault="00F90090" w:rsidP="005F7EB1">
      <w:pPr>
        <w:spacing w:before="360" w:after="120" w:line="276" w:lineRule="auto"/>
        <w:rPr>
          <w:rFonts w:ascii="Gill Sans MT" w:hAnsi="Gill Sans MT"/>
          <w:b/>
          <w:sz w:val="28"/>
          <w:szCs w:val="28"/>
        </w:rPr>
      </w:pPr>
      <w:r w:rsidRPr="003303D2">
        <w:rPr>
          <w:rFonts w:ascii="Gill Sans MT" w:hAnsi="Gill Sans MT"/>
          <w:b/>
          <w:sz w:val="28"/>
          <w:szCs w:val="28"/>
        </w:rPr>
        <w:t>Part One: Personal Reflection and Class Discussion</w:t>
      </w:r>
    </w:p>
    <w:p w14:paraId="0C60B20A" w14:textId="47F2B798" w:rsidR="00EA3A9B" w:rsidRDefault="00095365" w:rsidP="00F6009F">
      <w:pPr>
        <w:spacing w:before="360" w:after="120" w:line="276" w:lineRule="auto"/>
        <w:rPr>
          <w:rFonts w:ascii="Garamond" w:hAnsi="Garamond"/>
          <w:bCs/>
          <w:sz w:val="24"/>
          <w:szCs w:val="24"/>
        </w:rPr>
      </w:pPr>
      <w:r w:rsidRPr="00095365">
        <w:rPr>
          <w:rFonts w:ascii="Garamond" w:hAnsi="Garamond"/>
          <w:b/>
          <w:sz w:val="24"/>
          <w:szCs w:val="24"/>
        </w:rPr>
        <w:t>Personal Reflection: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F00A2F" w:rsidRPr="00F00A2F">
        <w:rPr>
          <w:rFonts w:ascii="Garamond" w:hAnsi="Garamond"/>
          <w:bCs/>
          <w:sz w:val="24"/>
          <w:szCs w:val="24"/>
        </w:rPr>
        <w:t xml:space="preserve">Reflect on these questions alone or discuss them with a partner.  </w:t>
      </w:r>
    </w:p>
    <w:p w14:paraId="528081C8" w14:textId="16A7F510" w:rsidR="006275F8" w:rsidRPr="00A55E68" w:rsidRDefault="00F00A2F" w:rsidP="00F6009F">
      <w:pPr>
        <w:pStyle w:val="ListParagraph"/>
        <w:numPr>
          <w:ilvl w:val="0"/>
          <w:numId w:val="33"/>
        </w:numPr>
        <w:spacing w:after="480" w:line="276" w:lineRule="auto"/>
        <w:ind w:left="360"/>
        <w:contextualSpacing w:val="0"/>
        <w:rPr>
          <w:rFonts w:ascii="Garamond" w:hAnsi="Garamond"/>
          <w:bCs/>
          <w:sz w:val="24"/>
          <w:szCs w:val="24"/>
        </w:rPr>
      </w:pPr>
      <w:r w:rsidRPr="00A55E68">
        <w:rPr>
          <w:rFonts w:ascii="Garamond" w:hAnsi="Garamond"/>
          <w:bCs/>
          <w:sz w:val="24"/>
          <w:szCs w:val="24"/>
        </w:rPr>
        <w:t>Think of a time when a parent</w:t>
      </w:r>
      <w:r w:rsidR="009A1DEE" w:rsidRPr="00A55E68">
        <w:rPr>
          <w:rFonts w:ascii="Garamond" w:hAnsi="Garamond"/>
          <w:bCs/>
          <w:sz w:val="24"/>
          <w:szCs w:val="24"/>
        </w:rPr>
        <w:t xml:space="preserve">, </w:t>
      </w:r>
      <w:r w:rsidRPr="00A55E68">
        <w:rPr>
          <w:rFonts w:ascii="Garamond" w:hAnsi="Garamond"/>
          <w:bCs/>
          <w:sz w:val="24"/>
          <w:szCs w:val="24"/>
        </w:rPr>
        <w:t>guardian</w:t>
      </w:r>
      <w:r w:rsidR="009A1DEE" w:rsidRPr="00A55E68">
        <w:rPr>
          <w:rFonts w:ascii="Garamond" w:hAnsi="Garamond"/>
          <w:bCs/>
          <w:sz w:val="24"/>
          <w:szCs w:val="24"/>
        </w:rPr>
        <w:t>,</w:t>
      </w:r>
      <w:r w:rsidRPr="00A55E68">
        <w:rPr>
          <w:rFonts w:ascii="Garamond" w:hAnsi="Garamond"/>
          <w:bCs/>
          <w:sz w:val="24"/>
          <w:szCs w:val="24"/>
        </w:rPr>
        <w:t xml:space="preserve"> or teacher </w:t>
      </w:r>
      <w:r w:rsidR="00754AFC" w:rsidRPr="00A55E68">
        <w:rPr>
          <w:rFonts w:ascii="Garamond" w:hAnsi="Garamond"/>
          <w:bCs/>
          <w:sz w:val="24"/>
          <w:szCs w:val="24"/>
        </w:rPr>
        <w:t>decided</w:t>
      </w:r>
      <w:r w:rsidRPr="00A55E68">
        <w:rPr>
          <w:rFonts w:ascii="Garamond" w:hAnsi="Garamond"/>
          <w:bCs/>
          <w:sz w:val="24"/>
          <w:szCs w:val="24"/>
        </w:rPr>
        <w:t xml:space="preserve"> something based on a </w:t>
      </w:r>
      <w:r w:rsidR="00686D60" w:rsidRPr="00A55E68">
        <w:rPr>
          <w:rFonts w:ascii="Garamond" w:hAnsi="Garamond"/>
          <w:bCs/>
          <w:sz w:val="24"/>
          <w:szCs w:val="24"/>
        </w:rPr>
        <w:t xml:space="preserve">decision </w:t>
      </w:r>
      <w:r w:rsidR="00CE2C38" w:rsidRPr="00A55E68">
        <w:rPr>
          <w:rFonts w:ascii="Garamond" w:hAnsi="Garamond"/>
          <w:bCs/>
          <w:sz w:val="24"/>
          <w:szCs w:val="24"/>
        </w:rPr>
        <w:t xml:space="preserve">made </w:t>
      </w:r>
      <w:r w:rsidR="00686D60" w:rsidRPr="00A55E68">
        <w:rPr>
          <w:rFonts w:ascii="Garamond" w:hAnsi="Garamond"/>
          <w:bCs/>
          <w:sz w:val="24"/>
          <w:szCs w:val="24"/>
        </w:rPr>
        <w:t xml:space="preserve">in a </w:t>
      </w:r>
      <w:r w:rsidRPr="00A55E68">
        <w:rPr>
          <w:rFonts w:ascii="Garamond" w:hAnsi="Garamond"/>
          <w:bCs/>
          <w:sz w:val="24"/>
          <w:szCs w:val="24"/>
        </w:rPr>
        <w:t xml:space="preserve">similar situation in the past. </w:t>
      </w:r>
      <w:r w:rsidR="00CE2C38" w:rsidRPr="00A55E68">
        <w:rPr>
          <w:rFonts w:ascii="Garamond" w:hAnsi="Garamond"/>
          <w:bCs/>
          <w:sz w:val="24"/>
          <w:szCs w:val="24"/>
        </w:rPr>
        <w:t xml:space="preserve">Do you think that </w:t>
      </w:r>
      <w:r w:rsidRPr="00A55E68">
        <w:rPr>
          <w:rFonts w:ascii="Garamond" w:hAnsi="Garamond"/>
          <w:bCs/>
          <w:sz w:val="24"/>
          <w:szCs w:val="24"/>
        </w:rPr>
        <w:t>decision was fair</w:t>
      </w:r>
      <w:r w:rsidR="00CE2C38" w:rsidRPr="00A55E68">
        <w:rPr>
          <w:rFonts w:ascii="Garamond" w:hAnsi="Garamond"/>
          <w:bCs/>
          <w:sz w:val="24"/>
          <w:szCs w:val="24"/>
        </w:rPr>
        <w:t>?</w:t>
      </w:r>
      <w:r w:rsidRPr="00A55E68">
        <w:rPr>
          <w:rFonts w:ascii="Garamond" w:hAnsi="Garamond"/>
          <w:bCs/>
          <w:sz w:val="24"/>
          <w:szCs w:val="24"/>
        </w:rPr>
        <w:t xml:space="preserve"> Why or why not? </w:t>
      </w:r>
    </w:p>
    <w:p w14:paraId="5CB8D619" w14:textId="45014F6A" w:rsidR="006275F8" w:rsidRDefault="00F00A2F" w:rsidP="00F6009F">
      <w:pPr>
        <w:pStyle w:val="ListParagraph"/>
        <w:numPr>
          <w:ilvl w:val="0"/>
          <w:numId w:val="33"/>
        </w:numPr>
        <w:spacing w:after="480" w:line="276" w:lineRule="auto"/>
        <w:ind w:left="360"/>
        <w:contextualSpacing w:val="0"/>
        <w:rPr>
          <w:rFonts w:ascii="Garamond" w:hAnsi="Garamond"/>
          <w:bCs/>
          <w:sz w:val="24"/>
          <w:szCs w:val="24"/>
        </w:rPr>
      </w:pPr>
      <w:r w:rsidRPr="006275F8">
        <w:rPr>
          <w:rFonts w:ascii="Garamond" w:hAnsi="Garamond"/>
          <w:bCs/>
          <w:sz w:val="24"/>
          <w:szCs w:val="24"/>
        </w:rPr>
        <w:t xml:space="preserve">Think about a time when </w:t>
      </w:r>
      <w:r w:rsidR="00CE2C38">
        <w:rPr>
          <w:rFonts w:ascii="Garamond" w:hAnsi="Garamond"/>
          <w:bCs/>
          <w:sz w:val="24"/>
          <w:szCs w:val="24"/>
        </w:rPr>
        <w:t>a</w:t>
      </w:r>
      <w:r w:rsidR="00CE2C38" w:rsidRPr="006275F8">
        <w:rPr>
          <w:rFonts w:ascii="Garamond" w:hAnsi="Garamond"/>
          <w:bCs/>
          <w:sz w:val="24"/>
          <w:szCs w:val="24"/>
        </w:rPr>
        <w:t xml:space="preserve"> </w:t>
      </w:r>
      <w:r w:rsidRPr="006275F8">
        <w:rPr>
          <w:rFonts w:ascii="Garamond" w:hAnsi="Garamond"/>
          <w:bCs/>
          <w:sz w:val="24"/>
          <w:szCs w:val="24"/>
        </w:rPr>
        <w:t>parent</w:t>
      </w:r>
      <w:r w:rsidR="00CE2C38">
        <w:rPr>
          <w:rFonts w:ascii="Garamond" w:hAnsi="Garamond"/>
          <w:bCs/>
          <w:sz w:val="24"/>
          <w:szCs w:val="24"/>
        </w:rPr>
        <w:t xml:space="preserve">, </w:t>
      </w:r>
      <w:r w:rsidRPr="006275F8">
        <w:rPr>
          <w:rFonts w:ascii="Garamond" w:hAnsi="Garamond"/>
          <w:bCs/>
          <w:sz w:val="24"/>
          <w:szCs w:val="24"/>
        </w:rPr>
        <w:t>guardian</w:t>
      </w:r>
      <w:r w:rsidR="00CE2C38">
        <w:rPr>
          <w:rFonts w:ascii="Garamond" w:hAnsi="Garamond"/>
          <w:bCs/>
          <w:sz w:val="24"/>
          <w:szCs w:val="24"/>
        </w:rPr>
        <w:t>,</w:t>
      </w:r>
      <w:r w:rsidRPr="006275F8">
        <w:rPr>
          <w:rFonts w:ascii="Garamond" w:hAnsi="Garamond"/>
          <w:bCs/>
          <w:sz w:val="24"/>
          <w:szCs w:val="24"/>
        </w:rPr>
        <w:t xml:space="preserve"> or teacher seemed to ignore their own previous decision. Did that seem fair? Why or why not? </w:t>
      </w:r>
    </w:p>
    <w:p w14:paraId="0CBC1BE1" w14:textId="510E4102" w:rsidR="00EA3A9B" w:rsidRPr="006275F8" w:rsidRDefault="00D41BCF" w:rsidP="00F6009F">
      <w:pPr>
        <w:pStyle w:val="ListParagraph"/>
        <w:numPr>
          <w:ilvl w:val="0"/>
          <w:numId w:val="33"/>
        </w:numPr>
        <w:spacing w:after="480" w:line="276" w:lineRule="auto"/>
        <w:ind w:left="360"/>
        <w:contextualSpacing w:val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</w:t>
      </w:r>
      <w:r w:rsidR="00F00A2F" w:rsidRPr="006275F8">
        <w:rPr>
          <w:rFonts w:ascii="Garamond" w:hAnsi="Garamond"/>
          <w:bCs/>
          <w:sz w:val="24"/>
          <w:szCs w:val="24"/>
        </w:rPr>
        <w:t xml:space="preserve">hink of a time when you </w:t>
      </w:r>
      <w:r w:rsidR="00AC45F8" w:rsidRPr="006275F8">
        <w:rPr>
          <w:rFonts w:ascii="Garamond" w:hAnsi="Garamond"/>
          <w:bCs/>
          <w:sz w:val="24"/>
          <w:szCs w:val="24"/>
        </w:rPr>
        <w:t>believed</w:t>
      </w:r>
      <w:r w:rsidR="00F00A2F" w:rsidRPr="006275F8">
        <w:rPr>
          <w:rFonts w:ascii="Garamond" w:hAnsi="Garamond"/>
          <w:bCs/>
          <w:sz w:val="24"/>
          <w:szCs w:val="24"/>
        </w:rPr>
        <w:t xml:space="preserve"> your parent</w:t>
      </w:r>
      <w:r>
        <w:rPr>
          <w:rFonts w:ascii="Garamond" w:hAnsi="Garamond"/>
          <w:bCs/>
          <w:sz w:val="24"/>
          <w:szCs w:val="24"/>
        </w:rPr>
        <w:t xml:space="preserve">, </w:t>
      </w:r>
      <w:r w:rsidR="00F00A2F" w:rsidRPr="006275F8">
        <w:rPr>
          <w:rFonts w:ascii="Garamond" w:hAnsi="Garamond"/>
          <w:bCs/>
          <w:sz w:val="24"/>
          <w:szCs w:val="24"/>
        </w:rPr>
        <w:t>guardian</w:t>
      </w:r>
      <w:r>
        <w:rPr>
          <w:rFonts w:ascii="Garamond" w:hAnsi="Garamond"/>
          <w:bCs/>
          <w:sz w:val="24"/>
          <w:szCs w:val="24"/>
        </w:rPr>
        <w:t>,</w:t>
      </w:r>
      <w:r w:rsidR="00F00A2F" w:rsidRPr="006275F8">
        <w:rPr>
          <w:rFonts w:ascii="Garamond" w:hAnsi="Garamond"/>
          <w:bCs/>
          <w:sz w:val="24"/>
          <w:szCs w:val="24"/>
        </w:rPr>
        <w:t xml:space="preserve"> or teacher should not have applied </w:t>
      </w:r>
      <w:r w:rsidR="00686D60">
        <w:rPr>
          <w:rFonts w:ascii="Garamond" w:hAnsi="Garamond"/>
          <w:bCs/>
          <w:sz w:val="24"/>
          <w:szCs w:val="24"/>
        </w:rPr>
        <w:t xml:space="preserve">a </w:t>
      </w:r>
      <w:r w:rsidR="004D2B77" w:rsidRPr="006275F8">
        <w:rPr>
          <w:rFonts w:ascii="Garamond" w:hAnsi="Garamond"/>
          <w:bCs/>
          <w:sz w:val="24"/>
          <w:szCs w:val="24"/>
        </w:rPr>
        <w:t>past</w:t>
      </w:r>
      <w:r w:rsidR="00F00A2F" w:rsidRPr="006275F8">
        <w:rPr>
          <w:rFonts w:ascii="Garamond" w:hAnsi="Garamond"/>
          <w:bCs/>
          <w:sz w:val="24"/>
          <w:szCs w:val="24"/>
        </w:rPr>
        <w:t xml:space="preserve"> </w:t>
      </w:r>
      <w:r w:rsidR="00686D60">
        <w:rPr>
          <w:rFonts w:ascii="Garamond" w:hAnsi="Garamond"/>
          <w:bCs/>
          <w:sz w:val="24"/>
          <w:szCs w:val="24"/>
        </w:rPr>
        <w:t xml:space="preserve">decision </w:t>
      </w:r>
      <w:r w:rsidR="00F00A2F" w:rsidRPr="006275F8">
        <w:rPr>
          <w:rFonts w:ascii="Garamond" w:hAnsi="Garamond"/>
          <w:bCs/>
          <w:sz w:val="24"/>
          <w:szCs w:val="24"/>
        </w:rPr>
        <w:t xml:space="preserve">to a new </w:t>
      </w:r>
      <w:r w:rsidR="00686D60">
        <w:rPr>
          <w:rFonts w:ascii="Garamond" w:hAnsi="Garamond"/>
          <w:bCs/>
          <w:sz w:val="24"/>
          <w:szCs w:val="24"/>
        </w:rPr>
        <w:t xml:space="preserve">but similar </w:t>
      </w:r>
      <w:r w:rsidR="00F00A2F" w:rsidRPr="006275F8">
        <w:rPr>
          <w:rFonts w:ascii="Garamond" w:hAnsi="Garamond"/>
          <w:bCs/>
          <w:sz w:val="24"/>
          <w:szCs w:val="24"/>
        </w:rPr>
        <w:t xml:space="preserve">situation. Why should they have made a different decision in this instance? </w:t>
      </w:r>
    </w:p>
    <w:p w14:paraId="3EFAE4BE" w14:textId="2AE0D2C7" w:rsidR="00090E13" w:rsidRDefault="00095365" w:rsidP="00F6009F">
      <w:pPr>
        <w:spacing w:before="360" w:after="120" w:line="276" w:lineRule="auto"/>
        <w:rPr>
          <w:rFonts w:ascii="Garamond" w:hAnsi="Garamond"/>
          <w:bCs/>
          <w:sz w:val="24"/>
          <w:szCs w:val="24"/>
        </w:rPr>
      </w:pPr>
      <w:r w:rsidRPr="00095365">
        <w:rPr>
          <w:rFonts w:ascii="Garamond" w:hAnsi="Garamond"/>
          <w:b/>
          <w:sz w:val="24"/>
          <w:szCs w:val="24"/>
        </w:rPr>
        <w:t xml:space="preserve">Class </w:t>
      </w:r>
      <w:r w:rsidR="00D41BCF">
        <w:rPr>
          <w:rFonts w:ascii="Garamond" w:hAnsi="Garamond"/>
          <w:b/>
          <w:sz w:val="24"/>
          <w:szCs w:val="24"/>
        </w:rPr>
        <w:t>D</w:t>
      </w:r>
      <w:r w:rsidR="00D41BCF" w:rsidRPr="00095365">
        <w:rPr>
          <w:rFonts w:ascii="Garamond" w:hAnsi="Garamond"/>
          <w:b/>
          <w:sz w:val="24"/>
          <w:szCs w:val="24"/>
        </w:rPr>
        <w:t>iscussion</w:t>
      </w:r>
      <w:r w:rsidRPr="00095365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225BF3" w:rsidRPr="00225BF3">
        <w:rPr>
          <w:rFonts w:ascii="Garamond" w:hAnsi="Garamond"/>
          <w:bCs/>
          <w:sz w:val="24"/>
          <w:szCs w:val="24"/>
        </w:rPr>
        <w:t xml:space="preserve">Answer these questions with other students in your class: </w:t>
      </w:r>
    </w:p>
    <w:p w14:paraId="6BF4EDF4" w14:textId="2E599743" w:rsidR="00090E13" w:rsidRPr="00090E13" w:rsidRDefault="00225BF3" w:rsidP="00F6009F">
      <w:pPr>
        <w:pStyle w:val="ListParagraph"/>
        <w:numPr>
          <w:ilvl w:val="0"/>
          <w:numId w:val="33"/>
        </w:numPr>
        <w:spacing w:after="480" w:line="276" w:lineRule="auto"/>
        <w:ind w:left="360"/>
        <w:contextualSpacing w:val="0"/>
        <w:rPr>
          <w:rFonts w:ascii="Garamond" w:hAnsi="Garamond"/>
          <w:bCs/>
          <w:sz w:val="24"/>
          <w:szCs w:val="24"/>
        </w:rPr>
      </w:pPr>
      <w:r w:rsidRPr="00090E13">
        <w:rPr>
          <w:rFonts w:ascii="Garamond" w:hAnsi="Garamond"/>
          <w:bCs/>
          <w:sz w:val="24"/>
          <w:szCs w:val="24"/>
        </w:rPr>
        <w:t xml:space="preserve">What are the benefits and risks of applying the same rules every time a similar situation comes up? </w:t>
      </w:r>
    </w:p>
    <w:p w14:paraId="62E3E479" w14:textId="181154F5" w:rsidR="00225BF3" w:rsidRPr="00090E13" w:rsidRDefault="00225BF3" w:rsidP="00F6009F">
      <w:pPr>
        <w:pStyle w:val="ListParagraph"/>
        <w:numPr>
          <w:ilvl w:val="0"/>
          <w:numId w:val="33"/>
        </w:numPr>
        <w:spacing w:after="480" w:line="276" w:lineRule="auto"/>
        <w:ind w:left="360"/>
        <w:contextualSpacing w:val="0"/>
        <w:rPr>
          <w:rFonts w:ascii="Garamond" w:hAnsi="Garamond"/>
          <w:bCs/>
          <w:sz w:val="24"/>
          <w:szCs w:val="24"/>
        </w:rPr>
      </w:pPr>
      <w:r w:rsidRPr="00090E13">
        <w:rPr>
          <w:rFonts w:ascii="Garamond" w:hAnsi="Garamond"/>
          <w:bCs/>
          <w:sz w:val="24"/>
          <w:szCs w:val="24"/>
        </w:rPr>
        <w:t>What are the benefits and risks of changing the rules for new situations?</w:t>
      </w:r>
    </w:p>
    <w:p w14:paraId="2C4186CD" w14:textId="77777777" w:rsidR="003303D2" w:rsidRDefault="003303D2" w:rsidP="005F7EB1">
      <w:pPr>
        <w:spacing w:line="276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5771F3D3" w14:textId="1299AAFE" w:rsidR="00026C96" w:rsidRPr="003303D2" w:rsidRDefault="00026C96" w:rsidP="005F7EB1">
      <w:pPr>
        <w:spacing w:before="360" w:after="120" w:line="276" w:lineRule="auto"/>
        <w:rPr>
          <w:rFonts w:ascii="Gill Sans MT" w:hAnsi="Gill Sans MT"/>
          <w:b/>
          <w:sz w:val="28"/>
          <w:szCs w:val="28"/>
        </w:rPr>
      </w:pPr>
      <w:r w:rsidRPr="003303D2">
        <w:rPr>
          <w:rFonts w:ascii="Gill Sans MT" w:hAnsi="Gill Sans MT"/>
          <w:b/>
          <w:sz w:val="28"/>
          <w:szCs w:val="28"/>
        </w:rPr>
        <w:lastRenderedPageBreak/>
        <w:t>Part T</w:t>
      </w:r>
      <w:r w:rsidR="00095365" w:rsidRPr="003303D2">
        <w:rPr>
          <w:rFonts w:ascii="Gill Sans MT" w:hAnsi="Gill Sans MT"/>
          <w:b/>
          <w:sz w:val="28"/>
          <w:szCs w:val="28"/>
        </w:rPr>
        <w:t>wo</w:t>
      </w:r>
      <w:r w:rsidRPr="003303D2">
        <w:rPr>
          <w:rFonts w:ascii="Gill Sans MT" w:hAnsi="Gill Sans MT"/>
          <w:b/>
          <w:sz w:val="28"/>
          <w:szCs w:val="28"/>
        </w:rPr>
        <w:t xml:space="preserve">: </w:t>
      </w:r>
      <w:r w:rsidR="00BE2550" w:rsidRPr="003303D2">
        <w:rPr>
          <w:rFonts w:ascii="Gill Sans MT" w:hAnsi="Gill Sans MT"/>
          <w:b/>
          <w:sz w:val="28"/>
          <w:szCs w:val="28"/>
        </w:rPr>
        <w:t xml:space="preserve">Background: </w:t>
      </w:r>
      <w:r w:rsidRPr="003303D2">
        <w:rPr>
          <w:rFonts w:ascii="Gill Sans MT" w:hAnsi="Gill Sans MT"/>
          <w:b/>
          <w:sz w:val="28"/>
          <w:szCs w:val="28"/>
        </w:rPr>
        <w:t xml:space="preserve">Precedent </w:t>
      </w:r>
      <w:r w:rsidR="00C63741" w:rsidRPr="003303D2">
        <w:rPr>
          <w:rFonts w:ascii="Gill Sans MT" w:hAnsi="Gill Sans MT"/>
          <w:b/>
          <w:sz w:val="28"/>
          <w:szCs w:val="28"/>
        </w:rPr>
        <w:t>and Stare Decisis</w:t>
      </w:r>
    </w:p>
    <w:p w14:paraId="4AF8E341" w14:textId="643282FF" w:rsidR="00C63741" w:rsidRDefault="0089111D" w:rsidP="007700D5">
      <w:pPr>
        <w:spacing w:after="120" w:line="276" w:lineRule="auto"/>
        <w:rPr>
          <w:rFonts w:ascii="Garamond" w:hAnsi="Garamond"/>
          <w:bCs/>
          <w:sz w:val="24"/>
          <w:szCs w:val="24"/>
        </w:rPr>
      </w:pPr>
      <w:r w:rsidRPr="00544166">
        <w:rPr>
          <w:rFonts w:ascii="Garamond" w:hAnsi="Garamond"/>
          <w:bCs/>
          <w:sz w:val="24"/>
          <w:szCs w:val="24"/>
        </w:rPr>
        <w:t xml:space="preserve">When the Supreme Court decides a case, it clarifies the law </w:t>
      </w:r>
      <w:r w:rsidR="00686D60">
        <w:rPr>
          <w:rFonts w:ascii="Garamond" w:hAnsi="Garamond"/>
          <w:bCs/>
          <w:sz w:val="24"/>
          <w:szCs w:val="24"/>
        </w:rPr>
        <w:t xml:space="preserve">for that case </w:t>
      </w:r>
      <w:r w:rsidRPr="00544166">
        <w:rPr>
          <w:rFonts w:ascii="Garamond" w:hAnsi="Garamond"/>
          <w:bCs/>
          <w:sz w:val="24"/>
          <w:szCs w:val="24"/>
        </w:rPr>
        <w:t xml:space="preserve">and serves as guidance for how </w:t>
      </w:r>
      <w:r w:rsidR="00686D60">
        <w:rPr>
          <w:rFonts w:ascii="Garamond" w:hAnsi="Garamond"/>
          <w:bCs/>
          <w:sz w:val="24"/>
          <w:szCs w:val="24"/>
        </w:rPr>
        <w:t xml:space="preserve">similar </w:t>
      </w:r>
      <w:r w:rsidRPr="00544166">
        <w:rPr>
          <w:rFonts w:ascii="Garamond" w:hAnsi="Garamond"/>
          <w:bCs/>
          <w:sz w:val="24"/>
          <w:szCs w:val="24"/>
        </w:rPr>
        <w:t>cases should be decided</w:t>
      </w:r>
      <w:r w:rsidR="00686D60">
        <w:rPr>
          <w:rFonts w:ascii="Garamond" w:hAnsi="Garamond"/>
          <w:bCs/>
          <w:sz w:val="24"/>
          <w:szCs w:val="24"/>
        </w:rPr>
        <w:t xml:space="preserve"> in the future</w:t>
      </w:r>
      <w:r w:rsidRPr="00544166">
        <w:rPr>
          <w:rFonts w:ascii="Garamond" w:hAnsi="Garamond"/>
          <w:bCs/>
          <w:sz w:val="24"/>
          <w:szCs w:val="24"/>
        </w:rPr>
        <w:t xml:space="preserve">. Before the Supreme Court makes a decision, it </w:t>
      </w:r>
      <w:r w:rsidR="00686D60">
        <w:rPr>
          <w:rFonts w:ascii="Garamond" w:hAnsi="Garamond"/>
          <w:bCs/>
          <w:sz w:val="24"/>
          <w:szCs w:val="24"/>
        </w:rPr>
        <w:t xml:space="preserve">considers </w:t>
      </w:r>
      <w:r w:rsidRPr="00BE2550">
        <w:rPr>
          <w:rFonts w:ascii="Garamond" w:hAnsi="Garamond"/>
          <w:b/>
          <w:sz w:val="24"/>
          <w:szCs w:val="24"/>
        </w:rPr>
        <w:t>precedents</w:t>
      </w:r>
      <w:r w:rsidRPr="00544166">
        <w:rPr>
          <w:rFonts w:ascii="Garamond" w:hAnsi="Garamond"/>
          <w:bCs/>
          <w:sz w:val="24"/>
          <w:szCs w:val="24"/>
        </w:rPr>
        <w:t xml:space="preserve">—past Supreme Court decisions about </w:t>
      </w:r>
      <w:r w:rsidR="00686D60">
        <w:rPr>
          <w:rFonts w:ascii="Garamond" w:hAnsi="Garamond"/>
          <w:bCs/>
          <w:sz w:val="24"/>
          <w:szCs w:val="24"/>
        </w:rPr>
        <w:t xml:space="preserve">a very similar case </w:t>
      </w:r>
      <w:r w:rsidRPr="00544166">
        <w:rPr>
          <w:rFonts w:ascii="Garamond" w:hAnsi="Garamond"/>
          <w:bCs/>
          <w:sz w:val="24"/>
          <w:szCs w:val="24"/>
        </w:rPr>
        <w:t>—to help make the decision.</w:t>
      </w:r>
    </w:p>
    <w:p w14:paraId="6B6F5BE9" w14:textId="209BDD0B" w:rsidR="007C7074" w:rsidRDefault="00AC286E" w:rsidP="007700D5">
      <w:pPr>
        <w:spacing w:after="120"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When a lower court considers a case similar to one the </w:t>
      </w:r>
      <w:r w:rsidR="00980828">
        <w:rPr>
          <w:rFonts w:ascii="Garamond" w:hAnsi="Garamond"/>
          <w:bCs/>
          <w:sz w:val="24"/>
          <w:szCs w:val="24"/>
        </w:rPr>
        <w:t xml:space="preserve">U.S. </w:t>
      </w:r>
      <w:r>
        <w:rPr>
          <w:rFonts w:ascii="Garamond" w:hAnsi="Garamond"/>
          <w:bCs/>
          <w:sz w:val="24"/>
          <w:szCs w:val="24"/>
        </w:rPr>
        <w:t xml:space="preserve">Supreme Court has </w:t>
      </w:r>
      <w:r w:rsidR="007E6717">
        <w:rPr>
          <w:rFonts w:ascii="Garamond" w:hAnsi="Garamond"/>
          <w:bCs/>
          <w:sz w:val="24"/>
          <w:szCs w:val="24"/>
        </w:rPr>
        <w:t>decided, a</w:t>
      </w:r>
      <w:r w:rsidR="0089111D" w:rsidRPr="00544166">
        <w:rPr>
          <w:rFonts w:ascii="Garamond" w:hAnsi="Garamond"/>
          <w:bCs/>
          <w:sz w:val="24"/>
          <w:szCs w:val="24"/>
        </w:rPr>
        <w:t xml:space="preserve"> principle called </w:t>
      </w:r>
      <w:r w:rsidR="0089111D" w:rsidRPr="005F7EB1">
        <w:rPr>
          <w:rFonts w:ascii="Adobe Garamond Pro Bold" w:hAnsi="Adobe Garamond Pro Bold"/>
          <w:b/>
          <w:i/>
          <w:iCs/>
          <w:sz w:val="24"/>
          <w:szCs w:val="24"/>
        </w:rPr>
        <w:t>stare decisis</w:t>
      </w:r>
      <w:r w:rsidR="0089111D" w:rsidRPr="00C20FF2">
        <w:rPr>
          <w:rFonts w:ascii="Garamond" w:hAnsi="Garamond"/>
          <w:b/>
          <w:sz w:val="24"/>
          <w:szCs w:val="24"/>
        </w:rPr>
        <w:t xml:space="preserve"> </w:t>
      </w:r>
      <w:r w:rsidR="0089111D" w:rsidRPr="00544166">
        <w:rPr>
          <w:rFonts w:ascii="Garamond" w:hAnsi="Garamond"/>
          <w:bCs/>
          <w:sz w:val="24"/>
          <w:szCs w:val="24"/>
        </w:rPr>
        <w:t xml:space="preserve">(literally “let the decision stand”) </w:t>
      </w:r>
      <w:r w:rsidR="0089111D" w:rsidRPr="007E6717">
        <w:rPr>
          <w:rFonts w:ascii="Garamond" w:hAnsi="Garamond"/>
          <w:bCs/>
          <w:sz w:val="24"/>
          <w:szCs w:val="24"/>
        </w:rPr>
        <w:t>requires</w:t>
      </w:r>
      <w:r w:rsidR="0089111D" w:rsidRPr="00544166">
        <w:rPr>
          <w:rFonts w:ascii="Garamond" w:hAnsi="Garamond"/>
          <w:bCs/>
          <w:sz w:val="24"/>
          <w:szCs w:val="24"/>
        </w:rPr>
        <w:t xml:space="preserve"> that the precedent be followed. </w:t>
      </w:r>
      <w:r w:rsidR="007C7074" w:rsidRPr="0019602A">
        <w:rPr>
          <w:rFonts w:ascii="Garamond" w:hAnsi="Garamond"/>
          <w:bCs/>
          <w:sz w:val="24"/>
          <w:szCs w:val="24"/>
        </w:rPr>
        <w:t xml:space="preserve">Lower courts </w:t>
      </w:r>
      <w:r w:rsidR="007C7074" w:rsidRPr="0019602A">
        <w:rPr>
          <w:rFonts w:ascii="Garamond" w:hAnsi="Garamond"/>
          <w:bCs/>
          <w:i/>
          <w:iCs/>
          <w:sz w:val="24"/>
          <w:szCs w:val="24"/>
        </w:rPr>
        <w:t>must</w:t>
      </w:r>
      <w:r w:rsidR="007C7074" w:rsidRPr="0019602A">
        <w:rPr>
          <w:rFonts w:ascii="Garamond" w:hAnsi="Garamond"/>
          <w:bCs/>
          <w:sz w:val="24"/>
          <w:szCs w:val="24"/>
        </w:rPr>
        <w:t xml:space="preserve"> follow </w:t>
      </w:r>
      <w:r w:rsidR="00CB78C5">
        <w:rPr>
          <w:rFonts w:ascii="Garamond" w:hAnsi="Garamond"/>
          <w:bCs/>
          <w:sz w:val="24"/>
          <w:szCs w:val="24"/>
        </w:rPr>
        <w:t xml:space="preserve">U.S. </w:t>
      </w:r>
      <w:r w:rsidR="007C7074" w:rsidRPr="0019602A">
        <w:rPr>
          <w:rFonts w:ascii="Garamond" w:hAnsi="Garamond"/>
          <w:bCs/>
          <w:sz w:val="24"/>
          <w:szCs w:val="24"/>
        </w:rPr>
        <w:t xml:space="preserve">Supreme Court precedent </w:t>
      </w:r>
      <w:r w:rsidR="007C7074">
        <w:rPr>
          <w:rFonts w:ascii="Garamond" w:hAnsi="Garamond"/>
          <w:bCs/>
          <w:sz w:val="24"/>
          <w:szCs w:val="24"/>
        </w:rPr>
        <w:t xml:space="preserve">(sometimes called </w:t>
      </w:r>
      <w:r w:rsidR="007C7074" w:rsidRPr="00EE427E">
        <w:rPr>
          <w:rFonts w:ascii="Garamond" w:hAnsi="Garamond"/>
          <w:bCs/>
          <w:sz w:val="24"/>
          <w:szCs w:val="24"/>
          <w:u w:val="single"/>
        </w:rPr>
        <w:t>vertical</w:t>
      </w:r>
      <w:r w:rsidR="007C7074" w:rsidRPr="0019602A">
        <w:rPr>
          <w:rFonts w:ascii="Garamond" w:hAnsi="Garamond"/>
          <w:bCs/>
          <w:sz w:val="24"/>
          <w:szCs w:val="24"/>
        </w:rPr>
        <w:t xml:space="preserve"> </w:t>
      </w:r>
      <w:r w:rsidR="007C7074" w:rsidRPr="0019602A">
        <w:rPr>
          <w:rFonts w:ascii="Garamond" w:hAnsi="Garamond"/>
          <w:bCs/>
          <w:i/>
          <w:iCs/>
          <w:sz w:val="24"/>
          <w:szCs w:val="24"/>
        </w:rPr>
        <w:t>stare decisis)</w:t>
      </w:r>
      <w:r w:rsidR="002D625D">
        <w:rPr>
          <w:rFonts w:ascii="Garamond" w:hAnsi="Garamond"/>
          <w:bCs/>
          <w:sz w:val="24"/>
          <w:szCs w:val="24"/>
        </w:rPr>
        <w:t>. In this case, we say the earlier case is a “binding precedent</w:t>
      </w:r>
      <w:r w:rsidR="00707035">
        <w:rPr>
          <w:rFonts w:ascii="Garamond" w:hAnsi="Garamond"/>
          <w:bCs/>
          <w:sz w:val="24"/>
          <w:szCs w:val="24"/>
        </w:rPr>
        <w:t xml:space="preserve">.” </w:t>
      </w:r>
    </w:p>
    <w:p w14:paraId="3CB836D7" w14:textId="27C5BF16" w:rsidR="00F041C0" w:rsidRDefault="00F23E0A" w:rsidP="007700D5">
      <w:pPr>
        <w:spacing w:after="120"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 the Supreme Court,</w:t>
      </w:r>
      <w:r w:rsidR="006C7460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i</w:t>
      </w:r>
      <w:r w:rsidR="00707035" w:rsidRPr="00544166">
        <w:rPr>
          <w:rFonts w:ascii="Garamond" w:hAnsi="Garamond"/>
          <w:bCs/>
          <w:sz w:val="24"/>
          <w:szCs w:val="24"/>
        </w:rPr>
        <w:t xml:space="preserve">f the case being decided is legally identical to a past decision, then the Supreme Court </w:t>
      </w:r>
      <w:r w:rsidR="00707035">
        <w:rPr>
          <w:rFonts w:ascii="Garamond" w:hAnsi="Garamond"/>
          <w:bCs/>
          <w:sz w:val="24"/>
          <w:szCs w:val="24"/>
        </w:rPr>
        <w:t xml:space="preserve">should </w:t>
      </w:r>
      <w:r w:rsidR="00707035" w:rsidRPr="00544166">
        <w:rPr>
          <w:rFonts w:ascii="Garamond" w:hAnsi="Garamond"/>
          <w:bCs/>
          <w:sz w:val="24"/>
          <w:szCs w:val="24"/>
        </w:rPr>
        <w:t>decide the matter the same way</w:t>
      </w:r>
      <w:r w:rsidR="005F3EEB">
        <w:rPr>
          <w:rFonts w:ascii="Garamond" w:hAnsi="Garamond"/>
          <w:bCs/>
          <w:sz w:val="24"/>
          <w:szCs w:val="24"/>
        </w:rPr>
        <w:t xml:space="preserve"> (sometimes called </w:t>
      </w:r>
      <w:r w:rsidR="005F3EEB" w:rsidRPr="00EE427E">
        <w:rPr>
          <w:rFonts w:ascii="Garamond" w:hAnsi="Garamond"/>
          <w:bCs/>
          <w:sz w:val="24"/>
          <w:szCs w:val="24"/>
          <w:u w:val="single"/>
        </w:rPr>
        <w:t>horizonal</w:t>
      </w:r>
      <w:r w:rsidR="005F3EEB" w:rsidRPr="005F7EB1">
        <w:rPr>
          <w:rFonts w:ascii="Garamond" w:hAnsi="Garamond"/>
          <w:bCs/>
          <w:sz w:val="24"/>
          <w:szCs w:val="24"/>
        </w:rPr>
        <w:t xml:space="preserve"> </w:t>
      </w:r>
      <w:r w:rsidR="005F3EEB" w:rsidRPr="0019602A">
        <w:rPr>
          <w:rFonts w:ascii="Garamond" w:hAnsi="Garamond"/>
          <w:bCs/>
          <w:i/>
          <w:iCs/>
          <w:sz w:val="24"/>
          <w:szCs w:val="24"/>
        </w:rPr>
        <w:t>stare decisis)</w:t>
      </w:r>
      <w:r w:rsidR="00707035" w:rsidRPr="00544166">
        <w:rPr>
          <w:rFonts w:ascii="Garamond" w:hAnsi="Garamond"/>
          <w:bCs/>
          <w:sz w:val="24"/>
          <w:szCs w:val="24"/>
        </w:rPr>
        <w:t>.</w:t>
      </w:r>
      <w:r w:rsidR="00BB0F9E">
        <w:rPr>
          <w:rFonts w:ascii="Garamond" w:hAnsi="Garamond"/>
          <w:bCs/>
          <w:sz w:val="24"/>
          <w:szCs w:val="24"/>
        </w:rPr>
        <w:t xml:space="preserve"> </w:t>
      </w:r>
      <w:r w:rsidR="00F041C0">
        <w:rPr>
          <w:rFonts w:ascii="Garamond" w:hAnsi="Garamond"/>
          <w:bCs/>
          <w:sz w:val="24"/>
          <w:szCs w:val="24"/>
        </w:rPr>
        <w:t>However,</w:t>
      </w:r>
      <w:r w:rsidR="00686D60">
        <w:rPr>
          <w:rFonts w:ascii="Garamond" w:hAnsi="Garamond"/>
          <w:bCs/>
          <w:sz w:val="24"/>
          <w:szCs w:val="24"/>
        </w:rPr>
        <w:t xml:space="preserve"> the Supreme Court</w:t>
      </w:r>
      <w:r w:rsidR="00F45F70">
        <w:rPr>
          <w:rFonts w:ascii="Garamond" w:hAnsi="Garamond"/>
          <w:bCs/>
          <w:sz w:val="24"/>
          <w:szCs w:val="24"/>
        </w:rPr>
        <w:t xml:space="preserve"> considers </w:t>
      </w:r>
      <w:r w:rsidR="00F041C0" w:rsidRPr="00F041C0">
        <w:rPr>
          <w:rFonts w:ascii="Garamond" w:hAnsi="Garamond"/>
          <w:bCs/>
          <w:i/>
          <w:iCs/>
          <w:sz w:val="24"/>
          <w:szCs w:val="24"/>
        </w:rPr>
        <w:t>stare decisis</w:t>
      </w:r>
      <w:r w:rsidR="00F041C0">
        <w:rPr>
          <w:rFonts w:ascii="Garamond" w:hAnsi="Garamond"/>
          <w:bCs/>
          <w:sz w:val="24"/>
          <w:szCs w:val="24"/>
        </w:rPr>
        <w:t xml:space="preserve"> </w:t>
      </w:r>
      <w:r w:rsidR="00F45F70">
        <w:rPr>
          <w:rFonts w:ascii="Garamond" w:hAnsi="Garamond"/>
          <w:bCs/>
          <w:sz w:val="24"/>
          <w:szCs w:val="24"/>
        </w:rPr>
        <w:t xml:space="preserve">to be a </w:t>
      </w:r>
      <w:r w:rsidR="00F041C0">
        <w:rPr>
          <w:rFonts w:ascii="Garamond" w:hAnsi="Garamond"/>
          <w:bCs/>
          <w:sz w:val="24"/>
          <w:szCs w:val="24"/>
        </w:rPr>
        <w:t>principle, not a hard and fast rule</w:t>
      </w:r>
      <w:r w:rsidR="00340A8B">
        <w:rPr>
          <w:rFonts w:ascii="Garamond" w:hAnsi="Garamond"/>
          <w:bCs/>
          <w:sz w:val="24"/>
          <w:szCs w:val="24"/>
        </w:rPr>
        <w:t>, that guides but does not bind justices</w:t>
      </w:r>
      <w:r w:rsidR="00F041C0">
        <w:rPr>
          <w:rFonts w:ascii="Garamond" w:hAnsi="Garamond"/>
          <w:bCs/>
          <w:sz w:val="24"/>
          <w:szCs w:val="24"/>
        </w:rPr>
        <w:t xml:space="preserve">. </w:t>
      </w:r>
      <w:r w:rsidR="002437DD">
        <w:rPr>
          <w:rFonts w:ascii="Garamond" w:hAnsi="Garamond"/>
          <w:bCs/>
          <w:sz w:val="24"/>
          <w:szCs w:val="24"/>
        </w:rPr>
        <w:t>The Supreme Court can</w:t>
      </w:r>
      <w:r w:rsidR="00EE427E">
        <w:rPr>
          <w:rFonts w:ascii="Garamond" w:hAnsi="Garamond"/>
          <w:bCs/>
          <w:sz w:val="24"/>
          <w:szCs w:val="24"/>
        </w:rPr>
        <w:t xml:space="preserve">, and </w:t>
      </w:r>
      <w:r w:rsidR="00686D60">
        <w:rPr>
          <w:rFonts w:ascii="Garamond" w:hAnsi="Garamond"/>
          <w:bCs/>
          <w:sz w:val="24"/>
          <w:szCs w:val="24"/>
        </w:rPr>
        <w:t xml:space="preserve">sometimes </w:t>
      </w:r>
      <w:r w:rsidR="00EE427E">
        <w:rPr>
          <w:rFonts w:ascii="Garamond" w:hAnsi="Garamond"/>
          <w:bCs/>
          <w:sz w:val="24"/>
          <w:szCs w:val="24"/>
        </w:rPr>
        <w:t>does,</w:t>
      </w:r>
      <w:r w:rsidR="002437DD">
        <w:rPr>
          <w:rFonts w:ascii="Garamond" w:hAnsi="Garamond"/>
          <w:bCs/>
          <w:sz w:val="24"/>
          <w:szCs w:val="24"/>
        </w:rPr>
        <w:t xml:space="preserve"> overturn their own precedents</w:t>
      </w:r>
      <w:r w:rsidR="00686D60">
        <w:rPr>
          <w:rFonts w:ascii="Garamond" w:hAnsi="Garamond"/>
          <w:bCs/>
          <w:sz w:val="24"/>
          <w:szCs w:val="24"/>
        </w:rPr>
        <w:t>.</w:t>
      </w:r>
      <w:r w:rsidR="002437DD">
        <w:rPr>
          <w:rFonts w:ascii="Garamond" w:hAnsi="Garamond"/>
          <w:bCs/>
          <w:sz w:val="24"/>
          <w:szCs w:val="24"/>
        </w:rPr>
        <w:t xml:space="preserve"> </w:t>
      </w:r>
      <w:r w:rsidR="00BE0AE9">
        <w:rPr>
          <w:rFonts w:ascii="Garamond" w:hAnsi="Garamond"/>
          <w:bCs/>
          <w:sz w:val="24"/>
          <w:szCs w:val="24"/>
        </w:rPr>
        <w:t xml:space="preserve"> </w:t>
      </w:r>
    </w:p>
    <w:p w14:paraId="5194F968" w14:textId="26029E02" w:rsidR="0089111D" w:rsidRDefault="00F041C0" w:rsidP="007700D5">
      <w:pPr>
        <w:spacing w:after="120" w:line="276" w:lineRule="auto"/>
        <w:rPr>
          <w:rFonts w:ascii="Garamond" w:hAnsi="Garamond"/>
          <w:bCs/>
          <w:sz w:val="24"/>
          <w:szCs w:val="24"/>
        </w:rPr>
      </w:pPr>
      <w:r w:rsidRPr="00F041C0">
        <w:rPr>
          <w:rFonts w:ascii="Garamond" w:hAnsi="Garamond"/>
          <w:bCs/>
          <w:sz w:val="24"/>
          <w:szCs w:val="24"/>
        </w:rPr>
        <w:t>C</w:t>
      </w:r>
      <w:r w:rsidR="0089111D" w:rsidRPr="00F041C0">
        <w:rPr>
          <w:rFonts w:ascii="Garamond" w:hAnsi="Garamond"/>
          <w:bCs/>
          <w:sz w:val="24"/>
          <w:szCs w:val="24"/>
        </w:rPr>
        <w:t>ases that make it to the Supreme Court are typically not completely identical to past cases, and justices must consider the similarities and differences when deciding a case.</w:t>
      </w:r>
      <w:r w:rsidRPr="00F041C0">
        <w:rPr>
          <w:rFonts w:ascii="Garamond" w:hAnsi="Garamond"/>
          <w:bCs/>
          <w:sz w:val="24"/>
          <w:szCs w:val="24"/>
        </w:rPr>
        <w:t xml:space="preserve"> </w:t>
      </w:r>
      <w:r w:rsidR="0089111D" w:rsidRPr="00F041C0">
        <w:rPr>
          <w:rFonts w:ascii="Garamond" w:hAnsi="Garamond"/>
          <w:bCs/>
          <w:sz w:val="24"/>
          <w:szCs w:val="24"/>
        </w:rPr>
        <w:t xml:space="preserve">The process of comparing past decisions to new cases is called </w:t>
      </w:r>
      <w:r w:rsidR="0089111D" w:rsidRPr="00F041C0">
        <w:rPr>
          <w:rFonts w:ascii="Garamond" w:hAnsi="Garamond"/>
          <w:b/>
          <w:sz w:val="24"/>
          <w:szCs w:val="24"/>
        </w:rPr>
        <w:t>applying precedent</w:t>
      </w:r>
      <w:r w:rsidR="0089111D" w:rsidRPr="00F041C0">
        <w:rPr>
          <w:rFonts w:ascii="Garamond" w:hAnsi="Garamond"/>
          <w:bCs/>
          <w:sz w:val="24"/>
          <w:szCs w:val="24"/>
        </w:rPr>
        <w:t xml:space="preserve">. Lawyers often argue for their side by showing how previous decisions would support the Supreme Court deciding in their favor. This might mean showing how a previous decision that supports their side is </w:t>
      </w:r>
      <w:r w:rsidR="0089111D" w:rsidRPr="00F82DC8">
        <w:rPr>
          <w:rFonts w:ascii="Garamond" w:hAnsi="Garamond"/>
          <w:b/>
          <w:sz w:val="24"/>
          <w:szCs w:val="24"/>
        </w:rPr>
        <w:t>analogous</w:t>
      </w:r>
      <w:r w:rsidR="0089111D" w:rsidRPr="00F041C0">
        <w:rPr>
          <w:rFonts w:ascii="Garamond" w:hAnsi="Garamond"/>
          <w:bCs/>
          <w:sz w:val="24"/>
          <w:szCs w:val="24"/>
        </w:rPr>
        <w:t xml:space="preserve"> (similar) to the case at hand. It can also involve showing that a previous decision that does not support their side is </w:t>
      </w:r>
      <w:r w:rsidR="0089111D" w:rsidRPr="00F82DC8">
        <w:rPr>
          <w:rFonts w:ascii="Garamond" w:hAnsi="Garamond"/>
          <w:b/>
          <w:sz w:val="24"/>
          <w:szCs w:val="24"/>
        </w:rPr>
        <w:t>distinguishable</w:t>
      </w:r>
      <w:r w:rsidR="0089111D" w:rsidRPr="00F041C0">
        <w:rPr>
          <w:rFonts w:ascii="Garamond" w:hAnsi="Garamond"/>
          <w:bCs/>
          <w:sz w:val="24"/>
          <w:szCs w:val="24"/>
        </w:rPr>
        <w:t xml:space="preserve"> (different) from the case they are arguing. </w:t>
      </w:r>
    </w:p>
    <w:p w14:paraId="4E8BCF36" w14:textId="6C63E778" w:rsidR="00397855" w:rsidRDefault="00397855" w:rsidP="007700D5">
      <w:pPr>
        <w:spacing w:after="240"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Lower </w:t>
      </w:r>
      <w:r w:rsidR="000E0514">
        <w:rPr>
          <w:rFonts w:ascii="Garamond" w:hAnsi="Garamond"/>
          <w:bCs/>
          <w:sz w:val="24"/>
          <w:szCs w:val="24"/>
        </w:rPr>
        <w:t xml:space="preserve">appeals </w:t>
      </w:r>
      <w:r>
        <w:rPr>
          <w:rFonts w:ascii="Garamond" w:hAnsi="Garamond"/>
          <w:bCs/>
          <w:sz w:val="24"/>
          <w:szCs w:val="24"/>
        </w:rPr>
        <w:t xml:space="preserve">courts </w:t>
      </w:r>
      <w:r w:rsidR="000E0514">
        <w:rPr>
          <w:rFonts w:ascii="Garamond" w:hAnsi="Garamond"/>
          <w:bCs/>
          <w:sz w:val="24"/>
          <w:szCs w:val="24"/>
        </w:rPr>
        <w:t>at the state and federal (national) level</w:t>
      </w:r>
      <w:r w:rsidR="0065557B">
        <w:rPr>
          <w:rFonts w:ascii="Garamond" w:hAnsi="Garamond"/>
          <w:bCs/>
          <w:sz w:val="24"/>
          <w:szCs w:val="24"/>
        </w:rPr>
        <w:t xml:space="preserve"> like state supreme courts and federal </w:t>
      </w:r>
      <w:r w:rsidR="00935501">
        <w:rPr>
          <w:rFonts w:ascii="Garamond" w:hAnsi="Garamond"/>
          <w:bCs/>
          <w:sz w:val="24"/>
          <w:szCs w:val="24"/>
        </w:rPr>
        <w:t>circuit courts of appeals</w:t>
      </w:r>
      <w:r w:rsidR="000E051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also </w:t>
      </w:r>
      <w:r w:rsidR="000E0514">
        <w:rPr>
          <w:rFonts w:ascii="Garamond" w:hAnsi="Garamond"/>
          <w:bCs/>
          <w:sz w:val="24"/>
          <w:szCs w:val="24"/>
        </w:rPr>
        <w:t xml:space="preserve">establish precedents. However, those precedents </w:t>
      </w:r>
      <w:r w:rsidR="001C5662">
        <w:rPr>
          <w:rFonts w:ascii="Garamond" w:hAnsi="Garamond"/>
          <w:bCs/>
          <w:sz w:val="24"/>
          <w:szCs w:val="24"/>
        </w:rPr>
        <w:t xml:space="preserve">are only binding in their jurisdiction. </w:t>
      </w:r>
    </w:p>
    <w:p w14:paraId="63A5B2F4" w14:textId="35D57341" w:rsidR="00EA0EA8" w:rsidRDefault="00A050E5" w:rsidP="00EA67A0">
      <w:pPr>
        <w:pStyle w:val="ListParagraph"/>
        <w:numPr>
          <w:ilvl w:val="0"/>
          <w:numId w:val="29"/>
        </w:numPr>
        <w:spacing w:after="1920" w:line="276" w:lineRule="auto"/>
        <w:ind w:left="360"/>
        <w:contextualSpacing w:val="0"/>
        <w:rPr>
          <w:rFonts w:ascii="Garamond" w:hAnsi="Garamond"/>
          <w:sz w:val="24"/>
          <w:szCs w:val="24"/>
        </w:rPr>
      </w:pPr>
      <w:r w:rsidRPr="00DE1D8A">
        <w:rPr>
          <w:rFonts w:ascii="Garamond" w:hAnsi="Garamond"/>
          <w:sz w:val="24"/>
          <w:szCs w:val="24"/>
        </w:rPr>
        <w:t xml:space="preserve">What is a precedent? Which courts create them? Which courts must follow them? </w:t>
      </w:r>
    </w:p>
    <w:p w14:paraId="6E379E75" w14:textId="64C49AF8" w:rsidR="00A050E5" w:rsidRPr="00EA0EA8" w:rsidRDefault="00DE0AB2" w:rsidP="00EA67A0">
      <w:pPr>
        <w:pStyle w:val="ListParagraph"/>
        <w:numPr>
          <w:ilvl w:val="0"/>
          <w:numId w:val="29"/>
        </w:numPr>
        <w:spacing w:after="1920" w:line="276" w:lineRule="auto"/>
        <w:ind w:left="360"/>
        <w:contextualSpacing w:val="0"/>
        <w:rPr>
          <w:rFonts w:ascii="Garamond" w:hAnsi="Garamond"/>
          <w:sz w:val="24"/>
          <w:szCs w:val="24"/>
        </w:rPr>
      </w:pPr>
      <w:r w:rsidRPr="00EA0EA8">
        <w:rPr>
          <w:rFonts w:ascii="Garamond" w:hAnsi="Garamond"/>
          <w:sz w:val="24"/>
          <w:szCs w:val="24"/>
        </w:rPr>
        <w:t xml:space="preserve">What is the principle of </w:t>
      </w:r>
      <w:r w:rsidRPr="00EA0EA8">
        <w:rPr>
          <w:rFonts w:ascii="Garamond" w:hAnsi="Garamond"/>
          <w:i/>
          <w:iCs/>
          <w:sz w:val="24"/>
          <w:szCs w:val="24"/>
        </w:rPr>
        <w:t>s</w:t>
      </w:r>
      <w:r w:rsidR="00A050E5" w:rsidRPr="00EA0EA8">
        <w:rPr>
          <w:rFonts w:ascii="Garamond" w:hAnsi="Garamond"/>
          <w:i/>
          <w:iCs/>
          <w:sz w:val="24"/>
          <w:szCs w:val="24"/>
        </w:rPr>
        <w:t>tare decisis</w:t>
      </w:r>
      <w:r w:rsidR="00466430">
        <w:rPr>
          <w:rFonts w:ascii="Garamond" w:hAnsi="Garamond"/>
          <w:sz w:val="24"/>
          <w:szCs w:val="24"/>
        </w:rPr>
        <w:t>?</w:t>
      </w:r>
    </w:p>
    <w:p w14:paraId="3CD91EBC" w14:textId="68406AEA" w:rsidR="00A050E5" w:rsidRPr="00EA0EA8" w:rsidRDefault="00A050E5" w:rsidP="005F7EB1">
      <w:pPr>
        <w:pStyle w:val="ListParagraph"/>
        <w:numPr>
          <w:ilvl w:val="0"/>
          <w:numId w:val="29"/>
        </w:numPr>
        <w:spacing w:after="120" w:line="276" w:lineRule="auto"/>
        <w:ind w:left="360"/>
        <w:contextualSpacing w:val="0"/>
        <w:rPr>
          <w:rFonts w:ascii="Garamond" w:hAnsi="Garamond"/>
          <w:sz w:val="24"/>
          <w:szCs w:val="24"/>
        </w:rPr>
      </w:pPr>
      <w:r w:rsidRPr="00EA0EA8">
        <w:rPr>
          <w:rFonts w:ascii="Garamond" w:hAnsi="Garamond"/>
          <w:sz w:val="24"/>
          <w:szCs w:val="24"/>
        </w:rPr>
        <w:lastRenderedPageBreak/>
        <w:t xml:space="preserve">What </w:t>
      </w:r>
      <w:r w:rsidR="00BE11F9">
        <w:rPr>
          <w:rFonts w:ascii="Garamond" w:hAnsi="Garamond"/>
          <w:sz w:val="24"/>
          <w:szCs w:val="24"/>
        </w:rPr>
        <w:t>might be</w:t>
      </w:r>
      <w:r w:rsidRPr="00EA0EA8">
        <w:rPr>
          <w:rFonts w:ascii="Garamond" w:hAnsi="Garamond"/>
          <w:sz w:val="24"/>
          <w:szCs w:val="24"/>
        </w:rPr>
        <w:t xml:space="preserve"> the benefits and costs of a legal system based on precedent?</w:t>
      </w:r>
    </w:p>
    <w:tbl>
      <w:tblPr>
        <w:tblStyle w:val="TableGrid"/>
        <w:tblW w:w="4500" w:type="pct"/>
        <w:jc w:val="center"/>
        <w:tblLook w:val="04A0" w:firstRow="1" w:lastRow="0" w:firstColumn="1" w:lastColumn="0" w:noHBand="0" w:noVBand="1"/>
      </w:tblPr>
      <w:tblGrid>
        <w:gridCol w:w="4216"/>
        <w:gridCol w:w="4199"/>
      </w:tblGrid>
      <w:tr w:rsidR="004A2CC4" w14:paraId="52A8434D" w14:textId="77777777" w:rsidTr="00E71467">
        <w:trPr>
          <w:jc w:val="center"/>
        </w:trPr>
        <w:tc>
          <w:tcPr>
            <w:tcW w:w="4320" w:type="dxa"/>
            <w:shd w:val="clear" w:color="auto" w:fill="D9D9D9" w:themeFill="background1" w:themeFillShade="D9"/>
          </w:tcPr>
          <w:p w14:paraId="044E51AC" w14:textId="5DA0E6CA" w:rsidR="004A2CC4" w:rsidRPr="002C4B77" w:rsidRDefault="00A050E5" w:rsidP="005F7EB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="Gill Sans MT" w:hAnsi="Gill Sans MT" w:cs="Segoe UI"/>
                <w:b/>
                <w:bCs/>
              </w:rPr>
            </w:pPr>
            <w:r>
              <w:rPr>
                <w:rStyle w:val="eop"/>
                <w:rFonts w:ascii="Garamond" w:hAnsi="Garamond" w:cs="Segoe UI"/>
              </w:rPr>
              <w:t> </w:t>
            </w:r>
            <w:r w:rsidR="009C638D" w:rsidRPr="002C4B77">
              <w:rPr>
                <w:rStyle w:val="eop"/>
                <w:rFonts w:ascii="Gill Sans MT" w:hAnsi="Gill Sans MT" w:cs="Segoe UI"/>
                <w:b/>
                <w:bCs/>
              </w:rPr>
              <w:t>Benefits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4B9FF5DF" w14:textId="6422E2DB" w:rsidR="004A2CC4" w:rsidRPr="002C4B77" w:rsidRDefault="002C4B77" w:rsidP="005F7EB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="Gill Sans MT" w:hAnsi="Gill Sans MT" w:cs="Segoe UI"/>
                <w:b/>
                <w:bCs/>
              </w:rPr>
            </w:pPr>
            <w:r w:rsidRPr="002C4B77">
              <w:rPr>
                <w:rStyle w:val="eop"/>
                <w:rFonts w:ascii="Gill Sans MT" w:hAnsi="Gill Sans MT" w:cs="Segoe UI"/>
                <w:b/>
                <w:bCs/>
              </w:rPr>
              <w:t>Costs</w:t>
            </w:r>
          </w:p>
        </w:tc>
      </w:tr>
      <w:tr w:rsidR="004A2CC4" w14:paraId="449441F7" w14:textId="77777777" w:rsidTr="002A51D1">
        <w:trPr>
          <w:trHeight w:val="4328"/>
          <w:jc w:val="center"/>
        </w:trPr>
        <w:tc>
          <w:tcPr>
            <w:tcW w:w="4320" w:type="dxa"/>
          </w:tcPr>
          <w:p w14:paraId="1C2AD244" w14:textId="77777777" w:rsidR="004A2CC4" w:rsidRDefault="004A2CC4" w:rsidP="005F7EB1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Garamond" w:hAnsi="Garamond" w:cs="Segoe UI"/>
              </w:rPr>
            </w:pPr>
          </w:p>
        </w:tc>
        <w:tc>
          <w:tcPr>
            <w:tcW w:w="4315" w:type="dxa"/>
          </w:tcPr>
          <w:p w14:paraId="31D146C2" w14:textId="77777777" w:rsidR="004A2CC4" w:rsidRDefault="004A2CC4" w:rsidP="005F7EB1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Garamond" w:hAnsi="Garamond" w:cs="Segoe UI"/>
              </w:rPr>
            </w:pPr>
          </w:p>
        </w:tc>
      </w:tr>
    </w:tbl>
    <w:p w14:paraId="071F1B19" w14:textId="77777777" w:rsidR="003303D2" w:rsidRDefault="003303D2" w:rsidP="005F7EB1">
      <w:pPr>
        <w:spacing w:before="360" w:after="120" w:line="276" w:lineRule="auto"/>
      </w:pPr>
    </w:p>
    <w:p w14:paraId="136E879E" w14:textId="77777777" w:rsidR="003303D2" w:rsidRDefault="003303D2" w:rsidP="005F7EB1">
      <w:pPr>
        <w:spacing w:line="276" w:lineRule="auto"/>
      </w:pPr>
      <w:r>
        <w:br w:type="page"/>
      </w:r>
    </w:p>
    <w:p w14:paraId="5A795E60" w14:textId="4F5F3B30" w:rsidR="00A050E5" w:rsidRPr="003303D2" w:rsidRDefault="00B22201" w:rsidP="005F7EB1">
      <w:pPr>
        <w:spacing w:before="360" w:after="120" w:line="276" w:lineRule="auto"/>
        <w:rPr>
          <w:rFonts w:ascii="Gill Sans MT" w:hAnsi="Gill Sans MT"/>
          <w:b/>
          <w:bCs/>
          <w:sz w:val="36"/>
          <w:szCs w:val="36"/>
        </w:rPr>
      </w:pPr>
      <w:r w:rsidRPr="003303D2">
        <w:rPr>
          <w:rFonts w:ascii="Gill Sans MT" w:hAnsi="Gill Sans MT"/>
          <w:b/>
          <w:bCs/>
          <w:sz w:val="28"/>
          <w:szCs w:val="28"/>
        </w:rPr>
        <w:lastRenderedPageBreak/>
        <w:t xml:space="preserve">Part </w:t>
      </w:r>
      <w:r w:rsidR="00095365" w:rsidRPr="003303D2">
        <w:rPr>
          <w:rFonts w:ascii="Gill Sans MT" w:hAnsi="Gill Sans MT"/>
          <w:b/>
          <w:bCs/>
          <w:sz w:val="28"/>
          <w:szCs w:val="28"/>
        </w:rPr>
        <w:t>Three</w:t>
      </w:r>
      <w:r w:rsidRPr="003303D2">
        <w:rPr>
          <w:rFonts w:ascii="Gill Sans MT" w:hAnsi="Gill Sans MT"/>
          <w:b/>
          <w:bCs/>
          <w:sz w:val="28"/>
          <w:szCs w:val="28"/>
        </w:rPr>
        <w:t xml:space="preserve">: </w:t>
      </w:r>
      <w:r w:rsidR="00A050E5" w:rsidRPr="003303D2">
        <w:rPr>
          <w:rFonts w:ascii="Gill Sans MT" w:hAnsi="Gill Sans MT"/>
          <w:b/>
          <w:bCs/>
          <w:sz w:val="28"/>
          <w:szCs w:val="28"/>
        </w:rPr>
        <w:t>Overruling</w:t>
      </w:r>
      <w:r w:rsidR="00F8625A" w:rsidRPr="003303D2">
        <w:rPr>
          <w:rFonts w:ascii="Gill Sans MT" w:hAnsi="Gill Sans MT"/>
          <w:b/>
          <w:bCs/>
          <w:sz w:val="28"/>
          <w:szCs w:val="28"/>
        </w:rPr>
        <w:t xml:space="preserve"> Precedents</w:t>
      </w:r>
      <w:r w:rsidR="00095365" w:rsidRPr="003303D2">
        <w:rPr>
          <w:rFonts w:ascii="Gill Sans MT" w:hAnsi="Gill Sans MT"/>
          <w:b/>
          <w:bCs/>
          <w:sz w:val="28"/>
          <w:szCs w:val="28"/>
        </w:rPr>
        <w:t xml:space="preserve"> </w:t>
      </w:r>
      <w:r w:rsidR="00366B5C" w:rsidRPr="003303D2">
        <w:rPr>
          <w:rFonts w:ascii="Gill Sans MT" w:hAnsi="Gill Sans MT"/>
          <w:b/>
          <w:bCs/>
          <w:sz w:val="28"/>
          <w:szCs w:val="28"/>
        </w:rPr>
        <w:t>–</w:t>
      </w:r>
      <w:r w:rsidR="00095365" w:rsidRPr="003303D2">
        <w:rPr>
          <w:rFonts w:ascii="Gill Sans MT" w:hAnsi="Gill Sans MT"/>
          <w:b/>
          <w:bCs/>
          <w:sz w:val="28"/>
          <w:szCs w:val="28"/>
        </w:rPr>
        <w:t xml:space="preserve"> </w:t>
      </w:r>
      <w:r w:rsidR="00366B5C" w:rsidRPr="003303D2">
        <w:rPr>
          <w:rFonts w:ascii="Gill Sans MT" w:hAnsi="Gill Sans MT"/>
          <w:b/>
          <w:bCs/>
          <w:sz w:val="28"/>
          <w:szCs w:val="28"/>
        </w:rPr>
        <w:t xml:space="preserve">Historical </w:t>
      </w:r>
      <w:r w:rsidR="00095365" w:rsidRPr="003303D2">
        <w:rPr>
          <w:rFonts w:ascii="Gill Sans MT" w:hAnsi="Gill Sans MT"/>
          <w:b/>
          <w:bCs/>
          <w:sz w:val="28"/>
          <w:szCs w:val="28"/>
        </w:rPr>
        <w:t>Examples</w:t>
      </w:r>
    </w:p>
    <w:p w14:paraId="4851CDDD" w14:textId="73896BA4" w:rsidR="00A050E5" w:rsidRDefault="00A050E5" w:rsidP="005F7EB1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Garamond" w:hAnsi="Garamond" w:cs="Segoe UI"/>
        </w:rPr>
      </w:pPr>
      <w:r>
        <w:rPr>
          <w:rStyle w:val="normaltextrun"/>
          <w:rFonts w:ascii="Garamond" w:hAnsi="Garamond" w:cs="Segoe UI"/>
        </w:rPr>
        <w:t xml:space="preserve">The Supreme Court has overruled </w:t>
      </w:r>
      <w:r w:rsidR="00F603C1">
        <w:rPr>
          <w:rStyle w:val="normaltextrun"/>
          <w:rFonts w:ascii="Garamond" w:hAnsi="Garamond" w:cs="Segoe UI"/>
        </w:rPr>
        <w:t>several</w:t>
      </w:r>
      <w:r>
        <w:rPr>
          <w:rStyle w:val="normaltextrun"/>
          <w:rFonts w:ascii="Garamond" w:hAnsi="Garamond" w:cs="Segoe UI"/>
        </w:rPr>
        <w:t xml:space="preserve"> notable decisions. </w:t>
      </w:r>
      <w:r w:rsidR="00BF4D76">
        <w:rPr>
          <w:rStyle w:val="normaltextrun"/>
          <w:rFonts w:ascii="Garamond" w:hAnsi="Garamond" w:cs="Segoe UI"/>
        </w:rPr>
        <w:t xml:space="preserve">Match </w:t>
      </w:r>
      <w:r w:rsidR="00067564">
        <w:rPr>
          <w:rStyle w:val="normaltextrun"/>
          <w:rFonts w:ascii="Garamond" w:hAnsi="Garamond" w:cs="Segoe UI"/>
        </w:rPr>
        <w:t xml:space="preserve">each </w:t>
      </w:r>
      <w:r w:rsidR="00BF4D76">
        <w:rPr>
          <w:rStyle w:val="normaltextrun"/>
          <w:rFonts w:ascii="Garamond" w:hAnsi="Garamond" w:cs="Segoe UI"/>
        </w:rPr>
        <w:t xml:space="preserve">precedent below with the </w:t>
      </w:r>
      <w:r w:rsidR="00067564">
        <w:rPr>
          <w:rStyle w:val="normaltextrun"/>
          <w:rFonts w:ascii="Garamond" w:hAnsi="Garamond" w:cs="Segoe UI"/>
        </w:rPr>
        <w:t xml:space="preserve">letter of the </w:t>
      </w:r>
      <w:r w:rsidR="00BF4D76">
        <w:rPr>
          <w:rStyle w:val="normaltextrun"/>
          <w:rFonts w:ascii="Garamond" w:hAnsi="Garamond" w:cs="Segoe UI"/>
        </w:rPr>
        <w:t xml:space="preserve">case that overruled </w:t>
      </w:r>
      <w:r w:rsidR="00067564">
        <w:rPr>
          <w:rStyle w:val="normaltextrun"/>
          <w:rFonts w:ascii="Garamond" w:hAnsi="Garamond" w:cs="Segoe UI"/>
        </w:rPr>
        <w:t>it</w:t>
      </w:r>
      <w:r w:rsidR="004F50CC">
        <w:rPr>
          <w:rStyle w:val="normaltextrun"/>
          <w:rFonts w:ascii="Garamond" w:hAnsi="Garamond" w:cs="Segoe UI"/>
        </w:rPr>
        <w:t xml:space="preserve"> (</w:t>
      </w:r>
      <w:r w:rsidR="00BF4D76">
        <w:rPr>
          <w:rStyle w:val="normaltextrun"/>
          <w:rFonts w:ascii="Garamond" w:hAnsi="Garamond" w:cs="Segoe UI"/>
        </w:rPr>
        <w:t>listed in random order</w:t>
      </w:r>
      <w:r w:rsidR="004F50CC">
        <w:rPr>
          <w:rStyle w:val="normaltextrun"/>
          <w:rFonts w:ascii="Garamond" w:hAnsi="Garamond" w:cs="Segoe UI"/>
        </w:rPr>
        <w:t xml:space="preserve"> in column 3)</w:t>
      </w:r>
      <w:r w:rsidR="00BF4D76">
        <w:rPr>
          <w:rStyle w:val="normaltextrun"/>
          <w:rFonts w:ascii="Garamond" w:hAnsi="Garamond" w:cs="Segoe U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710"/>
        <w:gridCol w:w="268"/>
        <w:gridCol w:w="2697"/>
      </w:tblGrid>
      <w:tr w:rsidR="001F0910" w14:paraId="1145502A" w14:textId="77777777" w:rsidTr="00D305A0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3BCAD227" w14:textId="07AB9CF9" w:rsidR="001F0910" w:rsidRPr="008246D7" w:rsidRDefault="001F0910" w:rsidP="004542D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Garamond" w:hAnsi="Garamond" w:cs="Segoe UI"/>
                <w:b/>
                <w:bCs/>
              </w:rPr>
            </w:pPr>
            <w:r w:rsidRPr="008246D7">
              <w:rPr>
                <w:rStyle w:val="normaltextrun"/>
                <w:rFonts w:ascii="Garamond" w:hAnsi="Garamond" w:cs="Segoe UI"/>
                <w:b/>
                <w:bCs/>
              </w:rPr>
              <w:t>Precedents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26212" w14:textId="71FEB185" w:rsidR="001F0910" w:rsidRPr="008246D7" w:rsidRDefault="001F0910" w:rsidP="004542D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Garamond" w:hAnsi="Garamond" w:cs="Segoe UI"/>
                <w:b/>
                <w:bCs/>
              </w:rPr>
            </w:pPr>
            <w:r w:rsidRPr="008246D7">
              <w:rPr>
                <w:rStyle w:val="normaltextrun"/>
                <w:rFonts w:ascii="Garamond" w:hAnsi="Garamond" w:cs="Segoe UI"/>
                <w:b/>
                <w:bCs/>
              </w:rPr>
              <w:t>Which case overruled</w:t>
            </w:r>
            <w:r>
              <w:rPr>
                <w:rStyle w:val="normaltextrun"/>
                <w:rFonts w:ascii="Garamond" w:hAnsi="Garamond" w:cs="Segoe UI"/>
                <w:b/>
                <w:bCs/>
              </w:rPr>
              <w:t xml:space="preserve"> it</w:t>
            </w:r>
            <w:r w:rsidRPr="008246D7">
              <w:rPr>
                <w:rStyle w:val="normaltextrun"/>
                <w:rFonts w:ascii="Garamond" w:hAnsi="Garamond" w:cs="Segoe UI"/>
                <w:b/>
                <w:bCs/>
              </w:rPr>
              <w:t>?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59DC2" w14:textId="77777777" w:rsidR="001F0910" w:rsidRPr="008246D7" w:rsidRDefault="001F0910" w:rsidP="004542D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Garamond" w:hAnsi="Garamond" w:cs="Segoe UI"/>
                <w:b/>
                <w:bCs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6EECE620" w14:textId="4F5EFE26" w:rsidR="001F0910" w:rsidRPr="00DA1C20" w:rsidRDefault="001F0910" w:rsidP="004542D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Garamond" w:hAnsi="Garamond" w:cs="Segoe UI"/>
                <w:b/>
                <w:bCs/>
              </w:rPr>
            </w:pPr>
            <w:r w:rsidRPr="00DA1C20">
              <w:rPr>
                <w:rStyle w:val="normaltextrun"/>
                <w:rFonts w:ascii="Garamond" w:hAnsi="Garamond" w:cs="Segoe UI"/>
                <w:b/>
                <w:bCs/>
              </w:rPr>
              <w:t xml:space="preserve">Cases that </w:t>
            </w:r>
            <w:r w:rsidR="00D305A0" w:rsidRPr="00DA1C20">
              <w:rPr>
                <w:rStyle w:val="normaltextrun"/>
                <w:rFonts w:ascii="Garamond" w:hAnsi="Garamond" w:cs="Segoe UI"/>
                <w:b/>
                <w:bCs/>
              </w:rPr>
              <w:br/>
            </w:r>
            <w:r w:rsidRPr="00DA1C20">
              <w:rPr>
                <w:rStyle w:val="normaltextrun"/>
                <w:rFonts w:ascii="Garamond" w:hAnsi="Garamond" w:cs="Segoe UI"/>
                <w:b/>
                <w:bCs/>
              </w:rPr>
              <w:t xml:space="preserve">overruled </w:t>
            </w:r>
            <w:r w:rsidR="00D305A0" w:rsidRPr="00DA1C20">
              <w:rPr>
                <w:rStyle w:val="normaltextrun"/>
                <w:rFonts w:ascii="Garamond" w:hAnsi="Garamond" w:cs="Segoe UI"/>
                <w:b/>
                <w:bCs/>
              </w:rPr>
              <w:t>precedents</w:t>
            </w:r>
          </w:p>
        </w:tc>
      </w:tr>
      <w:tr w:rsidR="001F0910" w14:paraId="078A065E" w14:textId="77777777" w:rsidTr="00D305A0">
        <w:tc>
          <w:tcPr>
            <w:tcW w:w="4675" w:type="dxa"/>
            <w:shd w:val="clear" w:color="auto" w:fill="F2F2F2" w:themeFill="background1" w:themeFillShade="F2"/>
          </w:tcPr>
          <w:p w14:paraId="2B211C86" w14:textId="79F3581A" w:rsidR="001F0910" w:rsidRDefault="001F0910" w:rsidP="0004430C">
            <w:pPr>
              <w:pStyle w:val="paragraph"/>
              <w:numPr>
                <w:ilvl w:val="1"/>
                <w:numId w:val="14"/>
              </w:numPr>
              <w:spacing w:before="0" w:beforeAutospacing="0" w:after="120" w:afterAutospacing="0" w:line="276" w:lineRule="auto"/>
              <w:ind w:left="360"/>
              <w:textAlignment w:val="baseline"/>
              <w:rPr>
                <w:rStyle w:val="normaltextrun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hAnsi="Adobe Garamond Pro Bold" w:cs="Segoe UI"/>
                <w:i/>
                <w:iCs/>
              </w:rPr>
              <w:t>Plessy v. Ferguson</w:t>
            </w:r>
            <w:r w:rsidRPr="00E26935">
              <w:rPr>
                <w:rStyle w:val="normaltextrun"/>
                <w:rFonts w:ascii="Garamond" w:hAnsi="Garamond" w:cs="Segoe UI"/>
              </w:rPr>
              <w:t xml:space="preserve"> (1896)</w:t>
            </w:r>
            <w:r>
              <w:rPr>
                <w:rStyle w:val="normaltextrun"/>
                <w:rFonts w:ascii="Garamond" w:hAnsi="Garamond" w:cs="Segoe UI"/>
              </w:rPr>
              <w:t>:</w:t>
            </w:r>
            <w:r w:rsidRPr="00E26935">
              <w:rPr>
                <w:rStyle w:val="normaltextrun"/>
                <w:rFonts w:ascii="Garamond" w:hAnsi="Garamond" w:cs="Segoe UI"/>
              </w:rPr>
              <w:t xml:space="preserve"> </w:t>
            </w:r>
            <w:r>
              <w:rPr>
                <w:rStyle w:val="normaltextrun"/>
                <w:rFonts w:ascii="Garamond" w:hAnsi="Garamond" w:cs="Segoe UI"/>
              </w:rPr>
              <w:t>R</w:t>
            </w:r>
            <w:r w:rsidRPr="00E26935">
              <w:rPr>
                <w:rStyle w:val="normaltextrun"/>
                <w:rFonts w:ascii="Garamond" w:hAnsi="Garamond" w:cs="Segoe UI"/>
              </w:rPr>
              <w:t xml:space="preserve">acial segregation laws did not violate the U.S. Constitution </w:t>
            </w:r>
            <w:r w:rsidRPr="00E26935">
              <w:rPr>
                <w:rStyle w:val="normaltextrun"/>
                <w:rFonts w:ascii="Garamond" w:hAnsi="Garamond" w:cs="Segoe UI"/>
              </w:rPr>
              <w:t>if</w:t>
            </w:r>
            <w:r w:rsidRPr="00E26935">
              <w:rPr>
                <w:rStyle w:val="normaltextrun"/>
                <w:rFonts w:ascii="Garamond" w:hAnsi="Garamond" w:cs="Segoe UI"/>
              </w:rPr>
              <w:t xml:space="preserve"> the facilities for each race were equal in quality. This doctrine became known as “separate but equal.”</w:t>
            </w:r>
            <w:r w:rsidRPr="00E26935">
              <w:rPr>
                <w:rStyle w:val="eop"/>
                <w:rFonts w:ascii="Garamond" w:hAnsi="Garamond" w:cs="Segoe UI"/>
              </w:rPr>
              <w:t> 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C2FA0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F02D" w14:textId="77777777" w:rsidR="001F0910" w:rsidRPr="00240B34" w:rsidRDefault="001F0910" w:rsidP="001F0910">
            <w:pPr>
              <w:pStyle w:val="ListParagraph"/>
              <w:spacing w:line="276" w:lineRule="auto"/>
              <w:ind w:left="228"/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1DDCF749" w14:textId="10A90274" w:rsidR="001F0910" w:rsidRPr="00DA1C20" w:rsidRDefault="001F0910" w:rsidP="00240B34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228" w:hanging="270"/>
              <w:rPr>
                <w:rStyle w:val="normaltextrun"/>
                <w:rFonts w:ascii="Garamond" w:hAnsi="Garamond" w:cs="Segoe UI"/>
                <w:sz w:val="24"/>
                <w:szCs w:val="24"/>
              </w:rPr>
            </w:pPr>
            <w:r w:rsidRPr="00DA1C20">
              <w:rPr>
                <w:rStyle w:val="normaltextrun"/>
                <w:rFonts w:ascii="Adobe Garamond Pro Bold" w:hAnsi="Adobe Garamond Pro Bold" w:cs="Segoe UI"/>
                <w:i/>
                <w:iCs/>
                <w:sz w:val="24"/>
                <w:szCs w:val="24"/>
              </w:rPr>
              <w:t>Citizens United v. Federal Elections Commission</w:t>
            </w:r>
            <w:r w:rsidRPr="00DA1C20"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(2010)</w:t>
            </w:r>
            <w:r w:rsidR="00D305A0"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: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banning the political speech of corporations is an unconstitutional violation of the First Amendment’s free speech clause. </w:t>
            </w:r>
          </w:p>
          <w:p w14:paraId="304FFC2D" w14:textId="4903CAE9" w:rsidR="001F0910" w:rsidRPr="00DA1C20" w:rsidRDefault="001F0910" w:rsidP="00240B34">
            <w:pPr>
              <w:pStyle w:val="paragraph"/>
              <w:spacing w:before="0" w:beforeAutospacing="0" w:after="120" w:afterAutospacing="0" w:line="276" w:lineRule="auto"/>
              <w:ind w:hanging="582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</w:tr>
      <w:tr w:rsidR="001F0910" w14:paraId="5B10BFD6" w14:textId="77777777" w:rsidTr="00D305A0">
        <w:tc>
          <w:tcPr>
            <w:tcW w:w="4675" w:type="dxa"/>
            <w:shd w:val="clear" w:color="auto" w:fill="F2F2F2" w:themeFill="background1" w:themeFillShade="F2"/>
          </w:tcPr>
          <w:p w14:paraId="55230A94" w14:textId="5CCF2AB7" w:rsidR="001F0910" w:rsidRDefault="001F0910" w:rsidP="004542D1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ind w:left="342" w:hanging="342"/>
              <w:rPr>
                <w:rStyle w:val="normaltextrun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eastAsia="Times New Roman" w:hAnsi="Adobe Garamond Pro Bold" w:cs="Segoe UI"/>
                <w:i/>
                <w:iCs/>
                <w:sz w:val="24"/>
                <w:szCs w:val="24"/>
              </w:rPr>
              <w:t>Minersville School District v. Gobitis</w:t>
            </w:r>
            <w:r w:rsidRPr="004542D1">
              <w:rPr>
                <w:rStyle w:val="normaltextrun"/>
                <w:rFonts w:ascii="Garamond" w:eastAsia="Times New Roman" w:hAnsi="Garamond" w:cs="Segoe UI"/>
                <w:sz w:val="24"/>
                <w:szCs w:val="24"/>
              </w:rPr>
              <w:t xml:space="preserve"> (1940): A state legislature could require students to salute the flag and say the pledge of allegiance without violating First Amendment speech or religious rights.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D6240F3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51FCC" w14:textId="77777777" w:rsidR="001F0910" w:rsidRPr="00240B34" w:rsidRDefault="001F0910" w:rsidP="001F0910">
            <w:pPr>
              <w:pStyle w:val="ListParagraph"/>
              <w:spacing w:line="276" w:lineRule="auto"/>
              <w:ind w:left="228"/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4532173A" w14:textId="0787E272" w:rsidR="001F0910" w:rsidRPr="00DA1C20" w:rsidRDefault="001F0910" w:rsidP="00240B34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228" w:hanging="270"/>
              <w:rPr>
                <w:rStyle w:val="normaltextrun"/>
                <w:rFonts w:ascii="Garamond" w:hAnsi="Garamond" w:cs="Segoe UI"/>
                <w:sz w:val="24"/>
                <w:szCs w:val="24"/>
              </w:rPr>
            </w:pPr>
            <w:r w:rsidRPr="00DA1C20">
              <w:rPr>
                <w:rStyle w:val="normaltextrun"/>
                <w:rFonts w:ascii="Adobe Garamond Pro Bold" w:hAnsi="Adobe Garamond Pro Bold" w:cs="Segoe UI"/>
                <w:i/>
                <w:iCs/>
                <w:sz w:val="24"/>
                <w:szCs w:val="24"/>
              </w:rPr>
              <w:t xml:space="preserve">Brown v. Board of Education of Topeka, Kansas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(1954)</w:t>
            </w:r>
            <w:r w:rsidR="00D305A0"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: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racial segregation in public schools is an unconstitutional violation the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14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  <w:vertAlign w:val="superscript"/>
              </w:rPr>
              <w:t>th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Amendment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,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which guarantees that no one is denied “equal protection of the laws.” </w:t>
            </w:r>
          </w:p>
          <w:p w14:paraId="3C59C614" w14:textId="668D14C2" w:rsidR="001F0910" w:rsidRPr="00DA1C20" w:rsidRDefault="001F0910" w:rsidP="00240B34">
            <w:pPr>
              <w:pStyle w:val="paragraph"/>
              <w:spacing w:before="0" w:beforeAutospacing="0" w:after="120" w:afterAutospacing="0" w:line="276" w:lineRule="auto"/>
              <w:ind w:hanging="582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</w:tr>
      <w:tr w:rsidR="001F0910" w14:paraId="5864D375" w14:textId="77777777" w:rsidTr="00D305A0">
        <w:tc>
          <w:tcPr>
            <w:tcW w:w="4675" w:type="dxa"/>
            <w:shd w:val="clear" w:color="auto" w:fill="F2F2F2" w:themeFill="background1" w:themeFillShade="F2"/>
          </w:tcPr>
          <w:p w14:paraId="56ABF184" w14:textId="77777777" w:rsidR="001F0910" w:rsidRPr="0034144E" w:rsidRDefault="001F0910" w:rsidP="004542D1">
            <w:pPr>
              <w:pStyle w:val="paragraph"/>
              <w:numPr>
                <w:ilvl w:val="1"/>
                <w:numId w:val="14"/>
              </w:numPr>
              <w:spacing w:before="0" w:beforeAutospacing="0" w:after="120" w:afterAutospacing="0" w:line="276" w:lineRule="auto"/>
              <w:ind w:left="360"/>
              <w:textAlignment w:val="baseline"/>
              <w:rPr>
                <w:rStyle w:val="eop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hAnsi="Adobe Garamond Pro Bold" w:cs="Segoe UI"/>
                <w:i/>
                <w:iCs/>
              </w:rPr>
              <w:t>Baker v. Nelson</w:t>
            </w:r>
            <w:r w:rsidRPr="0034144E">
              <w:rPr>
                <w:rStyle w:val="normaltextrun"/>
                <w:rFonts w:ascii="Garamond" w:hAnsi="Garamond" w:cs="Segoe UI"/>
              </w:rPr>
              <w:t xml:space="preserve"> (1972)</w:t>
            </w:r>
            <w:r>
              <w:rPr>
                <w:rStyle w:val="normaltextrun"/>
                <w:rFonts w:ascii="Garamond" w:hAnsi="Garamond" w:cs="Segoe UI"/>
              </w:rPr>
              <w:t>:</w:t>
            </w:r>
            <w:r w:rsidRPr="0034144E">
              <w:rPr>
                <w:rStyle w:val="normaltextrun"/>
                <w:rFonts w:ascii="Garamond" w:hAnsi="Garamond" w:cs="Segoe UI"/>
              </w:rPr>
              <w:t xml:space="preserve"> Exclusion of same</w:t>
            </w:r>
            <w:r>
              <w:rPr>
                <w:rStyle w:val="normaltextrun"/>
                <w:rFonts w:ascii="Garamond" w:hAnsi="Garamond" w:cs="Segoe UI"/>
              </w:rPr>
              <w:t>-</w:t>
            </w:r>
            <w:r w:rsidRPr="0034144E">
              <w:rPr>
                <w:rStyle w:val="normaltextrun"/>
                <w:rFonts w:ascii="Garamond" w:hAnsi="Garamond" w:cs="Segoe UI"/>
              </w:rPr>
              <w:t>sex couples from state marriage laws did not present a substantial federal question.</w:t>
            </w:r>
            <w:r w:rsidRPr="0034144E">
              <w:rPr>
                <w:rStyle w:val="eop"/>
                <w:rFonts w:ascii="Garamond" w:hAnsi="Garamond" w:cs="Segoe UI"/>
              </w:rPr>
              <w:t> </w:t>
            </w:r>
          </w:p>
          <w:p w14:paraId="2C9C5507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091BBE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386" w14:textId="77777777" w:rsidR="001F0910" w:rsidRPr="00A26699" w:rsidRDefault="001F0910" w:rsidP="00A26699">
            <w:pPr>
              <w:spacing w:line="276" w:lineRule="auto"/>
              <w:ind w:left="360"/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5F564E4B" w14:textId="2C6F7233" w:rsidR="001F0910" w:rsidRPr="00DA1C20" w:rsidRDefault="001F0910" w:rsidP="00240B34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8" w:hanging="312"/>
              <w:rPr>
                <w:rStyle w:val="normaltextrun"/>
                <w:rFonts w:ascii="Garamond" w:hAnsi="Garamond" w:cs="Segoe UI"/>
                <w:sz w:val="24"/>
                <w:szCs w:val="24"/>
              </w:rPr>
            </w:pPr>
            <w:r w:rsidRPr="00DA1C20">
              <w:rPr>
                <w:rStyle w:val="normaltextrun"/>
                <w:rFonts w:ascii="Adobe Garamond Pro Bold" w:hAnsi="Adobe Garamond Pro Bold" w:cs="Segoe UI"/>
                <w:i/>
                <w:iCs/>
                <w:sz w:val="24"/>
                <w:szCs w:val="24"/>
              </w:rPr>
              <w:t>West Virginia v. Barnette</w:t>
            </w:r>
            <w:r w:rsidRPr="00DA1C20"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(1943)</w:t>
            </w:r>
            <w:r w:rsidR="00DA1C20"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: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compelling public-school students to salute the flag is an unconstitutional violation of the students’ First Amendment rights. </w:t>
            </w:r>
          </w:p>
          <w:p w14:paraId="0476B0AF" w14:textId="09C80233" w:rsidR="001F0910" w:rsidRPr="00DA1C20" w:rsidRDefault="001F0910" w:rsidP="00240B34">
            <w:pPr>
              <w:pStyle w:val="paragraph"/>
              <w:spacing w:before="0" w:beforeAutospacing="0" w:after="120" w:afterAutospacing="0" w:line="276" w:lineRule="auto"/>
              <w:ind w:hanging="582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</w:tr>
      <w:tr w:rsidR="001F0910" w14:paraId="04669AE7" w14:textId="77777777" w:rsidTr="00D305A0">
        <w:tc>
          <w:tcPr>
            <w:tcW w:w="4675" w:type="dxa"/>
            <w:shd w:val="clear" w:color="auto" w:fill="F2F2F2" w:themeFill="background1" w:themeFillShade="F2"/>
          </w:tcPr>
          <w:p w14:paraId="2F111DF3" w14:textId="3A5B9464" w:rsidR="001F0910" w:rsidRDefault="001F0910" w:rsidP="004542D1">
            <w:pPr>
              <w:pStyle w:val="paragraph"/>
              <w:numPr>
                <w:ilvl w:val="1"/>
                <w:numId w:val="14"/>
              </w:numPr>
              <w:spacing w:before="0" w:beforeAutospacing="0" w:after="120" w:afterAutospacing="0" w:line="276" w:lineRule="auto"/>
              <w:ind w:left="360"/>
              <w:textAlignment w:val="baseline"/>
              <w:rPr>
                <w:rStyle w:val="normaltextrun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hAnsi="Adobe Garamond Pro Bold" w:cs="Segoe UI"/>
                <w:i/>
                <w:iCs/>
              </w:rPr>
              <w:t>Austin v. Michigan State Chamber of Commerce</w:t>
            </w:r>
            <w:r>
              <w:rPr>
                <w:rStyle w:val="normaltextrun"/>
                <w:rFonts w:ascii="Garamond" w:hAnsi="Garamond" w:cs="Segoe UI"/>
              </w:rPr>
              <w:t xml:space="preserve"> (1990): Prohibition on corporations from </w:t>
            </w:r>
            <w:r w:rsidRPr="00376FFD">
              <w:rPr>
                <w:rStyle w:val="normaltextrun"/>
                <w:rFonts w:ascii="Garamond" w:hAnsi="Garamond" w:cs="Segoe UI"/>
              </w:rPr>
              <w:lastRenderedPageBreak/>
              <w:t>making independent campaign expenditures did not violate First Amendment.</w:t>
            </w:r>
            <w:r w:rsidRPr="00376FFD">
              <w:rPr>
                <w:rStyle w:val="eop"/>
                <w:rFonts w:ascii="Garamond" w:hAnsi="Garamond" w:cs="Segoe UI"/>
              </w:rPr>
              <w:t> 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7C67C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843B7" w14:textId="77777777" w:rsidR="001F0910" w:rsidRPr="00A26699" w:rsidRDefault="001F0910" w:rsidP="00A26699">
            <w:pPr>
              <w:spacing w:line="276" w:lineRule="auto"/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16CBF815" w14:textId="6D728869" w:rsidR="001F0910" w:rsidRPr="00DA1C20" w:rsidRDefault="001F0910" w:rsidP="00240B34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8" w:hanging="318"/>
              <w:rPr>
                <w:rStyle w:val="normaltextrun"/>
                <w:rFonts w:ascii="Garamond" w:hAnsi="Garamond" w:cs="Segoe UI"/>
                <w:sz w:val="24"/>
                <w:szCs w:val="24"/>
              </w:rPr>
            </w:pPr>
            <w:r w:rsidRPr="00DA1C20">
              <w:rPr>
                <w:rStyle w:val="normaltextrun"/>
                <w:rFonts w:ascii="Adobe Garamond Pro Bold" w:hAnsi="Adobe Garamond Pro Bold" w:cs="Segoe UI"/>
                <w:i/>
                <w:iCs/>
                <w:sz w:val="24"/>
                <w:szCs w:val="24"/>
              </w:rPr>
              <w:t>Dobbs v. Jackson Women’s Health</w:t>
            </w:r>
            <w:r w:rsidRPr="00DA1C20"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(2022)</w:t>
            </w:r>
            <w:r w:rsidR="00DA1C20"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: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the Constitution does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lastRenderedPageBreak/>
              <w:t xml:space="preserve">not protect the right to have an abortion. </w:t>
            </w:r>
          </w:p>
          <w:p w14:paraId="3EB6C314" w14:textId="38FF17FB" w:rsidR="001F0910" w:rsidRPr="00DA1C20" w:rsidRDefault="001F0910" w:rsidP="00240B34">
            <w:pPr>
              <w:pStyle w:val="paragraph"/>
              <w:spacing w:before="0" w:beforeAutospacing="0" w:after="120" w:afterAutospacing="0" w:line="276" w:lineRule="auto"/>
              <w:ind w:hanging="582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</w:tr>
      <w:tr w:rsidR="001F0910" w14:paraId="6AA81AE4" w14:textId="77777777" w:rsidTr="00D305A0">
        <w:tc>
          <w:tcPr>
            <w:tcW w:w="4675" w:type="dxa"/>
            <w:shd w:val="clear" w:color="auto" w:fill="F2F2F2" w:themeFill="background1" w:themeFillShade="F2"/>
          </w:tcPr>
          <w:p w14:paraId="1C249F2E" w14:textId="26030FA3" w:rsidR="001F0910" w:rsidRDefault="001F0910" w:rsidP="004542D1">
            <w:pPr>
              <w:pStyle w:val="paragraph"/>
              <w:numPr>
                <w:ilvl w:val="1"/>
                <w:numId w:val="14"/>
              </w:numPr>
              <w:spacing w:before="0" w:beforeAutospacing="0" w:after="120" w:afterAutospacing="0" w:line="276" w:lineRule="auto"/>
              <w:ind w:left="360"/>
              <w:textAlignment w:val="baseline"/>
              <w:rPr>
                <w:rStyle w:val="normaltextrun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hAnsi="Adobe Garamond Pro Bold" w:cs="Segoe UI"/>
                <w:i/>
                <w:iCs/>
              </w:rPr>
              <w:lastRenderedPageBreak/>
              <w:t>Roe v. Wade</w:t>
            </w:r>
            <w:r>
              <w:rPr>
                <w:rStyle w:val="normaltextrun"/>
                <w:rFonts w:ascii="Garamond" w:hAnsi="Garamond" w:cs="Segoe UI"/>
              </w:rPr>
              <w:t xml:space="preserve"> (1973)</w:t>
            </w:r>
            <w:r w:rsidR="00D305A0">
              <w:rPr>
                <w:rStyle w:val="normaltextrun"/>
                <w:rFonts w:ascii="Garamond" w:hAnsi="Garamond" w:cs="Segoe UI"/>
              </w:rPr>
              <w:t>:</w:t>
            </w:r>
            <w:r>
              <w:rPr>
                <w:rStyle w:val="normaltextrun"/>
                <w:rFonts w:ascii="Garamond" w:hAnsi="Garamond" w:cs="Segoe UI"/>
              </w:rPr>
              <w:t xml:space="preserve"> People have a right to have an abortion as part of their fundamental right to privacy, which is protected by the Due Process Clause of the 14</w:t>
            </w:r>
            <w:r w:rsidRPr="0007599D">
              <w:rPr>
                <w:rStyle w:val="normaltextrun"/>
                <w:rFonts w:ascii="Garamond" w:hAnsi="Garamond" w:cs="Segoe UI"/>
                <w:vertAlign w:val="superscript"/>
              </w:rPr>
              <w:t>th</w:t>
            </w:r>
            <w:r>
              <w:rPr>
                <w:rStyle w:val="normaltextrun"/>
                <w:rFonts w:ascii="Garamond" w:hAnsi="Garamond" w:cs="Segoe UI"/>
              </w:rPr>
              <w:t xml:space="preserve"> Amendment. </w:t>
            </w:r>
          </w:p>
          <w:p w14:paraId="6F515214" w14:textId="36840858" w:rsidR="001F0910" w:rsidRDefault="001F0910" w:rsidP="00240B34">
            <w:pPr>
              <w:pStyle w:val="paragraph"/>
              <w:spacing w:before="0" w:beforeAutospacing="0" w:after="120" w:afterAutospacing="0" w:line="276" w:lineRule="auto"/>
              <w:ind w:left="360"/>
              <w:textAlignment w:val="baseline"/>
              <w:rPr>
                <w:rStyle w:val="normaltextrun"/>
                <w:rFonts w:ascii="Garamond" w:hAnsi="Garamond" w:cs="Segoe UI"/>
              </w:rPr>
            </w:pPr>
            <w:r w:rsidRPr="00D305A0">
              <w:rPr>
                <w:rStyle w:val="normaltextrun"/>
                <w:rFonts w:ascii="Adobe Garamond Pro Bold" w:hAnsi="Adobe Garamond Pro Bold" w:cs="Segoe UI"/>
                <w:i/>
                <w:iCs/>
              </w:rPr>
              <w:t>Planned Parenthood of Southeastern Pennsylvania v. Casey</w:t>
            </w:r>
            <w:r>
              <w:rPr>
                <w:rStyle w:val="normaltextrun"/>
                <w:rFonts w:ascii="Garamond" w:hAnsi="Garamond" w:cs="Segoe UI"/>
              </w:rPr>
              <w:t xml:space="preserve"> (1992)</w:t>
            </w:r>
            <w:r w:rsidR="00D305A0">
              <w:rPr>
                <w:rStyle w:val="normaltextrun"/>
                <w:rFonts w:ascii="Garamond" w:hAnsi="Garamond" w:cs="Segoe UI"/>
              </w:rPr>
              <w:t>:</w:t>
            </w:r>
            <w:r>
              <w:rPr>
                <w:rStyle w:val="normaltextrun"/>
                <w:rFonts w:ascii="Garamond" w:hAnsi="Garamond" w:cs="Segoe UI"/>
              </w:rPr>
              <w:t xml:space="preserve"> reaffirmed that a person has the right to an abortion before fetal viability without undue influence of the state.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75A0C5" w14:textId="77777777" w:rsidR="001F0910" w:rsidRDefault="001F0910" w:rsidP="005F7EB1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Garamond" w:hAnsi="Garamond" w:cs="Segoe UI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D7F66" w14:textId="77777777" w:rsidR="001F0910" w:rsidRPr="00A26699" w:rsidRDefault="001F0910" w:rsidP="00A26699">
            <w:pPr>
              <w:spacing w:line="276" w:lineRule="auto"/>
              <w:ind w:left="360"/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1DC6B205" w14:textId="6FA4F9CE" w:rsidR="001F0910" w:rsidRPr="00DA1C20" w:rsidRDefault="001F0910" w:rsidP="00D305A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8" w:hanging="318"/>
              <w:rPr>
                <w:rStyle w:val="normaltextrun"/>
                <w:rFonts w:ascii="Garamond" w:hAnsi="Garamond" w:cs="Segoe UI"/>
              </w:rPr>
            </w:pPr>
            <w:r w:rsidRPr="00DA1C20">
              <w:rPr>
                <w:rStyle w:val="normaltextrun"/>
                <w:rFonts w:ascii="Adobe Garamond Pro Bold" w:hAnsi="Adobe Garamond Pro Bold" w:cs="Segoe UI"/>
                <w:i/>
                <w:iCs/>
                <w:sz w:val="24"/>
                <w:szCs w:val="24"/>
              </w:rPr>
              <w:t>Obergefell v. Hodges</w:t>
            </w:r>
            <w:r w:rsidRPr="00DA1C20">
              <w:rPr>
                <w:rStyle w:val="normaltextrun"/>
                <w:rFonts w:ascii="Garamond" w:hAnsi="Garamond" w:cs="Segoe UI"/>
                <w:i/>
                <w:iCs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(2015)</w:t>
            </w:r>
            <w:r w:rsidR="00DA1C20"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: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states denial of marriage to a same-sex couples is an unconstitutional violation of the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14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  <w:vertAlign w:val="superscript"/>
              </w:rPr>
              <w:t>th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Amendment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>,</w:t>
            </w:r>
            <w:r w:rsidRPr="00DA1C20">
              <w:rPr>
                <w:rStyle w:val="normaltextrun"/>
                <w:rFonts w:ascii="Garamond" w:hAnsi="Garamond" w:cs="Segoe UI"/>
                <w:sz w:val="24"/>
                <w:szCs w:val="24"/>
              </w:rPr>
              <w:t xml:space="preserve"> which guarantees that no one is denied “equal protection of the laws.”</w:t>
            </w:r>
          </w:p>
        </w:tc>
      </w:tr>
    </w:tbl>
    <w:p w14:paraId="3566CBF5" w14:textId="7AFC7C07" w:rsidR="00A050E5" w:rsidRPr="006C4A1A" w:rsidRDefault="002C2D28" w:rsidP="005F7EB1">
      <w:pPr>
        <w:pStyle w:val="paragraph"/>
        <w:spacing w:before="360" w:beforeAutospacing="0" w:after="120" w:afterAutospacing="0" w:line="276" w:lineRule="auto"/>
        <w:textAlignment w:val="baseline"/>
        <w:rPr>
          <w:rStyle w:val="eop"/>
          <w:rFonts w:ascii="Gill Sans MT" w:hAnsi="Gill Sans MT" w:cs="Segoe UI"/>
          <w:b/>
          <w:bCs/>
          <w:i/>
          <w:iCs/>
          <w:sz w:val="20"/>
          <w:szCs w:val="20"/>
        </w:rPr>
      </w:pPr>
      <w:r w:rsidRPr="006C4A1A">
        <w:rPr>
          <w:rStyle w:val="normaltextrun"/>
          <w:rFonts w:ascii="Gill Sans MT" w:hAnsi="Gill Sans MT" w:cs="Segoe UI"/>
          <w:b/>
          <w:bCs/>
          <w:i/>
          <w:iCs/>
          <w:sz w:val="28"/>
          <w:szCs w:val="28"/>
        </w:rPr>
        <w:t>Questions to Consider</w:t>
      </w:r>
    </w:p>
    <w:p w14:paraId="57ACCF24" w14:textId="77777777" w:rsidR="002927C2" w:rsidRDefault="00A050E5" w:rsidP="000D4432">
      <w:pPr>
        <w:pStyle w:val="paragraph"/>
        <w:numPr>
          <w:ilvl w:val="0"/>
          <w:numId w:val="27"/>
        </w:numPr>
        <w:spacing w:before="0" w:beforeAutospacing="0" w:after="1800" w:afterAutospacing="0" w:line="276" w:lineRule="auto"/>
        <w:ind w:left="360"/>
        <w:textAlignment w:val="baseline"/>
        <w:rPr>
          <w:rStyle w:val="normaltextrun"/>
          <w:rFonts w:ascii="Garamond" w:hAnsi="Garamond" w:cs="Segoe UI"/>
        </w:rPr>
      </w:pPr>
      <w:r w:rsidRPr="00376FFD">
        <w:rPr>
          <w:rStyle w:val="normaltextrun"/>
          <w:rFonts w:ascii="Garamond" w:hAnsi="Garamond" w:cs="Segoe UI"/>
        </w:rPr>
        <w:t xml:space="preserve">Why </w:t>
      </w:r>
      <w:r w:rsidR="002927C2">
        <w:rPr>
          <w:rStyle w:val="normaltextrun"/>
          <w:rFonts w:ascii="Garamond" w:hAnsi="Garamond" w:cs="Segoe UI"/>
        </w:rPr>
        <w:t>do you think</w:t>
      </w:r>
      <w:r w:rsidRPr="00376FFD">
        <w:rPr>
          <w:rStyle w:val="normaltextrun"/>
          <w:rFonts w:ascii="Garamond" w:hAnsi="Garamond" w:cs="Segoe UI"/>
        </w:rPr>
        <w:t xml:space="preserve"> the Supreme Court </w:t>
      </w:r>
      <w:r w:rsidR="00D57052">
        <w:rPr>
          <w:rStyle w:val="normaltextrun"/>
          <w:rFonts w:ascii="Garamond" w:hAnsi="Garamond" w:cs="Segoe UI"/>
        </w:rPr>
        <w:t>overrule</w:t>
      </w:r>
      <w:r w:rsidR="002927C2">
        <w:rPr>
          <w:rStyle w:val="normaltextrun"/>
          <w:rFonts w:ascii="Garamond" w:hAnsi="Garamond" w:cs="Segoe UI"/>
        </w:rPr>
        <w:t>d</w:t>
      </w:r>
      <w:r w:rsidR="00D57052">
        <w:rPr>
          <w:rStyle w:val="normaltextrun"/>
          <w:rFonts w:ascii="Garamond" w:hAnsi="Garamond" w:cs="Segoe UI"/>
        </w:rPr>
        <w:t xml:space="preserve"> these precedents</w:t>
      </w:r>
      <w:r w:rsidRPr="00376FFD">
        <w:rPr>
          <w:rStyle w:val="normaltextrun"/>
          <w:rFonts w:ascii="Garamond" w:hAnsi="Garamond" w:cs="Segoe UI"/>
        </w:rPr>
        <w:t>? </w:t>
      </w:r>
    </w:p>
    <w:p w14:paraId="43AB522A" w14:textId="03E9A878" w:rsidR="00A050E5" w:rsidRDefault="00A050E5" w:rsidP="000D4432">
      <w:pPr>
        <w:pStyle w:val="paragraph"/>
        <w:numPr>
          <w:ilvl w:val="0"/>
          <w:numId w:val="27"/>
        </w:numPr>
        <w:spacing w:before="0" w:beforeAutospacing="0" w:after="1800" w:afterAutospacing="0" w:line="276" w:lineRule="auto"/>
        <w:ind w:left="360"/>
        <w:textAlignment w:val="baseline"/>
        <w:rPr>
          <w:rStyle w:val="eop"/>
          <w:rFonts w:ascii="Garamond" w:hAnsi="Garamond" w:cs="Segoe UI"/>
        </w:rPr>
      </w:pPr>
      <w:r w:rsidRPr="00376FFD">
        <w:rPr>
          <w:rStyle w:val="normaltextrun"/>
          <w:rFonts w:ascii="Garamond" w:hAnsi="Garamond" w:cs="Segoe UI"/>
        </w:rPr>
        <w:t xml:space="preserve">What </w:t>
      </w:r>
      <w:r w:rsidR="002927C2">
        <w:rPr>
          <w:rStyle w:val="normaltextrun"/>
          <w:rFonts w:ascii="Garamond" w:hAnsi="Garamond" w:cs="Segoe UI"/>
        </w:rPr>
        <w:t>do you think</w:t>
      </w:r>
      <w:r w:rsidR="002927C2" w:rsidRPr="00376FFD">
        <w:rPr>
          <w:rStyle w:val="normaltextrun"/>
          <w:rFonts w:ascii="Garamond" w:hAnsi="Garamond" w:cs="Segoe UI"/>
        </w:rPr>
        <w:t xml:space="preserve"> </w:t>
      </w:r>
      <w:r w:rsidRPr="00376FFD">
        <w:rPr>
          <w:rStyle w:val="normaltextrun"/>
          <w:rFonts w:ascii="Garamond" w:hAnsi="Garamond" w:cs="Segoe UI"/>
        </w:rPr>
        <w:t xml:space="preserve">made </w:t>
      </w:r>
      <w:r w:rsidR="00376FFD" w:rsidRPr="00376FFD">
        <w:rPr>
          <w:rStyle w:val="normaltextrun"/>
          <w:rFonts w:ascii="Garamond" w:hAnsi="Garamond" w:cs="Segoe UI"/>
        </w:rPr>
        <w:t xml:space="preserve">them </w:t>
      </w:r>
      <w:r w:rsidR="000E39F8">
        <w:rPr>
          <w:rStyle w:val="normaltextrun"/>
          <w:rFonts w:ascii="Garamond" w:hAnsi="Garamond" w:cs="Segoe UI"/>
        </w:rPr>
        <w:t>exception</w:t>
      </w:r>
      <w:r w:rsidR="003E75FF">
        <w:rPr>
          <w:rStyle w:val="normaltextrun"/>
          <w:rFonts w:ascii="Garamond" w:hAnsi="Garamond" w:cs="Segoe UI"/>
        </w:rPr>
        <w:t>s</w:t>
      </w:r>
      <w:r w:rsidR="000E39F8">
        <w:rPr>
          <w:rStyle w:val="normaltextrun"/>
          <w:rFonts w:ascii="Garamond" w:hAnsi="Garamond" w:cs="Segoe UI"/>
        </w:rPr>
        <w:t xml:space="preserve"> </w:t>
      </w:r>
      <w:r w:rsidR="006E06F1">
        <w:rPr>
          <w:rStyle w:val="normaltextrun"/>
          <w:rFonts w:ascii="Garamond" w:hAnsi="Garamond" w:cs="Segoe UI"/>
        </w:rPr>
        <w:t xml:space="preserve">to the principle of </w:t>
      </w:r>
      <w:r w:rsidR="000E39F8" w:rsidRPr="000E39F8">
        <w:rPr>
          <w:rStyle w:val="normaltextrun"/>
          <w:rFonts w:ascii="Garamond" w:hAnsi="Garamond" w:cs="Segoe UI"/>
          <w:i/>
          <w:iCs/>
        </w:rPr>
        <w:t>stare decisis</w:t>
      </w:r>
      <w:r w:rsidRPr="00376FFD">
        <w:rPr>
          <w:rStyle w:val="normaltextrun"/>
          <w:rFonts w:ascii="Garamond" w:hAnsi="Garamond" w:cs="Segoe UI"/>
        </w:rPr>
        <w:t>?</w:t>
      </w:r>
      <w:r w:rsidRPr="00376FFD">
        <w:rPr>
          <w:rStyle w:val="eop"/>
          <w:rFonts w:ascii="Garamond" w:hAnsi="Garamond" w:cs="Segoe UI"/>
        </w:rPr>
        <w:t> </w:t>
      </w:r>
    </w:p>
    <w:p w14:paraId="4CFC3D7E" w14:textId="396B3A0A" w:rsidR="000D4432" w:rsidRDefault="000E0AAB" w:rsidP="000D4432">
      <w:pPr>
        <w:pStyle w:val="paragraph"/>
        <w:numPr>
          <w:ilvl w:val="0"/>
          <w:numId w:val="27"/>
        </w:numPr>
        <w:spacing w:before="0" w:beforeAutospacing="0" w:after="1800" w:afterAutospacing="0" w:line="276" w:lineRule="auto"/>
        <w:ind w:left="360"/>
        <w:textAlignment w:val="baseline"/>
        <w:rPr>
          <w:rStyle w:val="eop"/>
          <w:rFonts w:ascii="Garamond" w:hAnsi="Garamond" w:cs="Segoe UI"/>
        </w:rPr>
      </w:pPr>
      <w:r w:rsidRPr="009B43AA">
        <w:rPr>
          <w:rStyle w:val="normaltextrun"/>
          <w:rFonts w:ascii="Garamond" w:hAnsi="Garamond" w:cs="Segoe UI"/>
        </w:rPr>
        <w:t>Do you think</w:t>
      </w:r>
      <w:r w:rsidR="00A050E5" w:rsidRPr="009B43AA">
        <w:rPr>
          <w:rStyle w:val="normaltextrun"/>
          <w:rFonts w:ascii="Garamond" w:hAnsi="Garamond" w:cs="Segoe UI"/>
        </w:rPr>
        <w:t xml:space="preserve"> the Supreme Court</w:t>
      </w:r>
      <w:r w:rsidRPr="009B43AA">
        <w:rPr>
          <w:rStyle w:val="normaltextrun"/>
          <w:rFonts w:ascii="Garamond" w:hAnsi="Garamond" w:cs="Segoe UI"/>
        </w:rPr>
        <w:t xml:space="preserve"> was</w:t>
      </w:r>
      <w:r w:rsidR="00A050E5" w:rsidRPr="009B43AA">
        <w:rPr>
          <w:rStyle w:val="normaltextrun"/>
          <w:rFonts w:ascii="Garamond" w:hAnsi="Garamond" w:cs="Segoe UI"/>
        </w:rPr>
        <w:t xml:space="preserve"> right to </w:t>
      </w:r>
      <w:r w:rsidR="006E06F1" w:rsidRPr="009B43AA">
        <w:rPr>
          <w:rStyle w:val="normaltextrun"/>
          <w:rFonts w:ascii="Garamond" w:hAnsi="Garamond" w:cs="Segoe UI"/>
        </w:rPr>
        <w:t>overrule these precedents</w:t>
      </w:r>
      <w:r w:rsidR="00A050E5" w:rsidRPr="009B43AA">
        <w:rPr>
          <w:rStyle w:val="normaltextrun"/>
          <w:rFonts w:ascii="Garamond" w:hAnsi="Garamond" w:cs="Segoe UI"/>
        </w:rPr>
        <w:t xml:space="preserve">? For all of them? For </w:t>
      </w:r>
      <w:r w:rsidR="000253AC">
        <w:rPr>
          <w:rStyle w:val="normaltextrun"/>
          <w:rFonts w:ascii="Garamond" w:hAnsi="Garamond" w:cs="Segoe UI"/>
        </w:rPr>
        <w:t xml:space="preserve">only </w:t>
      </w:r>
      <w:r w:rsidR="00A050E5" w:rsidRPr="009B43AA">
        <w:rPr>
          <w:rStyle w:val="normaltextrun"/>
          <w:rFonts w:ascii="Garamond" w:hAnsi="Garamond" w:cs="Segoe UI"/>
        </w:rPr>
        <w:t xml:space="preserve">some </w:t>
      </w:r>
      <w:r w:rsidR="000253AC">
        <w:rPr>
          <w:rStyle w:val="normaltextrun"/>
          <w:rFonts w:ascii="Garamond" w:hAnsi="Garamond" w:cs="Segoe UI"/>
        </w:rPr>
        <w:t>of them?</w:t>
      </w:r>
      <w:r w:rsidR="00A050E5" w:rsidRPr="009B43AA">
        <w:rPr>
          <w:rStyle w:val="eop"/>
          <w:rFonts w:ascii="Garamond" w:hAnsi="Garamond" w:cs="Segoe UI"/>
        </w:rPr>
        <w:t> </w:t>
      </w:r>
      <w:r w:rsidR="006E06F1" w:rsidRPr="009B43AA">
        <w:rPr>
          <w:rStyle w:val="eop"/>
          <w:rFonts w:ascii="Garamond" w:hAnsi="Garamond" w:cs="Segoe UI"/>
        </w:rPr>
        <w:t>Explain.</w:t>
      </w:r>
      <w:r w:rsidR="000D4432">
        <w:rPr>
          <w:rStyle w:val="eop"/>
          <w:rFonts w:ascii="Garamond" w:hAnsi="Garamond" w:cs="Segoe UI"/>
        </w:rPr>
        <w:br w:type="page"/>
      </w:r>
    </w:p>
    <w:p w14:paraId="4285C9F9" w14:textId="24985AC3" w:rsidR="002C2D28" w:rsidRPr="003303D2" w:rsidRDefault="00366B5C" w:rsidP="005F7EB1">
      <w:pPr>
        <w:spacing w:before="360" w:after="120" w:line="276" w:lineRule="auto"/>
        <w:rPr>
          <w:rFonts w:ascii="Gill Sans MT" w:hAnsi="Gill Sans MT"/>
          <w:b/>
          <w:bCs/>
          <w:sz w:val="36"/>
          <w:szCs w:val="36"/>
        </w:rPr>
      </w:pPr>
      <w:r w:rsidRPr="003303D2">
        <w:rPr>
          <w:rFonts w:ascii="Gill Sans MT" w:hAnsi="Gill Sans MT"/>
          <w:b/>
          <w:bCs/>
          <w:sz w:val="28"/>
          <w:szCs w:val="28"/>
        </w:rPr>
        <w:lastRenderedPageBreak/>
        <w:t xml:space="preserve">Part Four: </w:t>
      </w:r>
      <w:r w:rsidR="002C2D28" w:rsidRPr="003303D2">
        <w:rPr>
          <w:rFonts w:ascii="Gill Sans MT" w:hAnsi="Gill Sans MT"/>
          <w:b/>
          <w:bCs/>
          <w:sz w:val="28"/>
          <w:szCs w:val="28"/>
        </w:rPr>
        <w:t>Criteria for Overruling</w:t>
      </w:r>
      <w:r w:rsidR="0054161C" w:rsidRPr="003303D2">
        <w:rPr>
          <w:rFonts w:ascii="Gill Sans MT" w:hAnsi="Gill Sans MT"/>
          <w:b/>
          <w:bCs/>
          <w:sz w:val="28"/>
          <w:szCs w:val="28"/>
        </w:rPr>
        <w:t xml:space="preserve"> Precedents</w:t>
      </w:r>
    </w:p>
    <w:p w14:paraId="3CBD6398" w14:textId="3A1B0AE4" w:rsidR="00252DCA" w:rsidRDefault="00D222D1" w:rsidP="005F7EB1">
      <w:pPr>
        <w:spacing w:after="120" w:line="276" w:lineRule="auto"/>
        <w:rPr>
          <w:rFonts w:ascii="Garamond" w:hAnsi="Garamond"/>
          <w:bCs/>
          <w:sz w:val="24"/>
          <w:szCs w:val="24"/>
        </w:rPr>
      </w:pPr>
      <w:r w:rsidRPr="005F7EB1">
        <w:rPr>
          <w:rFonts w:ascii="Garamond" w:hAnsi="Garamond"/>
          <w:bCs/>
          <w:i/>
          <w:iCs/>
          <w:sz w:val="24"/>
          <w:szCs w:val="24"/>
        </w:rPr>
        <w:t>S</w:t>
      </w:r>
      <w:r w:rsidR="00FD361F" w:rsidRPr="00FD361F">
        <w:rPr>
          <w:rFonts w:ascii="Garamond" w:hAnsi="Garamond"/>
          <w:bCs/>
          <w:i/>
          <w:iCs/>
          <w:sz w:val="24"/>
          <w:szCs w:val="24"/>
        </w:rPr>
        <w:t>tare decisis</w:t>
      </w:r>
      <w:r w:rsidR="00FD361F" w:rsidRPr="00FD361F">
        <w:rPr>
          <w:rFonts w:ascii="Garamond" w:hAnsi="Garamond"/>
          <w:bCs/>
          <w:sz w:val="24"/>
          <w:szCs w:val="24"/>
        </w:rPr>
        <w:t xml:space="preserve"> promotes stability and predictability. </w:t>
      </w:r>
      <w:r w:rsidR="00FD361F" w:rsidRPr="00FD361F">
        <w:rPr>
          <w:rFonts w:ascii="Garamond" w:hAnsi="Garamond"/>
          <w:sz w:val="24"/>
          <w:szCs w:val="24"/>
        </w:rPr>
        <w:t>Because adhering to precedent is the norm, “to overrule a constitutional precedent, the Court requires something over and above the belief that the precedent was wrongly decided.”</w:t>
      </w:r>
      <w:r w:rsidR="00FD361F" w:rsidRPr="00FD361F">
        <w:rPr>
          <w:rStyle w:val="EndnoteReference"/>
          <w:rFonts w:ascii="Garamond" w:hAnsi="Garamond"/>
          <w:sz w:val="24"/>
          <w:szCs w:val="24"/>
        </w:rPr>
        <w:endnoteReference w:id="1"/>
      </w:r>
      <w:r w:rsidR="00FD361F" w:rsidRPr="00FD361F">
        <w:rPr>
          <w:rFonts w:ascii="Garamond" w:hAnsi="Garamond"/>
          <w:sz w:val="24"/>
          <w:szCs w:val="24"/>
        </w:rPr>
        <w:t xml:space="preserve"> </w:t>
      </w:r>
      <w:r w:rsidR="00FD361F" w:rsidRPr="00FD361F">
        <w:rPr>
          <w:rFonts w:ascii="Garamond" w:hAnsi="Garamond"/>
          <w:bCs/>
          <w:sz w:val="24"/>
          <w:szCs w:val="24"/>
        </w:rPr>
        <w:t xml:space="preserve">Historically, when deciding whether to overrule a precedent, the Supreme Court has considered various factors, including: </w:t>
      </w:r>
    </w:p>
    <w:p w14:paraId="541767AE" w14:textId="77777777" w:rsidR="00252DCA" w:rsidRDefault="00FD361F" w:rsidP="005F7EB1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="Garamond" w:hAnsi="Garamond"/>
          <w:bCs/>
          <w:sz w:val="24"/>
          <w:szCs w:val="24"/>
        </w:rPr>
      </w:pPr>
      <w:r w:rsidRPr="00252DCA">
        <w:rPr>
          <w:rFonts w:ascii="Garamond" w:hAnsi="Garamond"/>
          <w:bCs/>
          <w:sz w:val="24"/>
          <w:szCs w:val="24"/>
        </w:rPr>
        <w:t xml:space="preserve">the quality of the past decision’s reasoning, </w:t>
      </w:r>
    </w:p>
    <w:p w14:paraId="662D77FF" w14:textId="0E1C0069" w:rsidR="00252DCA" w:rsidRDefault="00FD361F" w:rsidP="005F7EB1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="Garamond" w:hAnsi="Garamond"/>
          <w:bCs/>
          <w:sz w:val="24"/>
          <w:szCs w:val="24"/>
        </w:rPr>
      </w:pPr>
      <w:r w:rsidRPr="00252DCA">
        <w:rPr>
          <w:rFonts w:ascii="Garamond" w:hAnsi="Garamond"/>
          <w:bCs/>
          <w:sz w:val="24"/>
          <w:szCs w:val="24"/>
        </w:rPr>
        <w:t>whether the</w:t>
      </w:r>
      <w:r w:rsidR="006E06F1">
        <w:rPr>
          <w:rFonts w:ascii="Garamond" w:hAnsi="Garamond"/>
          <w:bCs/>
          <w:sz w:val="24"/>
          <w:szCs w:val="24"/>
        </w:rPr>
        <w:t xml:space="preserve"> past </w:t>
      </w:r>
      <w:r w:rsidRPr="00252DCA">
        <w:rPr>
          <w:rFonts w:ascii="Garamond" w:hAnsi="Garamond"/>
          <w:bCs/>
          <w:sz w:val="24"/>
          <w:szCs w:val="24"/>
        </w:rPr>
        <w:t xml:space="preserve">decision is “unworkable” (meaning it has proven too difficult for lower courts to apply), </w:t>
      </w:r>
    </w:p>
    <w:p w14:paraId="2687C2C0" w14:textId="2AEC670C" w:rsidR="00252DCA" w:rsidRDefault="00FD361F" w:rsidP="005F7EB1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="Garamond" w:hAnsi="Garamond"/>
          <w:bCs/>
          <w:sz w:val="24"/>
          <w:szCs w:val="24"/>
        </w:rPr>
      </w:pPr>
      <w:r w:rsidRPr="00252DCA">
        <w:rPr>
          <w:rFonts w:ascii="Garamond" w:hAnsi="Garamond"/>
          <w:bCs/>
          <w:sz w:val="24"/>
          <w:szCs w:val="24"/>
        </w:rPr>
        <w:t xml:space="preserve">changes in relevant facts and societal norms, </w:t>
      </w:r>
      <w:r w:rsidR="003E1C52">
        <w:rPr>
          <w:rFonts w:ascii="Garamond" w:hAnsi="Garamond"/>
          <w:bCs/>
          <w:sz w:val="24"/>
          <w:szCs w:val="24"/>
        </w:rPr>
        <w:t>and</w:t>
      </w:r>
    </w:p>
    <w:p w14:paraId="23215926" w14:textId="7EC39E92" w:rsidR="00FD361F" w:rsidRPr="00252DCA" w:rsidRDefault="00D5153A" w:rsidP="005F7EB1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="Garamond" w:hAnsi="Garamond"/>
          <w:bCs/>
          <w:sz w:val="24"/>
          <w:szCs w:val="24"/>
        </w:rPr>
      </w:pPr>
      <w:r w:rsidRPr="00252DCA">
        <w:rPr>
          <w:rFonts w:ascii="Garamond" w:hAnsi="Garamond"/>
          <w:bCs/>
          <w:sz w:val="24"/>
          <w:szCs w:val="24"/>
        </w:rPr>
        <w:t>reliance</w:t>
      </w:r>
      <w:r w:rsidR="004E3C36">
        <w:rPr>
          <w:rFonts w:ascii="Garamond" w:hAnsi="Garamond"/>
          <w:bCs/>
          <w:sz w:val="24"/>
          <w:szCs w:val="24"/>
        </w:rPr>
        <w:t xml:space="preserve"> or </w:t>
      </w:r>
      <w:r w:rsidR="00FD361F" w:rsidRPr="00252DCA">
        <w:rPr>
          <w:rFonts w:ascii="Garamond" w:hAnsi="Garamond"/>
          <w:bCs/>
          <w:sz w:val="24"/>
          <w:szCs w:val="24"/>
        </w:rPr>
        <w:t xml:space="preserve">whether individuals and companies who have come to rely on the decision would be harmed by overruling it. </w:t>
      </w:r>
    </w:p>
    <w:p w14:paraId="344BAF26" w14:textId="13E027D3" w:rsidR="00AA3E7E" w:rsidRDefault="00436395" w:rsidP="005F7EB1">
      <w:pPr>
        <w:pStyle w:val="paragraph"/>
        <w:spacing w:before="0" w:beforeAutospacing="0" w:after="120" w:afterAutospacing="0" w:line="276" w:lineRule="auto"/>
        <w:textAlignment w:val="baseline"/>
        <w:rPr>
          <w:rStyle w:val="eop"/>
          <w:rFonts w:ascii="Garamond" w:hAnsi="Garamond" w:cs="Segoe UI"/>
        </w:rPr>
      </w:pPr>
      <w:r>
        <w:rPr>
          <w:rFonts w:ascii="Garamond" w:hAnsi="Garamond" w:cs="Segoe UI"/>
        </w:rPr>
        <w:t xml:space="preserve">In 2022, </w:t>
      </w:r>
      <w:r w:rsidR="00A9652E" w:rsidRPr="00946746">
        <w:rPr>
          <w:rStyle w:val="normaltextrun"/>
          <w:rFonts w:ascii="Garamond" w:hAnsi="Garamond" w:cs="Segoe UI"/>
          <w:i/>
          <w:iCs/>
        </w:rPr>
        <w:t>Dobbs v. Jackson Women’s Health Organization</w:t>
      </w:r>
      <w:r w:rsidR="00A9652E" w:rsidRPr="00A9652E">
        <w:rPr>
          <w:rStyle w:val="cf01"/>
          <w:rFonts w:ascii="Garamond" w:hAnsi="Garamond"/>
          <w:sz w:val="24"/>
          <w:szCs w:val="24"/>
        </w:rPr>
        <w:t xml:space="preserve"> </w:t>
      </w:r>
      <w:r w:rsidRPr="00A9652E">
        <w:rPr>
          <w:rStyle w:val="cf01"/>
          <w:rFonts w:ascii="Garamond" w:hAnsi="Garamond"/>
          <w:sz w:val="24"/>
          <w:szCs w:val="24"/>
        </w:rPr>
        <w:t xml:space="preserve">overruled several prior decisions, including </w:t>
      </w:r>
      <w:r w:rsidRPr="00A9652E">
        <w:rPr>
          <w:rStyle w:val="cf01"/>
          <w:rFonts w:ascii="Garamond" w:hAnsi="Garamond"/>
          <w:i/>
          <w:iCs/>
          <w:sz w:val="24"/>
          <w:szCs w:val="24"/>
        </w:rPr>
        <w:t>Roe v. Wade</w:t>
      </w:r>
      <w:r w:rsidR="00BB48DA">
        <w:rPr>
          <w:rStyle w:val="cf01"/>
          <w:rFonts w:ascii="Garamond" w:hAnsi="Garamond"/>
          <w:sz w:val="24"/>
          <w:szCs w:val="24"/>
        </w:rPr>
        <w:t xml:space="preserve"> (1973)</w:t>
      </w:r>
      <w:r w:rsidR="00C93EBD">
        <w:rPr>
          <w:rStyle w:val="cf01"/>
          <w:rFonts w:ascii="Garamond" w:hAnsi="Garamond"/>
          <w:sz w:val="24"/>
          <w:szCs w:val="24"/>
        </w:rPr>
        <w:t>,</w:t>
      </w:r>
      <w:r w:rsidRPr="00A9652E">
        <w:rPr>
          <w:rStyle w:val="cf01"/>
          <w:rFonts w:ascii="Garamond" w:hAnsi="Garamond"/>
          <w:sz w:val="24"/>
          <w:szCs w:val="24"/>
        </w:rPr>
        <w:t xml:space="preserve"> that had established a constitutional right to abortion.</w:t>
      </w:r>
      <w:r>
        <w:rPr>
          <w:rStyle w:val="cf01"/>
        </w:rPr>
        <w:t xml:space="preserve"> </w:t>
      </w:r>
      <w:r w:rsidR="00AA3E7E">
        <w:rPr>
          <w:rFonts w:ascii="Garamond" w:hAnsi="Garamond" w:cs="Segoe UI"/>
        </w:rPr>
        <w:t>In</w:t>
      </w:r>
      <w:r w:rsidR="00D33B6B">
        <w:rPr>
          <w:rFonts w:ascii="Garamond" w:hAnsi="Garamond" w:cs="Segoe UI"/>
        </w:rPr>
        <w:t xml:space="preserve"> </w:t>
      </w:r>
      <w:r w:rsidR="00D33B6B">
        <w:rPr>
          <w:rStyle w:val="eop"/>
          <w:rFonts w:ascii="Garamond" w:hAnsi="Garamond" w:cs="Segoe UI"/>
        </w:rPr>
        <w:t xml:space="preserve">in the </w:t>
      </w:r>
      <w:r w:rsidR="000A2173">
        <w:rPr>
          <w:rStyle w:val="eop"/>
          <w:rFonts w:ascii="Garamond" w:hAnsi="Garamond" w:cs="Segoe UI"/>
        </w:rPr>
        <w:t>majority opinion</w:t>
      </w:r>
      <w:r w:rsidR="00D33B6B">
        <w:rPr>
          <w:rStyle w:val="EndnoteReference"/>
          <w:rFonts w:ascii="Garamond" w:hAnsi="Garamond" w:cs="Segoe UI"/>
        </w:rPr>
        <w:endnoteReference w:id="2"/>
      </w:r>
      <w:r w:rsidR="00D33B6B">
        <w:rPr>
          <w:rStyle w:val="eop"/>
          <w:rFonts w:ascii="Garamond" w:hAnsi="Garamond" w:cs="Segoe UI"/>
        </w:rPr>
        <w:t xml:space="preserve"> of</w:t>
      </w:r>
      <w:r w:rsidR="00AA3E7E">
        <w:rPr>
          <w:rFonts w:ascii="Garamond" w:hAnsi="Garamond" w:cs="Segoe UI"/>
        </w:rPr>
        <w:t xml:space="preserve"> </w:t>
      </w:r>
      <w:r w:rsidR="00AA3E7E" w:rsidRPr="00946746">
        <w:rPr>
          <w:rStyle w:val="normaltextrun"/>
          <w:rFonts w:ascii="Garamond" w:hAnsi="Garamond" w:cs="Segoe UI"/>
          <w:i/>
          <w:iCs/>
        </w:rPr>
        <w:t>Dobbs v. Jackson Women’s Health Organization</w:t>
      </w:r>
      <w:r w:rsidR="00AA3E7E" w:rsidRPr="00946746">
        <w:rPr>
          <w:rStyle w:val="normaltextrun"/>
          <w:rFonts w:ascii="Garamond" w:hAnsi="Garamond" w:cs="Segoe UI"/>
        </w:rPr>
        <w:t xml:space="preserve"> (2022)</w:t>
      </w:r>
      <w:r w:rsidR="00394834" w:rsidRPr="00946746">
        <w:rPr>
          <w:rStyle w:val="eop"/>
          <w:rFonts w:ascii="Garamond" w:hAnsi="Garamond" w:cs="Segoe UI"/>
        </w:rPr>
        <w:t>,</w:t>
      </w:r>
      <w:r w:rsidR="00394834">
        <w:rPr>
          <w:rStyle w:val="eop"/>
          <w:rFonts w:ascii="Garamond" w:hAnsi="Garamond" w:cs="Segoe UI"/>
        </w:rPr>
        <w:t xml:space="preserve"> Justice </w:t>
      </w:r>
      <w:r w:rsidR="000A2173">
        <w:rPr>
          <w:rStyle w:val="eop"/>
          <w:rFonts w:ascii="Garamond" w:hAnsi="Garamond" w:cs="Segoe UI"/>
        </w:rPr>
        <w:t xml:space="preserve">Samuel </w:t>
      </w:r>
      <w:r w:rsidR="00394834">
        <w:rPr>
          <w:rStyle w:val="eop"/>
          <w:rFonts w:ascii="Garamond" w:hAnsi="Garamond" w:cs="Segoe UI"/>
        </w:rPr>
        <w:t>Alito wrote</w:t>
      </w:r>
      <w:r w:rsidR="007C3404">
        <w:rPr>
          <w:rStyle w:val="eop"/>
          <w:rFonts w:ascii="Garamond" w:hAnsi="Garamond" w:cs="Segoe UI"/>
        </w:rPr>
        <w:t xml:space="preserve"> the following about the importance of </w:t>
      </w:r>
      <w:r w:rsidR="007C3404" w:rsidRPr="00946746">
        <w:rPr>
          <w:rStyle w:val="eop"/>
          <w:rFonts w:ascii="Garamond" w:hAnsi="Garamond" w:cs="Segoe UI"/>
          <w:i/>
          <w:iCs/>
        </w:rPr>
        <w:t>stare decisis</w:t>
      </w:r>
      <w:r w:rsidR="007C3404">
        <w:rPr>
          <w:rStyle w:val="eop"/>
          <w:rFonts w:ascii="Garamond" w:hAnsi="Garamond" w:cs="Segoe UI"/>
        </w:rPr>
        <w:t xml:space="preserve"> and </w:t>
      </w:r>
      <w:r w:rsidR="00F367DC">
        <w:rPr>
          <w:rStyle w:val="eop"/>
          <w:rFonts w:ascii="Garamond" w:hAnsi="Garamond" w:cs="Segoe UI"/>
        </w:rPr>
        <w:t xml:space="preserve">listed </w:t>
      </w:r>
      <w:r w:rsidR="000A2173">
        <w:rPr>
          <w:rStyle w:val="eop"/>
          <w:rFonts w:ascii="Garamond" w:hAnsi="Garamond" w:cs="Segoe UI"/>
        </w:rPr>
        <w:t xml:space="preserve">five </w:t>
      </w:r>
      <w:r w:rsidR="00F367DC">
        <w:rPr>
          <w:rStyle w:val="eop"/>
          <w:rFonts w:ascii="Garamond" w:hAnsi="Garamond" w:cs="Segoe UI"/>
        </w:rPr>
        <w:t>factors</w:t>
      </w:r>
      <w:r w:rsidR="00D33B6B">
        <w:rPr>
          <w:rStyle w:val="eop"/>
          <w:rFonts w:ascii="Garamond" w:hAnsi="Garamond" w:cs="Segoe UI"/>
        </w:rPr>
        <w:t xml:space="preserve"> that should be considered</w:t>
      </w:r>
      <w:r w:rsidR="00A979B8">
        <w:rPr>
          <w:rStyle w:val="eop"/>
          <w:rFonts w:ascii="Garamond" w:hAnsi="Garamond" w:cs="Segoe UI"/>
        </w:rPr>
        <w:t>:</w:t>
      </w:r>
    </w:p>
    <w:tbl>
      <w:tblPr>
        <w:tblStyle w:val="TableGrid"/>
        <w:tblW w:w="45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15"/>
      </w:tblGrid>
      <w:tr w:rsidR="00E63D69" w14:paraId="4490E799" w14:textId="77777777" w:rsidTr="00E63D69">
        <w:trPr>
          <w:jc w:val="center"/>
        </w:trPr>
        <w:tc>
          <w:tcPr>
            <w:tcW w:w="9350" w:type="dxa"/>
            <w:shd w:val="clear" w:color="auto" w:fill="F2F2F2" w:themeFill="background1" w:themeFillShade="F2"/>
          </w:tcPr>
          <w:p w14:paraId="1EA456EE" w14:textId="77777777" w:rsidR="00E63D69" w:rsidRPr="00C14955" w:rsidRDefault="00E63D69" w:rsidP="00E63D69">
            <w:pPr>
              <w:spacing w:before="120"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sz w:val="24"/>
                <w:szCs w:val="24"/>
              </w:rPr>
              <w:t xml:space="preserve">The doctrine of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stare decisis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does not counsel continued acceptance of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Roe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and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 xml:space="preserve"> Casey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Stare decisis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plays an important role and protects the interests of those who have taken action in reliance on a past decision.  It “reduces incentives for challenging settled precedents, saving parties and courts the expense of endless relitigation</w:t>
            </w:r>
            <w:r>
              <w:rPr>
                <w:rFonts w:ascii="Garamond" w:hAnsi="Garamond"/>
                <w:sz w:val="24"/>
                <w:szCs w:val="24"/>
              </w:rPr>
              <w:t xml:space="preserve"> [taking a case to court more than one time]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.”…  It “contributes to the actual and perceived integrity of the judicial process.”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…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 And it restrains judicial hubris by respecting the judgment of those who grappled with important questions in the past.  But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stare decisis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is not an inexorable command… and “is at its weakest when [the Court] interpret[s] the Constitution,”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..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.  Some of the Court’s most important constitutional decisions have overruled prior precedents.  See, e.g.,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 xml:space="preserve">Brown v. Board of Education… 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overruling the infamous decision in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Plessy v. Ferguson</w:t>
            </w:r>
            <w:r>
              <w:rPr>
                <w:rFonts w:ascii="Garamond" w:hAnsi="Garamond"/>
                <w:sz w:val="24"/>
                <w:szCs w:val="24"/>
              </w:rPr>
              <w:t>…</w:t>
            </w:r>
          </w:p>
          <w:p w14:paraId="21A7A71A" w14:textId="77777777" w:rsidR="00E63D69" w:rsidRPr="00C14955" w:rsidRDefault="00E63D69" w:rsidP="00E63D69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The Court’s cases have identified factors that should be considered in deciding when a precedent should be overruled.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…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7C26497" w14:textId="77777777" w:rsidR="00E63D69" w:rsidRPr="00C14955" w:rsidRDefault="00E63D69" w:rsidP="00E63D69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 xml:space="preserve">Five factors discussed below weigh strongly in favor of overruling </w:t>
            </w:r>
            <w:r w:rsidRPr="00C14955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Roe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..</w:t>
            </w: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799CE05" w14:textId="77777777" w:rsidR="00E63D69" w:rsidRPr="00C14955" w:rsidRDefault="00E63D69" w:rsidP="00E63D69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(1)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The nature of the Court’s error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. Like the infamous decision in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Plessy v. Ferguson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Roe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was also egregiously wrong and on a collision course with the Constitution from the day it was decided.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…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The Court short-circuited the democratic process by closing it to the large number of Americans who disagreed with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Roe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5B85879D" w14:textId="3368EE86" w:rsidR="00E63D69" w:rsidRPr="00C14955" w:rsidRDefault="00E63D69" w:rsidP="007A7D6D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(2) The quality of the reasoning.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Without any grounding in the constitutional text, history, or precedent,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 xml:space="preserve"> Roe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imposed on the entire country a detailed set of rules </w:t>
            </w:r>
            <w:r w:rsidRPr="00C14955">
              <w:rPr>
                <w:rFonts w:ascii="Garamond" w:hAnsi="Garamond"/>
                <w:sz w:val="24"/>
                <w:szCs w:val="24"/>
              </w:rPr>
              <w:lastRenderedPageBreak/>
              <w:t>for pregnancy divided into trimesters much like those that one might expect to find in a statute or regulation. …</w:t>
            </w:r>
          </w:p>
          <w:p w14:paraId="2CB08341" w14:textId="77777777" w:rsidR="00E63D69" w:rsidRPr="00C14955" w:rsidRDefault="00E63D69" w:rsidP="00E63D69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(3) Workability.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Deciding whether a precedent should be overruled depends in part on whether the rule it imposes is workable—that is, whether it can be understood and applied in a consistent and predictable manner. </w:t>
            </w:r>
          </w:p>
          <w:p w14:paraId="0AA819B3" w14:textId="77777777" w:rsidR="00E63D69" w:rsidRPr="00C14955" w:rsidRDefault="00E63D69" w:rsidP="00E63D69">
            <w:pPr>
              <w:spacing w:after="120" w:line="276" w:lineRule="auto"/>
              <w:ind w:left="162" w:right="216"/>
              <w:rPr>
                <w:rFonts w:ascii="Garamond" w:hAnsi="Garamond"/>
                <w:sz w:val="24"/>
                <w:szCs w:val="24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(4) Effect on other areas of law.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Roe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[has]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led to the distortion of many important but unrelated legal doctrines, and that effect provides further support for overruling those decisions. </w:t>
            </w:r>
          </w:p>
          <w:p w14:paraId="49C27860" w14:textId="381697BB" w:rsidR="00E63D69" w:rsidRDefault="00E63D69" w:rsidP="007A7D6D">
            <w:pPr>
              <w:spacing w:after="120" w:line="276" w:lineRule="auto"/>
              <w:ind w:left="162" w:right="216"/>
              <w:rPr>
                <w:rFonts w:ascii="Segoe UI" w:hAnsi="Segoe UI" w:cs="Segoe UI"/>
                <w:sz w:val="18"/>
                <w:szCs w:val="18"/>
              </w:rPr>
            </w:pPr>
            <w:r w:rsidRPr="00C14955">
              <w:rPr>
                <w:rFonts w:ascii="Garamond" w:hAnsi="Garamond"/>
                <w:b/>
                <w:bCs/>
                <w:sz w:val="24"/>
                <w:szCs w:val="24"/>
              </w:rPr>
              <w:t>(5) Reliance interests.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Overruling </w:t>
            </w:r>
            <w:r w:rsidRPr="00C14955">
              <w:rPr>
                <w:rFonts w:ascii="Garamond" w:hAnsi="Garamond"/>
                <w:i/>
                <w:iCs/>
                <w:sz w:val="24"/>
                <w:szCs w:val="24"/>
              </w:rPr>
              <w:t>Roe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…</w:t>
            </w:r>
            <w:r w:rsidRPr="00C14955">
              <w:rPr>
                <w:rFonts w:ascii="Garamond" w:hAnsi="Garamond"/>
                <w:sz w:val="24"/>
                <w:szCs w:val="24"/>
              </w:rPr>
              <w:t xml:space="preserve"> will not upend concrete reliance interests like those that develop in “cases involving property and contract rights.” </w:t>
            </w:r>
          </w:p>
        </w:tc>
      </w:tr>
    </w:tbl>
    <w:p w14:paraId="2177BD96" w14:textId="526C3EEA" w:rsidR="003349C6" w:rsidRPr="006C4A1A" w:rsidRDefault="003349C6" w:rsidP="005F7EB1">
      <w:pPr>
        <w:pStyle w:val="paragraph"/>
        <w:spacing w:before="360" w:beforeAutospacing="0" w:after="120" w:afterAutospacing="0" w:line="276" w:lineRule="auto"/>
        <w:textAlignment w:val="baseline"/>
        <w:rPr>
          <w:rStyle w:val="eop"/>
          <w:rFonts w:ascii="Gill Sans MT" w:hAnsi="Gill Sans MT" w:cs="Segoe UI"/>
          <w:b/>
          <w:bCs/>
          <w:i/>
          <w:iCs/>
          <w:sz w:val="20"/>
          <w:szCs w:val="20"/>
        </w:rPr>
      </w:pPr>
      <w:r w:rsidRPr="006C4A1A">
        <w:rPr>
          <w:rStyle w:val="normaltextrun"/>
          <w:rFonts w:ascii="Gill Sans MT" w:hAnsi="Gill Sans MT" w:cs="Segoe UI"/>
          <w:b/>
          <w:bCs/>
          <w:i/>
          <w:iCs/>
          <w:sz w:val="28"/>
          <w:szCs w:val="28"/>
        </w:rPr>
        <w:lastRenderedPageBreak/>
        <w:t>Question</w:t>
      </w:r>
      <w:r w:rsidR="004856E2">
        <w:rPr>
          <w:rStyle w:val="normaltextrun"/>
          <w:rFonts w:ascii="Gill Sans MT" w:hAnsi="Gill Sans MT" w:cs="Segoe UI"/>
          <w:b/>
          <w:bCs/>
          <w:i/>
          <w:iCs/>
          <w:sz w:val="28"/>
          <w:szCs w:val="28"/>
        </w:rPr>
        <w:t>s</w:t>
      </w:r>
      <w:r w:rsidRPr="006C4A1A">
        <w:rPr>
          <w:rStyle w:val="normaltextrun"/>
          <w:rFonts w:ascii="Gill Sans MT" w:hAnsi="Gill Sans MT" w:cs="Segoe UI"/>
          <w:b/>
          <w:bCs/>
          <w:i/>
          <w:iCs/>
          <w:sz w:val="28"/>
          <w:szCs w:val="28"/>
        </w:rPr>
        <w:t xml:space="preserve"> to Consider</w:t>
      </w:r>
    </w:p>
    <w:p w14:paraId="3A7D3602" w14:textId="31A73629" w:rsidR="00DB3BCF" w:rsidRDefault="00C4165A" w:rsidP="007A7D6D">
      <w:pPr>
        <w:pStyle w:val="paragraph"/>
        <w:numPr>
          <w:ilvl w:val="0"/>
          <w:numId w:val="35"/>
        </w:numPr>
        <w:spacing w:before="0" w:beforeAutospacing="0" w:after="1680" w:afterAutospacing="0" w:line="276" w:lineRule="auto"/>
        <w:ind w:left="360"/>
        <w:textAlignment w:val="baseline"/>
        <w:rPr>
          <w:rStyle w:val="eop"/>
          <w:rFonts w:ascii="Garamond" w:hAnsi="Garamond" w:cs="Segoe UI"/>
        </w:rPr>
      </w:pPr>
      <w:r>
        <w:rPr>
          <w:rStyle w:val="eop"/>
          <w:rFonts w:ascii="Garamond" w:hAnsi="Garamond" w:cs="Segoe UI"/>
        </w:rPr>
        <w:t xml:space="preserve">Which of the above </w:t>
      </w:r>
      <w:r w:rsidR="00DB3BCF">
        <w:rPr>
          <w:rStyle w:val="eop"/>
          <w:rFonts w:ascii="Garamond" w:hAnsi="Garamond" w:cs="Segoe UI"/>
        </w:rPr>
        <w:t xml:space="preserve">criteria </w:t>
      </w:r>
      <w:r>
        <w:rPr>
          <w:rStyle w:val="eop"/>
          <w:rFonts w:ascii="Garamond" w:hAnsi="Garamond" w:cs="Segoe UI"/>
        </w:rPr>
        <w:t xml:space="preserve">do you think </w:t>
      </w:r>
      <w:r w:rsidR="00DB3BCF">
        <w:rPr>
          <w:rStyle w:val="eop"/>
          <w:rFonts w:ascii="Garamond" w:hAnsi="Garamond" w:cs="Segoe UI"/>
        </w:rPr>
        <w:t>the Supreme Court</w:t>
      </w:r>
      <w:r>
        <w:rPr>
          <w:rStyle w:val="eop"/>
          <w:rFonts w:ascii="Garamond" w:hAnsi="Garamond" w:cs="Segoe UI"/>
        </w:rPr>
        <w:t xml:space="preserve"> should</w:t>
      </w:r>
      <w:r w:rsidR="00DB3BCF">
        <w:rPr>
          <w:rStyle w:val="eop"/>
          <w:rFonts w:ascii="Garamond" w:hAnsi="Garamond" w:cs="Segoe UI"/>
        </w:rPr>
        <w:t xml:space="preserve"> use when they consider whether to overrule a precedent?</w:t>
      </w:r>
    </w:p>
    <w:p w14:paraId="655F6BC3" w14:textId="060322E5" w:rsidR="00C4165A" w:rsidRDefault="00C4165A" w:rsidP="007A7D6D">
      <w:pPr>
        <w:pStyle w:val="paragraph"/>
        <w:numPr>
          <w:ilvl w:val="0"/>
          <w:numId w:val="35"/>
        </w:numPr>
        <w:spacing w:before="0" w:beforeAutospacing="0" w:after="1680" w:afterAutospacing="0" w:line="276" w:lineRule="auto"/>
        <w:ind w:left="360"/>
        <w:textAlignment w:val="baseline"/>
        <w:rPr>
          <w:rStyle w:val="eop"/>
          <w:rFonts w:ascii="Garamond" w:hAnsi="Garamond" w:cs="Segoe UI"/>
        </w:rPr>
      </w:pPr>
      <w:r>
        <w:rPr>
          <w:rStyle w:val="eop"/>
          <w:rFonts w:ascii="Garamond" w:hAnsi="Garamond" w:cs="Segoe UI"/>
        </w:rPr>
        <w:t>Which additional criteria do you think the Supreme Court should use when they consider whether to overrule a precedent?</w:t>
      </w:r>
    </w:p>
    <w:p w14:paraId="4956039B" w14:textId="6C316312" w:rsidR="004F795B" w:rsidRDefault="004F795B" w:rsidP="007A7D6D">
      <w:pPr>
        <w:pStyle w:val="paragraph"/>
        <w:numPr>
          <w:ilvl w:val="0"/>
          <w:numId w:val="35"/>
        </w:numPr>
        <w:spacing w:before="0" w:beforeAutospacing="0" w:after="1680" w:afterAutospacing="0" w:line="276" w:lineRule="auto"/>
        <w:ind w:left="360"/>
        <w:textAlignment w:val="baseline"/>
        <w:rPr>
          <w:rStyle w:val="eop"/>
          <w:rFonts w:ascii="Garamond" w:hAnsi="Garamond" w:cs="Segoe UI"/>
        </w:rPr>
      </w:pPr>
      <w:r>
        <w:rPr>
          <w:rStyle w:val="eop"/>
          <w:rFonts w:ascii="Garamond" w:hAnsi="Garamond" w:cs="Segoe UI"/>
        </w:rPr>
        <w:t>Are there any instances when the Supreme Court should never consider overruling precedent?</w:t>
      </w:r>
      <w:r w:rsidR="00957B05">
        <w:rPr>
          <w:rStyle w:val="eop"/>
          <w:rFonts w:ascii="Garamond" w:hAnsi="Garamond" w:cs="Segoe UI"/>
        </w:rPr>
        <w:t xml:space="preserve"> Explain.</w:t>
      </w:r>
    </w:p>
    <w:sectPr w:rsidR="004F795B" w:rsidSect="00CB26B0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FF64" w14:textId="77777777" w:rsidR="005A583D" w:rsidRDefault="005A583D" w:rsidP="007D3FC1">
      <w:pPr>
        <w:spacing w:after="0" w:line="240" w:lineRule="auto"/>
      </w:pPr>
      <w:r>
        <w:separator/>
      </w:r>
    </w:p>
  </w:endnote>
  <w:endnote w:type="continuationSeparator" w:id="0">
    <w:p w14:paraId="39E4C254" w14:textId="77777777" w:rsidR="005A583D" w:rsidRDefault="005A583D" w:rsidP="007D3FC1">
      <w:pPr>
        <w:spacing w:after="0" w:line="240" w:lineRule="auto"/>
      </w:pPr>
      <w:r>
        <w:continuationSeparator/>
      </w:r>
    </w:p>
  </w:endnote>
  <w:endnote w:id="1">
    <w:p w14:paraId="5165C9CB" w14:textId="77777777" w:rsidR="00FD361F" w:rsidRPr="007B1064" w:rsidRDefault="00FD361F" w:rsidP="00FD361F">
      <w:pPr>
        <w:pStyle w:val="EndnoteText"/>
        <w:spacing w:after="120"/>
      </w:pPr>
      <w:r w:rsidRPr="007B1064">
        <w:rPr>
          <w:rStyle w:val="EndnoteReference"/>
        </w:rPr>
        <w:endnoteRef/>
      </w:r>
      <w:r w:rsidRPr="007B1064">
        <w:t xml:space="preserve"> </w:t>
      </w:r>
      <w:r w:rsidRPr="007B1064">
        <w:rPr>
          <w:i/>
          <w:iCs/>
        </w:rPr>
        <w:t>Ramos v. Louisiana,</w:t>
      </w:r>
      <w:r w:rsidRPr="007B1064">
        <w:t xml:space="preserve"> 590 U.S. ___ (2020), </w:t>
      </w:r>
      <w:r w:rsidRPr="007B1064">
        <w:rPr>
          <w:bCs/>
        </w:rPr>
        <w:t xml:space="preserve">quoted in </w:t>
      </w:r>
      <w:r w:rsidRPr="007B1064">
        <w:rPr>
          <w:bCs/>
          <w:i/>
          <w:iCs/>
        </w:rPr>
        <w:t xml:space="preserve">Students for Fair Admissions Inc. v. University of North Carolina, </w:t>
      </w:r>
      <w:r w:rsidRPr="007B1064">
        <w:rPr>
          <w:bCs/>
        </w:rPr>
        <w:t>No. 21-707,</w:t>
      </w:r>
      <w:r w:rsidRPr="007B1064">
        <w:rPr>
          <w:bCs/>
          <w:i/>
          <w:iCs/>
        </w:rPr>
        <w:t xml:space="preserve"> </w:t>
      </w:r>
      <w:r w:rsidRPr="007B1064">
        <w:rPr>
          <w:rStyle w:val="cf01"/>
          <w:rFonts w:ascii="Garamond" w:hAnsi="Garamond"/>
          <w:sz w:val="20"/>
          <w:szCs w:val="20"/>
        </w:rPr>
        <w:t xml:space="preserve">Brief by University Respondents, July 25, 2022, </w:t>
      </w:r>
      <w:hyperlink r:id="rId1" w:history="1">
        <w:r w:rsidRPr="007B1064">
          <w:rPr>
            <w:rStyle w:val="Hyperlink"/>
            <w:rFonts w:cs="Segoe UI"/>
            <w:sz w:val="20"/>
          </w:rPr>
          <w:t>https://www.supremecourt.gov/DocketPDF/21/21-707/230779/20220725144111091_21-707_Response%20brief.pdf</w:t>
        </w:r>
      </w:hyperlink>
      <w:r w:rsidRPr="007B1064">
        <w:rPr>
          <w:rStyle w:val="cf01"/>
          <w:rFonts w:ascii="Garamond" w:hAnsi="Garamond"/>
          <w:color w:val="0000FF"/>
          <w:sz w:val="20"/>
          <w:szCs w:val="20"/>
          <w:u w:val="single"/>
        </w:rPr>
        <w:t>.</w:t>
      </w:r>
    </w:p>
  </w:endnote>
  <w:endnote w:id="2">
    <w:p w14:paraId="1AC7CCD3" w14:textId="1FF540FE" w:rsidR="00D33B6B" w:rsidRDefault="00D33B6B" w:rsidP="00D33B6B">
      <w:pPr>
        <w:pStyle w:val="EndnoteText"/>
      </w:pPr>
      <w:r w:rsidRPr="007B1064">
        <w:rPr>
          <w:rStyle w:val="EndnoteReference"/>
        </w:rPr>
        <w:endnoteRef/>
      </w:r>
      <w:r w:rsidRPr="007B1064">
        <w:t xml:space="preserve"> </w:t>
      </w:r>
      <w:r w:rsidRPr="007B1064">
        <w:rPr>
          <w:i/>
          <w:iCs/>
        </w:rPr>
        <w:t>Dobbs v. Jackson Women’s Health Organization</w:t>
      </w:r>
      <w:r>
        <w:rPr>
          <w:i/>
          <w:iCs/>
        </w:rPr>
        <w:t xml:space="preserve">, </w:t>
      </w:r>
      <w:r w:rsidRPr="002E5353">
        <w:t>597</w:t>
      </w:r>
      <w:r w:rsidR="00442E77">
        <w:t xml:space="preserve"> </w:t>
      </w:r>
      <w:r w:rsidRPr="002E5353">
        <w:t>U</w:t>
      </w:r>
      <w:r w:rsidR="00442E77">
        <w:t>.</w:t>
      </w:r>
      <w:r w:rsidRPr="002E5353">
        <w:t>S</w:t>
      </w:r>
      <w:r w:rsidR="00442E77">
        <w:t>.</w:t>
      </w:r>
      <w:r w:rsidR="00442E77" w:rsidRPr="007B1064">
        <w:t xml:space="preserve"> ___ </w:t>
      </w:r>
      <w:r w:rsidRPr="002E5353">
        <w:t>(2022),</w:t>
      </w:r>
      <w:r w:rsidRPr="007B1064">
        <w:t xml:space="preserve"> No. 19-1392, Opinion of the Court, June 24, 2022, </w:t>
      </w:r>
      <w:hyperlink r:id="rId2" w:tgtFrame="_blank" w:history="1">
        <w:r w:rsidRPr="007B1064">
          <w:rPr>
            <w:rStyle w:val="Hyperlink"/>
            <w:color w:val="1A0DAB"/>
            <w:sz w:val="20"/>
            <w:shd w:val="clear" w:color="auto" w:fill="FFFFFF"/>
          </w:rPr>
          <w:t>https://www.supremecourt.gov/opinions/21pdf/19-1392_6j37.pdf</w:t>
        </w:r>
      </w:hyperlink>
      <w:r w:rsidRPr="007B106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9992" w14:textId="792BDFB9" w:rsidR="00751C83" w:rsidRPr="00803920" w:rsidRDefault="004856E2">
    <w:pPr>
      <w:pStyle w:val="Footer"/>
      <w:rPr>
        <w:rFonts w:ascii="Garamond" w:hAnsi="Garamond"/>
      </w:rPr>
    </w:pPr>
    <w:sdt>
      <w:sdtPr>
        <w:rPr>
          <w:rFonts w:ascii="Garamond" w:hAnsi="Garamond"/>
        </w:rPr>
        <w:id w:val="930535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645FC" w:rsidRPr="008A3806">
          <w:rPr>
            <w:rFonts w:ascii="Garamond" w:hAnsi="Garamond" w:cstheme="minorHAnsi"/>
          </w:rPr>
          <w:t>©</w:t>
        </w:r>
        <w:r w:rsidR="005645FC" w:rsidRPr="008A3806">
          <w:rPr>
            <w:rFonts w:ascii="Garamond" w:hAnsi="Garamond"/>
          </w:rPr>
          <w:t xml:space="preserve"> 20</w:t>
        </w:r>
        <w:r w:rsidR="005645FC">
          <w:rPr>
            <w:rFonts w:ascii="Garamond" w:hAnsi="Garamond"/>
          </w:rPr>
          <w:t>2</w:t>
        </w:r>
        <w:r w:rsidR="00EF4B19">
          <w:rPr>
            <w:rFonts w:ascii="Garamond" w:hAnsi="Garamond"/>
          </w:rPr>
          <w:t>3</w:t>
        </w:r>
        <w:r w:rsidR="005645FC" w:rsidRPr="008A3806">
          <w:rPr>
            <w:rFonts w:ascii="Garamond" w:hAnsi="Garamond"/>
          </w:rPr>
          <w:t xml:space="preserve"> Street Law, Inc.</w:t>
        </w:r>
        <w:r w:rsidR="005645FC" w:rsidRPr="008A3806">
          <w:rPr>
            <w:rFonts w:ascii="Garamond" w:hAnsi="Garamond"/>
          </w:rPr>
          <w:tab/>
        </w:r>
        <w:r w:rsidR="005645FC" w:rsidRPr="008A3806">
          <w:rPr>
            <w:rFonts w:ascii="Garamond" w:hAnsi="Garamond"/>
          </w:rPr>
          <w:tab/>
          <w:t xml:space="preserve">  </w:t>
        </w:r>
        <w:r w:rsidR="005645FC" w:rsidRPr="008A3806">
          <w:rPr>
            <w:rFonts w:ascii="Garamond" w:hAnsi="Garamond"/>
          </w:rPr>
          <w:fldChar w:fldCharType="begin"/>
        </w:r>
        <w:r w:rsidR="005645FC" w:rsidRPr="008A3806">
          <w:rPr>
            <w:rFonts w:ascii="Garamond" w:hAnsi="Garamond"/>
          </w:rPr>
          <w:instrText xml:space="preserve"> PAGE   \* MERGEFORMAT </w:instrText>
        </w:r>
        <w:r w:rsidR="005645FC" w:rsidRPr="008A3806">
          <w:rPr>
            <w:rFonts w:ascii="Garamond" w:hAnsi="Garamond"/>
          </w:rPr>
          <w:fldChar w:fldCharType="separate"/>
        </w:r>
        <w:r w:rsidR="005645FC">
          <w:rPr>
            <w:rFonts w:ascii="Garamond" w:hAnsi="Garamond"/>
          </w:rPr>
          <w:t>1</w:t>
        </w:r>
        <w:r w:rsidR="005645FC" w:rsidRPr="008A3806">
          <w:rPr>
            <w:rFonts w:ascii="Garamond" w:hAnsi="Garamond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5165" w14:textId="28771707" w:rsidR="00CB26B0" w:rsidRPr="00CB26B0" w:rsidRDefault="004856E2">
    <w:pPr>
      <w:pStyle w:val="Footer"/>
      <w:rPr>
        <w:rFonts w:ascii="Garamond" w:hAnsi="Garamond"/>
      </w:rPr>
    </w:pPr>
    <w:sdt>
      <w:sdtPr>
        <w:rPr>
          <w:rFonts w:ascii="Garamond" w:hAnsi="Garamond"/>
        </w:rPr>
        <w:id w:val="-15810605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B0" w:rsidRPr="008A3806">
          <w:rPr>
            <w:rFonts w:ascii="Garamond" w:hAnsi="Garamond" w:cstheme="minorHAnsi"/>
          </w:rPr>
          <w:t>©</w:t>
        </w:r>
        <w:r w:rsidR="00CB26B0" w:rsidRPr="008A3806">
          <w:rPr>
            <w:rFonts w:ascii="Garamond" w:hAnsi="Garamond"/>
          </w:rPr>
          <w:t xml:space="preserve"> 20</w:t>
        </w:r>
        <w:r w:rsidR="00CB26B0">
          <w:rPr>
            <w:rFonts w:ascii="Garamond" w:hAnsi="Garamond"/>
          </w:rPr>
          <w:t>23</w:t>
        </w:r>
        <w:r w:rsidR="00CB26B0" w:rsidRPr="008A3806">
          <w:rPr>
            <w:rFonts w:ascii="Garamond" w:hAnsi="Garamond"/>
          </w:rPr>
          <w:t xml:space="preserve"> Street Law, Inc.</w:t>
        </w:r>
        <w:r w:rsidR="00CB26B0" w:rsidRPr="008A3806">
          <w:rPr>
            <w:rFonts w:ascii="Garamond" w:hAnsi="Garamond"/>
          </w:rPr>
          <w:tab/>
        </w:r>
        <w:r w:rsidR="00CB26B0" w:rsidRPr="008A3806">
          <w:rPr>
            <w:rFonts w:ascii="Garamond" w:hAnsi="Garamond"/>
          </w:rPr>
          <w:tab/>
          <w:t xml:space="preserve">  </w:t>
        </w:r>
        <w:r w:rsidR="003303D2">
          <w:rPr>
            <w:rFonts w:ascii="Garamond" w:hAnsi="Garamond"/>
          </w:rPr>
          <w:t>Last updated: 11/02/2023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3065" w14:textId="77777777" w:rsidR="005A583D" w:rsidRDefault="005A583D" w:rsidP="007D3FC1">
      <w:pPr>
        <w:spacing w:after="0" w:line="240" w:lineRule="auto"/>
      </w:pPr>
      <w:r>
        <w:separator/>
      </w:r>
    </w:p>
  </w:footnote>
  <w:footnote w:type="continuationSeparator" w:id="0">
    <w:p w14:paraId="319BF4F5" w14:textId="77777777" w:rsidR="005A583D" w:rsidRDefault="005A583D" w:rsidP="007D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1049" w14:textId="674D9C4B" w:rsidR="00FE78D4" w:rsidRDefault="00061A78" w:rsidP="00061A78">
    <w:pPr>
      <w:pStyle w:val="Header"/>
      <w:jc w:val="right"/>
    </w:pPr>
    <w:r w:rsidRPr="00EA3A9B">
      <w:rPr>
        <w:rFonts w:ascii="Garamond" w:hAnsi="Garamond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23491" wp14:editId="3D1784BB">
              <wp:simplePos x="0" y="0"/>
              <wp:positionH relativeFrom="column">
                <wp:posOffset>-209550</wp:posOffset>
              </wp:positionH>
              <wp:positionV relativeFrom="paragraph">
                <wp:posOffset>-171450</wp:posOffset>
              </wp:positionV>
              <wp:extent cx="2695575" cy="5429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34D1D" w14:textId="77777777" w:rsidR="00061A78" w:rsidRDefault="00061A78" w:rsidP="00061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77549" wp14:editId="6D2B45A9">
                                <wp:extent cx="1828800" cy="333590"/>
                                <wp:effectExtent l="0" t="0" r="0" b="9525"/>
                                <wp:docPr id="5" name="Picture 5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23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5pt;margin-top:-13.5pt;width:212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L7kWC3hAAAACgEAAA8AAAAAAAAAAAAA&#10;AAAAwwQAAGRycy9kb3ducmV2LnhtbFBLBQYAAAAABAAEAPMAAADRBQAAAAA=&#10;" filled="f" stroked="f" strokeweight=".5pt">
              <v:textbox>
                <w:txbxContent>
                  <w:p w14:paraId="44B34D1D" w14:textId="77777777" w:rsidR="00061A78" w:rsidRDefault="00061A78" w:rsidP="00061A78">
                    <w:r>
                      <w:rPr>
                        <w:noProof/>
                      </w:rPr>
                      <w:drawing>
                        <wp:inline distT="0" distB="0" distL="0" distR="0" wp14:anchorId="44077549" wp14:editId="6D2B45A9">
                          <wp:extent cx="1828800" cy="333590"/>
                          <wp:effectExtent l="0" t="0" r="0" b="9525"/>
                          <wp:docPr id="5" name="Picture 5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A3A9B" w:rsidRPr="00EA3A9B">
      <w:rPr>
        <w:rFonts w:ascii="Garamond" w:hAnsi="Garamond"/>
        <w:i/>
        <w:iCs/>
      </w:rPr>
      <w:t>Roe v. Wade</w:t>
    </w:r>
    <w:r w:rsidR="00CB26B0">
      <w:rPr>
        <w:rFonts w:ascii="Garamond" w:hAnsi="Garamond"/>
        <w:i/>
        <w:iCs/>
      </w:rPr>
      <w:t xml:space="preserve"> </w:t>
    </w:r>
    <w:r w:rsidR="00EA3A9B">
      <w:rPr>
        <w:rFonts w:ascii="Garamond" w:hAnsi="Garamond"/>
      </w:rPr>
      <w:t>/</w:t>
    </w:r>
    <w:r w:rsidR="00CB26B0">
      <w:rPr>
        <w:rFonts w:ascii="Garamond" w:hAnsi="Garamond"/>
      </w:rPr>
      <w:t xml:space="preserve"> </w:t>
    </w:r>
    <w:r>
      <w:rPr>
        <w:rFonts w:ascii="Garamond" w:hAnsi="Garamond"/>
      </w:rPr>
      <w:t xml:space="preserve">Precedent and </w:t>
    </w:r>
    <w:r w:rsidRPr="00061A78">
      <w:rPr>
        <w:rFonts w:ascii="Garamond" w:hAnsi="Garamond"/>
        <w:i/>
        <w:iCs/>
      </w:rPr>
      <w:t>Stare Decisis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20A8" w14:textId="77777777" w:rsidR="00CB26B0" w:rsidRDefault="00CB26B0" w:rsidP="00CB26B0">
    <w:pPr>
      <w:pStyle w:val="Header"/>
      <w:jc w:val="right"/>
    </w:pPr>
    <w:r w:rsidRPr="00EA3A9B">
      <w:rPr>
        <w:rFonts w:ascii="Garamond" w:hAnsi="Garamond"/>
        <w:i/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C9A6F1" wp14:editId="5F166A8D">
              <wp:simplePos x="0" y="0"/>
              <wp:positionH relativeFrom="column">
                <wp:posOffset>-209550</wp:posOffset>
              </wp:positionH>
              <wp:positionV relativeFrom="paragraph">
                <wp:posOffset>-171450</wp:posOffset>
              </wp:positionV>
              <wp:extent cx="2695575" cy="542925"/>
              <wp:effectExtent l="0" t="0" r="0" b="0"/>
              <wp:wrapNone/>
              <wp:docPr id="371780752" name="Text Box 3717807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6E963" w14:textId="77777777" w:rsidR="00CB26B0" w:rsidRDefault="00CB26B0" w:rsidP="00CB26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76D95" wp14:editId="3FC3B9B5">
                                <wp:extent cx="1828800" cy="333590"/>
                                <wp:effectExtent l="0" t="0" r="0" b="9525"/>
                                <wp:docPr id="146781755" name="Picture 146781755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9A6F1" id="_x0000_t202" coordsize="21600,21600" o:spt="202" path="m,l,21600r21600,l21600,xe">
              <v:stroke joinstyle="miter"/>
              <v:path gradientshapeok="t" o:connecttype="rect"/>
            </v:shapetype>
            <v:shape id="Text Box 371780752" o:spid="_x0000_s1027" type="#_x0000_t202" style="position:absolute;left:0;text-align:left;margin-left:-16.5pt;margin-top:-13.5pt;width:212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L7kWC3hAAAACgEAAA8AAAAAAAAA&#10;AAAAAAAAxgQAAGRycy9kb3ducmV2LnhtbFBLBQYAAAAABAAEAPMAAADUBQAAAAA=&#10;" filled="f" stroked="f" strokeweight=".5pt">
              <v:textbox>
                <w:txbxContent>
                  <w:p w14:paraId="7AC6E963" w14:textId="77777777" w:rsidR="00CB26B0" w:rsidRDefault="00CB26B0" w:rsidP="00CB26B0">
                    <w:r>
                      <w:rPr>
                        <w:noProof/>
                      </w:rPr>
                      <w:drawing>
                        <wp:inline distT="0" distB="0" distL="0" distR="0" wp14:anchorId="2AC76D95" wp14:editId="3FC3B9B5">
                          <wp:extent cx="1828800" cy="333590"/>
                          <wp:effectExtent l="0" t="0" r="0" b="9525"/>
                          <wp:docPr id="146781755" name="Picture 146781755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3A9B">
      <w:rPr>
        <w:rFonts w:ascii="Garamond" w:hAnsi="Garamond"/>
        <w:i/>
        <w:iCs/>
      </w:rPr>
      <w:t>Roe v. Wade</w:t>
    </w:r>
    <w:r>
      <w:rPr>
        <w:rFonts w:ascii="Garamond" w:hAnsi="Garamond"/>
        <w:i/>
        <w:iCs/>
      </w:rPr>
      <w:t xml:space="preserve"> </w:t>
    </w:r>
    <w:r>
      <w:rPr>
        <w:rFonts w:ascii="Garamond" w:hAnsi="Garamond"/>
      </w:rPr>
      <w:t xml:space="preserve">/ Precedent and </w:t>
    </w:r>
    <w:r w:rsidRPr="00061A78">
      <w:rPr>
        <w:rFonts w:ascii="Garamond" w:hAnsi="Garamond"/>
        <w:i/>
        <w:iCs/>
      </w:rPr>
      <w:t>Stare Decisis</w:t>
    </w:r>
  </w:p>
  <w:p w14:paraId="3E33DB86" w14:textId="77777777" w:rsidR="00CB26B0" w:rsidRDefault="00CB2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A44"/>
    <w:multiLevelType w:val="multilevel"/>
    <w:tmpl w:val="839A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C3AAF"/>
    <w:multiLevelType w:val="multilevel"/>
    <w:tmpl w:val="6B4CBE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ascii="Garamond" w:hAnsi="Garamond" w:hint="default"/>
        <w:i w:val="0"/>
        <w:iCs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5645C"/>
    <w:multiLevelType w:val="hybridMultilevel"/>
    <w:tmpl w:val="919216DC"/>
    <w:lvl w:ilvl="0" w:tplc="48B26AFE">
      <w:start w:val="1"/>
      <w:numFmt w:val="decimal"/>
      <w:lvlText w:val="%1."/>
      <w:lvlJc w:val="left"/>
      <w:pPr>
        <w:ind w:left="1800" w:hanging="360"/>
      </w:pPr>
      <w:rPr>
        <w:rFonts w:ascii="Gill Sans MT" w:hAnsi="Gill Sans MT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840BD"/>
    <w:multiLevelType w:val="multilevel"/>
    <w:tmpl w:val="9C6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07BDA"/>
    <w:multiLevelType w:val="multilevel"/>
    <w:tmpl w:val="AC2CC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7BDD"/>
    <w:multiLevelType w:val="multilevel"/>
    <w:tmpl w:val="BBDEAA80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16E75054"/>
    <w:multiLevelType w:val="multilevel"/>
    <w:tmpl w:val="CE286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23182"/>
    <w:multiLevelType w:val="multilevel"/>
    <w:tmpl w:val="DC706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454EB"/>
    <w:multiLevelType w:val="multilevel"/>
    <w:tmpl w:val="90D49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D372C"/>
    <w:multiLevelType w:val="multilevel"/>
    <w:tmpl w:val="792AC5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40874"/>
    <w:multiLevelType w:val="multilevel"/>
    <w:tmpl w:val="6B4CBE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ascii="Garamond" w:hAnsi="Garamond" w:hint="default"/>
        <w:i w:val="0"/>
        <w:iCs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E4E5D"/>
    <w:multiLevelType w:val="multilevel"/>
    <w:tmpl w:val="D64CA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52C53"/>
    <w:multiLevelType w:val="hybridMultilevel"/>
    <w:tmpl w:val="63A0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86C7A"/>
    <w:multiLevelType w:val="multilevel"/>
    <w:tmpl w:val="9A20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B6D3A"/>
    <w:multiLevelType w:val="hybridMultilevel"/>
    <w:tmpl w:val="5A5CE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06BD"/>
    <w:multiLevelType w:val="hybridMultilevel"/>
    <w:tmpl w:val="79F65320"/>
    <w:lvl w:ilvl="0" w:tplc="4736574E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167118"/>
    <w:multiLevelType w:val="hybridMultilevel"/>
    <w:tmpl w:val="C8CA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4D6F"/>
    <w:multiLevelType w:val="multilevel"/>
    <w:tmpl w:val="BFE43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3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F59A0"/>
    <w:multiLevelType w:val="multilevel"/>
    <w:tmpl w:val="5526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7333F"/>
    <w:multiLevelType w:val="multilevel"/>
    <w:tmpl w:val="62BEA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E65ED"/>
    <w:multiLevelType w:val="hybridMultilevel"/>
    <w:tmpl w:val="F322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643C3"/>
    <w:multiLevelType w:val="multilevel"/>
    <w:tmpl w:val="B93A8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055E7"/>
    <w:multiLevelType w:val="hybridMultilevel"/>
    <w:tmpl w:val="A5DA350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0552C0"/>
    <w:multiLevelType w:val="multilevel"/>
    <w:tmpl w:val="25F8DE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45838"/>
    <w:multiLevelType w:val="multilevel"/>
    <w:tmpl w:val="4FCA4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6A1893"/>
    <w:multiLevelType w:val="multilevel"/>
    <w:tmpl w:val="C652DD92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6" w15:restartNumberingAfterBreak="0">
    <w:nsid w:val="58062B96"/>
    <w:multiLevelType w:val="hybridMultilevel"/>
    <w:tmpl w:val="A1C0CEC4"/>
    <w:lvl w:ilvl="0" w:tplc="C0FC096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7F22"/>
    <w:multiLevelType w:val="multilevel"/>
    <w:tmpl w:val="2EC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F5404A"/>
    <w:multiLevelType w:val="multilevel"/>
    <w:tmpl w:val="EF7280C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9" w15:restartNumberingAfterBreak="0">
    <w:nsid w:val="643F0BAC"/>
    <w:multiLevelType w:val="multilevel"/>
    <w:tmpl w:val="FE08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2A33"/>
    <w:multiLevelType w:val="hybridMultilevel"/>
    <w:tmpl w:val="66DE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4C9A"/>
    <w:multiLevelType w:val="hybridMultilevel"/>
    <w:tmpl w:val="A5DA350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775D0A"/>
    <w:multiLevelType w:val="multilevel"/>
    <w:tmpl w:val="8B2ED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A4084C"/>
    <w:multiLevelType w:val="multilevel"/>
    <w:tmpl w:val="85E8B6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4481E"/>
    <w:multiLevelType w:val="multilevel"/>
    <w:tmpl w:val="7EDC3F7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5" w15:restartNumberingAfterBreak="0">
    <w:nsid w:val="783F5114"/>
    <w:multiLevelType w:val="hybridMultilevel"/>
    <w:tmpl w:val="4F307EF6"/>
    <w:lvl w:ilvl="0" w:tplc="0F84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05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87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5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2C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CE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85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6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A15544D"/>
    <w:multiLevelType w:val="multilevel"/>
    <w:tmpl w:val="BBDE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9B44D3"/>
    <w:multiLevelType w:val="multilevel"/>
    <w:tmpl w:val="5012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3491">
    <w:abstractNumId w:val="18"/>
  </w:num>
  <w:num w:numId="2" w16cid:durableId="288509524">
    <w:abstractNumId w:val="4"/>
  </w:num>
  <w:num w:numId="3" w16cid:durableId="2079785468">
    <w:abstractNumId w:val="27"/>
  </w:num>
  <w:num w:numId="4" w16cid:durableId="374351031">
    <w:abstractNumId w:val="3"/>
  </w:num>
  <w:num w:numId="5" w16cid:durableId="2028866422">
    <w:abstractNumId w:val="8"/>
  </w:num>
  <w:num w:numId="6" w16cid:durableId="101191849">
    <w:abstractNumId w:val="5"/>
  </w:num>
  <w:num w:numId="7" w16cid:durableId="1634481256">
    <w:abstractNumId w:val="32"/>
  </w:num>
  <w:num w:numId="8" w16cid:durableId="1390575110">
    <w:abstractNumId w:val="36"/>
  </w:num>
  <w:num w:numId="9" w16cid:durableId="1887715586">
    <w:abstractNumId w:val="13"/>
  </w:num>
  <w:num w:numId="10" w16cid:durableId="28845474">
    <w:abstractNumId w:val="21"/>
  </w:num>
  <w:num w:numId="11" w16cid:durableId="670958996">
    <w:abstractNumId w:val="17"/>
  </w:num>
  <w:num w:numId="12" w16cid:durableId="698898931">
    <w:abstractNumId w:val="11"/>
  </w:num>
  <w:num w:numId="13" w16cid:durableId="1589342885">
    <w:abstractNumId w:val="23"/>
  </w:num>
  <w:num w:numId="14" w16cid:durableId="1758363335">
    <w:abstractNumId w:val="1"/>
  </w:num>
  <w:num w:numId="15" w16cid:durableId="288317465">
    <w:abstractNumId w:val="9"/>
  </w:num>
  <w:num w:numId="16" w16cid:durableId="2057585611">
    <w:abstractNumId w:val="37"/>
  </w:num>
  <w:num w:numId="17" w16cid:durableId="1357391419">
    <w:abstractNumId w:val="0"/>
  </w:num>
  <w:num w:numId="18" w16cid:durableId="2122725542">
    <w:abstractNumId w:val="24"/>
  </w:num>
  <w:num w:numId="19" w16cid:durableId="1016735229">
    <w:abstractNumId w:val="6"/>
  </w:num>
  <w:num w:numId="20" w16cid:durableId="1346590290">
    <w:abstractNumId w:val="19"/>
  </w:num>
  <w:num w:numId="21" w16cid:durableId="823206888">
    <w:abstractNumId w:val="29"/>
  </w:num>
  <w:num w:numId="22" w16cid:durableId="1244530704">
    <w:abstractNumId w:val="25"/>
  </w:num>
  <w:num w:numId="23" w16cid:durableId="1286737844">
    <w:abstractNumId w:val="28"/>
  </w:num>
  <w:num w:numId="24" w16cid:durableId="1166433498">
    <w:abstractNumId w:val="34"/>
  </w:num>
  <w:num w:numId="25" w16cid:durableId="1426874996">
    <w:abstractNumId w:val="7"/>
  </w:num>
  <w:num w:numId="26" w16cid:durableId="119885448">
    <w:abstractNumId w:val="33"/>
  </w:num>
  <w:num w:numId="27" w16cid:durableId="540287124">
    <w:abstractNumId w:val="15"/>
  </w:num>
  <w:num w:numId="28" w16cid:durableId="1676420455">
    <w:abstractNumId w:val="2"/>
  </w:num>
  <w:num w:numId="29" w16cid:durableId="1712415654">
    <w:abstractNumId w:val="12"/>
  </w:num>
  <w:num w:numId="30" w16cid:durableId="2095130744">
    <w:abstractNumId w:val="31"/>
  </w:num>
  <w:num w:numId="31" w16cid:durableId="1676836264">
    <w:abstractNumId w:val="35"/>
  </w:num>
  <w:num w:numId="32" w16cid:durableId="330641495">
    <w:abstractNumId w:val="16"/>
  </w:num>
  <w:num w:numId="33" w16cid:durableId="1914581196">
    <w:abstractNumId w:val="30"/>
  </w:num>
  <w:num w:numId="34" w16cid:durableId="37357896">
    <w:abstractNumId w:val="14"/>
  </w:num>
  <w:num w:numId="35" w16cid:durableId="1060203971">
    <w:abstractNumId w:val="22"/>
  </w:num>
  <w:num w:numId="36" w16cid:durableId="1618097577">
    <w:abstractNumId w:val="20"/>
  </w:num>
  <w:num w:numId="37" w16cid:durableId="554194651">
    <w:abstractNumId w:val="26"/>
  </w:num>
  <w:num w:numId="38" w16cid:durableId="218901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E5"/>
    <w:rsid w:val="0002082C"/>
    <w:rsid w:val="00020F66"/>
    <w:rsid w:val="000253AC"/>
    <w:rsid w:val="00026C96"/>
    <w:rsid w:val="0003445F"/>
    <w:rsid w:val="00037A3B"/>
    <w:rsid w:val="0004430C"/>
    <w:rsid w:val="00061A78"/>
    <w:rsid w:val="00067564"/>
    <w:rsid w:val="0007599D"/>
    <w:rsid w:val="00090E13"/>
    <w:rsid w:val="00091738"/>
    <w:rsid w:val="00095365"/>
    <w:rsid w:val="000A2173"/>
    <w:rsid w:val="000A67AD"/>
    <w:rsid w:val="000C3383"/>
    <w:rsid w:val="000D4432"/>
    <w:rsid w:val="000D65B0"/>
    <w:rsid w:val="000D66C4"/>
    <w:rsid w:val="000E0514"/>
    <w:rsid w:val="000E0AAB"/>
    <w:rsid w:val="000E1B93"/>
    <w:rsid w:val="000E39F8"/>
    <w:rsid w:val="000E4CEB"/>
    <w:rsid w:val="000F126B"/>
    <w:rsid w:val="000F59A7"/>
    <w:rsid w:val="000F6BAB"/>
    <w:rsid w:val="0010157A"/>
    <w:rsid w:val="001017DA"/>
    <w:rsid w:val="00104B0F"/>
    <w:rsid w:val="00107D61"/>
    <w:rsid w:val="0011490D"/>
    <w:rsid w:val="001607AE"/>
    <w:rsid w:val="00165C36"/>
    <w:rsid w:val="00180496"/>
    <w:rsid w:val="001872DC"/>
    <w:rsid w:val="001915F2"/>
    <w:rsid w:val="0019602A"/>
    <w:rsid w:val="001A098E"/>
    <w:rsid w:val="001A300D"/>
    <w:rsid w:val="001B44FF"/>
    <w:rsid w:val="001B5974"/>
    <w:rsid w:val="001B66F1"/>
    <w:rsid w:val="001C5662"/>
    <w:rsid w:val="001C6BE7"/>
    <w:rsid w:val="001D2D00"/>
    <w:rsid w:val="001E4713"/>
    <w:rsid w:val="001E7257"/>
    <w:rsid w:val="001F0910"/>
    <w:rsid w:val="00217918"/>
    <w:rsid w:val="00222486"/>
    <w:rsid w:val="00225BF3"/>
    <w:rsid w:val="002260BD"/>
    <w:rsid w:val="002358A8"/>
    <w:rsid w:val="00240B34"/>
    <w:rsid w:val="00241DD7"/>
    <w:rsid w:val="002437DD"/>
    <w:rsid w:val="00243ED0"/>
    <w:rsid w:val="00250158"/>
    <w:rsid w:val="00252DCA"/>
    <w:rsid w:val="00254B07"/>
    <w:rsid w:val="00263912"/>
    <w:rsid w:val="002918CA"/>
    <w:rsid w:val="002927C2"/>
    <w:rsid w:val="002A51D1"/>
    <w:rsid w:val="002B0FED"/>
    <w:rsid w:val="002B7D9E"/>
    <w:rsid w:val="002C25B0"/>
    <w:rsid w:val="002C2D28"/>
    <w:rsid w:val="002C4B77"/>
    <w:rsid w:val="002D625D"/>
    <w:rsid w:val="002E2277"/>
    <w:rsid w:val="002E5353"/>
    <w:rsid w:val="00302231"/>
    <w:rsid w:val="003052F9"/>
    <w:rsid w:val="00325725"/>
    <w:rsid w:val="00326D4A"/>
    <w:rsid w:val="003303D2"/>
    <w:rsid w:val="003349C6"/>
    <w:rsid w:val="00335734"/>
    <w:rsid w:val="00340A8B"/>
    <w:rsid w:val="0034144E"/>
    <w:rsid w:val="00354C77"/>
    <w:rsid w:val="00366B5C"/>
    <w:rsid w:val="003734A4"/>
    <w:rsid w:val="00376FFD"/>
    <w:rsid w:val="003803F5"/>
    <w:rsid w:val="003848C2"/>
    <w:rsid w:val="0038771F"/>
    <w:rsid w:val="00394834"/>
    <w:rsid w:val="00395B59"/>
    <w:rsid w:val="00397855"/>
    <w:rsid w:val="003A5023"/>
    <w:rsid w:val="003B0EAF"/>
    <w:rsid w:val="003B2A1A"/>
    <w:rsid w:val="003C0E1C"/>
    <w:rsid w:val="003C5D14"/>
    <w:rsid w:val="003D325F"/>
    <w:rsid w:val="003E0765"/>
    <w:rsid w:val="003E1C52"/>
    <w:rsid w:val="003E4C85"/>
    <w:rsid w:val="003E75FF"/>
    <w:rsid w:val="004071FC"/>
    <w:rsid w:val="00424D34"/>
    <w:rsid w:val="00436395"/>
    <w:rsid w:val="00436500"/>
    <w:rsid w:val="00442E77"/>
    <w:rsid w:val="0045294E"/>
    <w:rsid w:val="004542D1"/>
    <w:rsid w:val="00466430"/>
    <w:rsid w:val="00470189"/>
    <w:rsid w:val="00477A6D"/>
    <w:rsid w:val="004856E2"/>
    <w:rsid w:val="004A287E"/>
    <w:rsid w:val="004A2CC4"/>
    <w:rsid w:val="004B51CC"/>
    <w:rsid w:val="004D00AC"/>
    <w:rsid w:val="004D2B77"/>
    <w:rsid w:val="004D7A44"/>
    <w:rsid w:val="004E3627"/>
    <w:rsid w:val="004E3C36"/>
    <w:rsid w:val="004F50CC"/>
    <w:rsid w:val="004F795B"/>
    <w:rsid w:val="005004CE"/>
    <w:rsid w:val="005023B5"/>
    <w:rsid w:val="00522C90"/>
    <w:rsid w:val="005340F2"/>
    <w:rsid w:val="0054161C"/>
    <w:rsid w:val="00544166"/>
    <w:rsid w:val="0054715A"/>
    <w:rsid w:val="005645FC"/>
    <w:rsid w:val="00593690"/>
    <w:rsid w:val="005A583D"/>
    <w:rsid w:val="005F288D"/>
    <w:rsid w:val="005F3EEB"/>
    <w:rsid w:val="005F7EB1"/>
    <w:rsid w:val="00605F0B"/>
    <w:rsid w:val="0061071C"/>
    <w:rsid w:val="00611B30"/>
    <w:rsid w:val="006146EA"/>
    <w:rsid w:val="006275F8"/>
    <w:rsid w:val="00627642"/>
    <w:rsid w:val="00632BC0"/>
    <w:rsid w:val="00637C33"/>
    <w:rsid w:val="00647126"/>
    <w:rsid w:val="0065557B"/>
    <w:rsid w:val="00686D60"/>
    <w:rsid w:val="00687E7A"/>
    <w:rsid w:val="00690FD1"/>
    <w:rsid w:val="006B14FD"/>
    <w:rsid w:val="006B5570"/>
    <w:rsid w:val="006C4A1A"/>
    <w:rsid w:val="006C7460"/>
    <w:rsid w:val="006D3DEF"/>
    <w:rsid w:val="006D6B19"/>
    <w:rsid w:val="006E06F1"/>
    <w:rsid w:val="006F50D8"/>
    <w:rsid w:val="00700B2A"/>
    <w:rsid w:val="00707035"/>
    <w:rsid w:val="007114E7"/>
    <w:rsid w:val="0071332C"/>
    <w:rsid w:val="007221ED"/>
    <w:rsid w:val="00751C83"/>
    <w:rsid w:val="00754AFC"/>
    <w:rsid w:val="007700D5"/>
    <w:rsid w:val="00776615"/>
    <w:rsid w:val="00777DA2"/>
    <w:rsid w:val="00787A13"/>
    <w:rsid w:val="00790D90"/>
    <w:rsid w:val="007A4653"/>
    <w:rsid w:val="007A7D6D"/>
    <w:rsid w:val="007B0BF0"/>
    <w:rsid w:val="007B1064"/>
    <w:rsid w:val="007B1997"/>
    <w:rsid w:val="007C3404"/>
    <w:rsid w:val="007C7074"/>
    <w:rsid w:val="007D3FC1"/>
    <w:rsid w:val="007E3D7D"/>
    <w:rsid w:val="007E6717"/>
    <w:rsid w:val="007F3F60"/>
    <w:rsid w:val="00803920"/>
    <w:rsid w:val="008246D7"/>
    <w:rsid w:val="008262CF"/>
    <w:rsid w:val="0083431C"/>
    <w:rsid w:val="00836917"/>
    <w:rsid w:val="00837823"/>
    <w:rsid w:val="00842799"/>
    <w:rsid w:val="00850C49"/>
    <w:rsid w:val="00855805"/>
    <w:rsid w:val="008825DC"/>
    <w:rsid w:val="00890369"/>
    <w:rsid w:val="0089111D"/>
    <w:rsid w:val="008A071D"/>
    <w:rsid w:val="008C3E8C"/>
    <w:rsid w:val="008C5098"/>
    <w:rsid w:val="008C5B9C"/>
    <w:rsid w:val="008E1FB6"/>
    <w:rsid w:val="008E52CC"/>
    <w:rsid w:val="009024F0"/>
    <w:rsid w:val="009044BA"/>
    <w:rsid w:val="009052A2"/>
    <w:rsid w:val="009103DB"/>
    <w:rsid w:val="00911EE4"/>
    <w:rsid w:val="00925914"/>
    <w:rsid w:val="0093493B"/>
    <w:rsid w:val="00935501"/>
    <w:rsid w:val="00945F30"/>
    <w:rsid w:val="00946746"/>
    <w:rsid w:val="009477A6"/>
    <w:rsid w:val="00957B05"/>
    <w:rsid w:val="00963083"/>
    <w:rsid w:val="00965D82"/>
    <w:rsid w:val="00980275"/>
    <w:rsid w:val="00980715"/>
    <w:rsid w:val="00980828"/>
    <w:rsid w:val="009828C6"/>
    <w:rsid w:val="0099047A"/>
    <w:rsid w:val="00995F81"/>
    <w:rsid w:val="009A1DEE"/>
    <w:rsid w:val="009B43AA"/>
    <w:rsid w:val="009B5B93"/>
    <w:rsid w:val="009C638D"/>
    <w:rsid w:val="009C6929"/>
    <w:rsid w:val="00A050E5"/>
    <w:rsid w:val="00A2242F"/>
    <w:rsid w:val="00A23AD4"/>
    <w:rsid w:val="00A26699"/>
    <w:rsid w:val="00A36638"/>
    <w:rsid w:val="00A422E4"/>
    <w:rsid w:val="00A42EF6"/>
    <w:rsid w:val="00A444F4"/>
    <w:rsid w:val="00A50521"/>
    <w:rsid w:val="00A55E68"/>
    <w:rsid w:val="00A61113"/>
    <w:rsid w:val="00A65073"/>
    <w:rsid w:val="00A70C91"/>
    <w:rsid w:val="00A75C3B"/>
    <w:rsid w:val="00A8066F"/>
    <w:rsid w:val="00A9199B"/>
    <w:rsid w:val="00A9652E"/>
    <w:rsid w:val="00A979B8"/>
    <w:rsid w:val="00AA3E7E"/>
    <w:rsid w:val="00AC286E"/>
    <w:rsid w:val="00AC45F8"/>
    <w:rsid w:val="00AC7BD5"/>
    <w:rsid w:val="00AD2F6B"/>
    <w:rsid w:val="00AE12F5"/>
    <w:rsid w:val="00B0348D"/>
    <w:rsid w:val="00B05C4C"/>
    <w:rsid w:val="00B1171E"/>
    <w:rsid w:val="00B12B1F"/>
    <w:rsid w:val="00B1532F"/>
    <w:rsid w:val="00B1673E"/>
    <w:rsid w:val="00B16F97"/>
    <w:rsid w:val="00B22201"/>
    <w:rsid w:val="00B65023"/>
    <w:rsid w:val="00B71D19"/>
    <w:rsid w:val="00B8259A"/>
    <w:rsid w:val="00BA6FFF"/>
    <w:rsid w:val="00BB09C3"/>
    <w:rsid w:val="00BB0F9E"/>
    <w:rsid w:val="00BB48DA"/>
    <w:rsid w:val="00BB6307"/>
    <w:rsid w:val="00BD6B6C"/>
    <w:rsid w:val="00BE0AE9"/>
    <w:rsid w:val="00BE11F9"/>
    <w:rsid w:val="00BE2550"/>
    <w:rsid w:val="00BF3E27"/>
    <w:rsid w:val="00BF4D76"/>
    <w:rsid w:val="00C14955"/>
    <w:rsid w:val="00C20FF2"/>
    <w:rsid w:val="00C27CD7"/>
    <w:rsid w:val="00C403D1"/>
    <w:rsid w:val="00C4165A"/>
    <w:rsid w:val="00C44AA5"/>
    <w:rsid w:val="00C45F9A"/>
    <w:rsid w:val="00C63741"/>
    <w:rsid w:val="00C916FE"/>
    <w:rsid w:val="00C93EBD"/>
    <w:rsid w:val="00CA7761"/>
    <w:rsid w:val="00CB26B0"/>
    <w:rsid w:val="00CB78C5"/>
    <w:rsid w:val="00CC1797"/>
    <w:rsid w:val="00CC7AAC"/>
    <w:rsid w:val="00CD3342"/>
    <w:rsid w:val="00CE2C38"/>
    <w:rsid w:val="00CE30F7"/>
    <w:rsid w:val="00CE63AA"/>
    <w:rsid w:val="00CF1833"/>
    <w:rsid w:val="00CF6094"/>
    <w:rsid w:val="00CF630D"/>
    <w:rsid w:val="00D222D1"/>
    <w:rsid w:val="00D305A0"/>
    <w:rsid w:val="00D33B6B"/>
    <w:rsid w:val="00D37B20"/>
    <w:rsid w:val="00D41BCF"/>
    <w:rsid w:val="00D5153A"/>
    <w:rsid w:val="00D57052"/>
    <w:rsid w:val="00D6542D"/>
    <w:rsid w:val="00D803B8"/>
    <w:rsid w:val="00D8068D"/>
    <w:rsid w:val="00D852C4"/>
    <w:rsid w:val="00D968FA"/>
    <w:rsid w:val="00DA139B"/>
    <w:rsid w:val="00DA1C20"/>
    <w:rsid w:val="00DA5359"/>
    <w:rsid w:val="00DB3BCF"/>
    <w:rsid w:val="00DB72DB"/>
    <w:rsid w:val="00DE0AB2"/>
    <w:rsid w:val="00DE1D8A"/>
    <w:rsid w:val="00E030CD"/>
    <w:rsid w:val="00E13FD9"/>
    <w:rsid w:val="00E24E6F"/>
    <w:rsid w:val="00E2682C"/>
    <w:rsid w:val="00E26935"/>
    <w:rsid w:val="00E274E3"/>
    <w:rsid w:val="00E52F68"/>
    <w:rsid w:val="00E5377B"/>
    <w:rsid w:val="00E63D69"/>
    <w:rsid w:val="00E71467"/>
    <w:rsid w:val="00E768FA"/>
    <w:rsid w:val="00E76EB4"/>
    <w:rsid w:val="00E93766"/>
    <w:rsid w:val="00E93830"/>
    <w:rsid w:val="00E966FD"/>
    <w:rsid w:val="00EA0EA8"/>
    <w:rsid w:val="00EA1599"/>
    <w:rsid w:val="00EA341A"/>
    <w:rsid w:val="00EA3A9B"/>
    <w:rsid w:val="00EA67A0"/>
    <w:rsid w:val="00ED6AC1"/>
    <w:rsid w:val="00ED6E47"/>
    <w:rsid w:val="00EE1693"/>
    <w:rsid w:val="00EE427E"/>
    <w:rsid w:val="00EE57BA"/>
    <w:rsid w:val="00EF4B19"/>
    <w:rsid w:val="00F00A2F"/>
    <w:rsid w:val="00F041C0"/>
    <w:rsid w:val="00F23E0A"/>
    <w:rsid w:val="00F367DC"/>
    <w:rsid w:val="00F45F70"/>
    <w:rsid w:val="00F6009F"/>
    <w:rsid w:val="00F603C1"/>
    <w:rsid w:val="00F61EB7"/>
    <w:rsid w:val="00F67D31"/>
    <w:rsid w:val="00F71CDF"/>
    <w:rsid w:val="00F801D9"/>
    <w:rsid w:val="00F82DC8"/>
    <w:rsid w:val="00F84876"/>
    <w:rsid w:val="00F8625A"/>
    <w:rsid w:val="00F86EE2"/>
    <w:rsid w:val="00F90090"/>
    <w:rsid w:val="00F93729"/>
    <w:rsid w:val="00F94000"/>
    <w:rsid w:val="00FB0BE4"/>
    <w:rsid w:val="00FC1CDE"/>
    <w:rsid w:val="00FD361F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AFDEA8"/>
  <w15:chartTrackingRefBased/>
  <w15:docId w15:val="{C580ED54-60B0-4D8D-B814-00B1AF0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50E5"/>
  </w:style>
  <w:style w:type="character" w:customStyle="1" w:styleId="eop">
    <w:name w:val="eop"/>
    <w:basedOn w:val="DefaultParagraphFont"/>
    <w:rsid w:val="00A050E5"/>
  </w:style>
  <w:style w:type="character" w:customStyle="1" w:styleId="pagebreaktextspan">
    <w:name w:val="pagebreaktextspan"/>
    <w:basedOn w:val="DefaultParagraphFont"/>
    <w:rsid w:val="00A050E5"/>
  </w:style>
  <w:style w:type="character" w:customStyle="1" w:styleId="tabchar">
    <w:name w:val="tabchar"/>
    <w:basedOn w:val="DefaultParagraphFont"/>
    <w:rsid w:val="00A050E5"/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7D3FC1"/>
    <w:rPr>
      <w:rFonts w:ascii="Garamond" w:hAnsi="Garamond"/>
      <w:color w:val="0000FF"/>
      <w:sz w:val="24"/>
      <w:u w:val="single"/>
    </w:rPr>
  </w:style>
  <w:style w:type="character" w:customStyle="1" w:styleId="cf01">
    <w:name w:val="cf01"/>
    <w:basedOn w:val="DefaultParagraphFont"/>
    <w:rsid w:val="007D3FC1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3FC1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FC1"/>
    <w:rPr>
      <w:rFonts w:ascii="Garamond" w:hAnsi="Garamon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3F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8D4"/>
  </w:style>
  <w:style w:type="paragraph" w:styleId="Footer">
    <w:name w:val="footer"/>
    <w:basedOn w:val="Normal"/>
    <w:link w:val="FooterChar"/>
    <w:uiPriority w:val="99"/>
    <w:unhideWhenUsed/>
    <w:rsid w:val="00FE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8D4"/>
  </w:style>
  <w:style w:type="character" w:styleId="CommentReference">
    <w:name w:val="annotation reference"/>
    <w:basedOn w:val="DefaultParagraphFont"/>
    <w:uiPriority w:val="99"/>
    <w:semiHidden/>
    <w:unhideWhenUsed/>
    <w:rsid w:val="002C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D2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A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copysl">
    <w:name w:val="Basic copy_sl"/>
    <w:basedOn w:val="Normal"/>
    <w:link w:val="BasiccopyslChar"/>
    <w:qFormat/>
    <w:rsid w:val="0089111D"/>
    <w:pPr>
      <w:spacing w:after="120" w:line="276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89111D"/>
    <w:rPr>
      <w:rFonts w:ascii="Garamond" w:eastAsia="Times New Roman" w:hAnsi="Garamond" w:cs="Times New Roman"/>
      <w:sz w:val="24"/>
      <w:szCs w:val="24"/>
    </w:rPr>
  </w:style>
  <w:style w:type="paragraph" w:customStyle="1" w:styleId="Title1sl">
    <w:name w:val="Title 1_sl"/>
    <w:basedOn w:val="Normal"/>
    <w:link w:val="Title1slChar"/>
    <w:qFormat/>
    <w:rsid w:val="00F71CDF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character" w:customStyle="1" w:styleId="Title1slChar">
    <w:name w:val="Title 1_sl Char"/>
    <w:basedOn w:val="DefaultParagraphFont"/>
    <w:link w:val="Title1sl"/>
    <w:rsid w:val="00F71CDF"/>
    <w:rPr>
      <w:rFonts w:ascii="Gill Sans MT" w:hAnsi="Gill Sans MT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205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80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upremecourt.gov/opinions/21pdf/19-1392_6j37.pdf" TargetMode="External"/><Relationship Id="rId1" Type="http://schemas.openxmlformats.org/officeDocument/2006/relationships/hyperlink" Target="https://www.supremecourt.gov/DocketPDF/21/21-707/230779/20220725144111091_21-707_Response%20brief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1" ma:contentTypeDescription="Create a new document." ma:contentTypeScope="" ma:versionID="3d5c656b0fc03c6039c52ce2f45ebc33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6c13660b71893d9c65fdb36a9ffe3b94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  <SharedWithUsers xmlns="f90ba59e-6231-420d-b202-993c3441322c">
      <UserInfo>
        <DisplayName>Teacher PD Members</DisplayName>
        <AccountId>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A1733-CB71-4D3A-8BFB-1B545460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941F-A02C-4DF3-880A-720980F855F4}">
  <ds:schemaRefs>
    <ds:schemaRef ds:uri="http://schemas.microsoft.com/office/2006/metadata/properties"/>
    <ds:schemaRef ds:uri="http://schemas.microsoft.com/office/infopath/2007/PartnerControls"/>
    <ds:schemaRef ds:uri="9af227aa-5493-4bfe-a302-9771bcf92926"/>
    <ds:schemaRef ds:uri="f90ba59e-6231-420d-b202-993c344132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9DCDD7-9EEC-4ED1-B73C-AAD54F20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Rizzio</dc:creator>
  <cp:keywords/>
  <dc:description/>
  <cp:lastModifiedBy>Cathy Ruffing</cp:lastModifiedBy>
  <cp:revision>6</cp:revision>
  <dcterms:created xsi:type="dcterms:W3CDTF">2023-11-06T12:44:00Z</dcterms:created>
  <dcterms:modified xsi:type="dcterms:W3CDTF">2023-11-06T12:47:00Z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ediaServiceImageTags">
    <vt:lpwstr/>
  </property>
</Properties>
</file>