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8A73A" w14:textId="6BB7D1CF" w:rsidR="00703C18" w:rsidRDefault="00703C18" w:rsidP="00703C18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</w:rPr>
      </w:pPr>
      <w:r>
        <w:rPr>
          <w:i/>
          <w:iCs/>
          <w:sz w:val="40"/>
          <w:szCs w:val="40"/>
        </w:rPr>
        <w:t>Roe v. Wade</w:t>
      </w:r>
      <w:r>
        <w:rPr>
          <w:sz w:val="40"/>
          <w:szCs w:val="40"/>
        </w:rPr>
        <w:t xml:space="preserve"> / Supreme Court Decisions from </w:t>
      </w:r>
      <w:r w:rsidRPr="0053536A">
        <w:rPr>
          <w:i/>
          <w:iCs/>
          <w:sz w:val="40"/>
          <w:szCs w:val="40"/>
        </w:rPr>
        <w:t xml:space="preserve">Roe </w:t>
      </w:r>
      <w:r>
        <w:rPr>
          <w:sz w:val="40"/>
          <w:szCs w:val="40"/>
        </w:rPr>
        <w:t xml:space="preserve">to </w:t>
      </w:r>
      <w:r w:rsidRPr="0053536A">
        <w:rPr>
          <w:i/>
          <w:iCs/>
          <w:sz w:val="40"/>
          <w:szCs w:val="40"/>
        </w:rPr>
        <w:t>Dobbs</w:t>
      </w:r>
    </w:p>
    <w:p w14:paraId="798430D0" w14:textId="76496D2A" w:rsidR="00703C18" w:rsidRDefault="00D57A61" w:rsidP="00703C18">
      <w:pPr>
        <w:pStyle w:val="Subhead3sl"/>
        <w:rPr>
          <w:sz w:val="25"/>
          <w:szCs w:val="25"/>
        </w:rPr>
      </w:pPr>
      <w:r>
        <w:t>Instructions</w:t>
      </w:r>
      <w:r w:rsidR="00703C18">
        <w:t>:</w:t>
      </w:r>
    </w:p>
    <w:p w14:paraId="5F519D1D" w14:textId="17FB8286" w:rsidR="00703C18" w:rsidRPr="003678DB" w:rsidRDefault="00703C18" w:rsidP="005F7D0A">
      <w:pPr>
        <w:pStyle w:val="BasiccopyLMC"/>
        <w:numPr>
          <w:ilvl w:val="0"/>
          <w:numId w:val="2"/>
        </w:numPr>
        <w:spacing w:after="120" w:line="276" w:lineRule="auto"/>
        <w:ind w:left="360"/>
      </w:pPr>
      <w:r w:rsidRPr="003678DB">
        <w:t>Read the summar</w:t>
      </w:r>
      <w:r w:rsidR="00551CD6" w:rsidRPr="003678DB">
        <w:t>ies</w:t>
      </w:r>
      <w:r w:rsidRPr="003678DB">
        <w:t xml:space="preserve"> </w:t>
      </w:r>
      <w:r w:rsidR="00D57A61" w:rsidRPr="003678DB">
        <w:t xml:space="preserve">below </w:t>
      </w:r>
      <w:r w:rsidRPr="003678DB">
        <w:t xml:space="preserve">of </w:t>
      </w:r>
      <w:r w:rsidR="003E01D0" w:rsidRPr="003678DB">
        <w:t xml:space="preserve">notable </w:t>
      </w:r>
      <w:r w:rsidR="00AD448C" w:rsidRPr="003678DB">
        <w:t xml:space="preserve">U.S. </w:t>
      </w:r>
      <w:r w:rsidR="003E01D0" w:rsidRPr="003678DB">
        <w:t xml:space="preserve">Supreme Court decisions regarding a constitutional right to </w:t>
      </w:r>
      <w:r w:rsidR="00EB580B" w:rsidRPr="003678DB">
        <w:t>abortion</w:t>
      </w:r>
      <w:r w:rsidR="00551CD6" w:rsidRPr="003678DB">
        <w:t xml:space="preserve">. </w:t>
      </w:r>
    </w:p>
    <w:p w14:paraId="59053D9F" w14:textId="1A96B5B1" w:rsidR="00703C18" w:rsidRPr="003678DB" w:rsidRDefault="00703C18" w:rsidP="005F7D0A">
      <w:pPr>
        <w:pStyle w:val="BasiccopyLMC"/>
        <w:numPr>
          <w:ilvl w:val="0"/>
          <w:numId w:val="2"/>
        </w:numPr>
        <w:spacing w:after="120" w:line="276" w:lineRule="auto"/>
        <w:ind w:left="360"/>
      </w:pPr>
      <w:r w:rsidRPr="003678DB">
        <w:t xml:space="preserve">Answer the </w:t>
      </w:r>
      <w:r w:rsidRPr="003678DB">
        <w:rPr>
          <w:b/>
          <w:bCs/>
        </w:rPr>
        <w:t xml:space="preserve">Questions to Consider </w:t>
      </w:r>
      <w:r w:rsidRPr="003678DB">
        <w:t xml:space="preserve">(page </w:t>
      </w:r>
      <w:r w:rsidR="00551CD6" w:rsidRPr="003678DB">
        <w:t>3</w:t>
      </w:r>
      <w:r w:rsidRPr="003678DB">
        <w:t>).</w:t>
      </w:r>
    </w:p>
    <w:p w14:paraId="5ED857BE" w14:textId="344BCAC5" w:rsidR="00D73ACF" w:rsidRDefault="00000000" w:rsidP="00D73ACF">
      <w:pPr>
        <w:pStyle w:val="BasiccopyLMC"/>
        <w:spacing w:after="120" w:line="276" w:lineRule="auto"/>
        <w:rPr>
          <w:sz w:val="25"/>
          <w:szCs w:val="25"/>
        </w:rPr>
      </w:pPr>
      <w:r>
        <w:rPr>
          <w:rStyle w:val="Strong"/>
          <w:color w:val="000000"/>
          <w:sz w:val="25"/>
          <w:szCs w:val="25"/>
        </w:rPr>
        <w:pict w14:anchorId="2CAAECD1">
          <v:rect id="_x0000_i1025" style="width:0;height:1.5pt" o:hralign="center" o:hrstd="t" o:hr="t" fillcolor="#a0a0a0" stroked="f"/>
        </w:pict>
      </w:r>
    </w:p>
    <w:p w14:paraId="7BF21B43" w14:textId="77777777" w:rsidR="00D60F4F" w:rsidRPr="00871DC1" w:rsidRDefault="00D60F4F" w:rsidP="00C873A9">
      <w:pPr>
        <w:pStyle w:val="Bulletboldsl"/>
        <w:keepNext/>
        <w:ind w:left="360"/>
        <w:rPr>
          <w:b w:val="0"/>
          <w:bCs/>
          <w:sz w:val="28"/>
          <w:szCs w:val="28"/>
        </w:rPr>
      </w:pPr>
      <w:r w:rsidRPr="00871DC1">
        <w:rPr>
          <w:b w:val="0"/>
          <w:bCs/>
          <w:i/>
          <w:iCs w:val="0"/>
          <w:sz w:val="28"/>
          <w:szCs w:val="28"/>
        </w:rPr>
        <w:t>Roe v. Wade</w:t>
      </w:r>
      <w:r w:rsidRPr="00871DC1">
        <w:rPr>
          <w:b w:val="0"/>
          <w:bCs/>
          <w:sz w:val="28"/>
          <w:szCs w:val="28"/>
        </w:rPr>
        <w:t xml:space="preserve"> (1973) </w:t>
      </w:r>
    </w:p>
    <w:p w14:paraId="120CE47C" w14:textId="21B4D753" w:rsidR="00D60F4F" w:rsidRPr="00354914" w:rsidRDefault="00D60F4F" w:rsidP="00C873A9">
      <w:pPr>
        <w:pStyle w:val="Bulletboldsl"/>
        <w:numPr>
          <w:ilvl w:val="0"/>
          <w:numId w:val="0"/>
        </w:numPr>
        <w:spacing w:before="0"/>
        <w:ind w:left="360"/>
        <w:rPr>
          <w:b w:val="0"/>
          <w:bCs/>
        </w:rPr>
      </w:pPr>
      <w:r w:rsidRPr="00354914">
        <w:rPr>
          <w:b w:val="0"/>
          <w:bCs/>
        </w:rPr>
        <w:t>In a 7-2 decision, the Supreme Court ruled that people ha</w:t>
      </w:r>
      <w:r w:rsidR="00FB0CDB">
        <w:rPr>
          <w:b w:val="0"/>
          <w:bCs/>
        </w:rPr>
        <w:t xml:space="preserve">d </w:t>
      </w:r>
      <w:r w:rsidRPr="00354914">
        <w:rPr>
          <w:b w:val="0"/>
          <w:bCs/>
        </w:rPr>
        <w:t xml:space="preserve">a right to have an abortion as part of their fundamental right to privacy, which </w:t>
      </w:r>
      <w:r w:rsidR="00FB0CDB">
        <w:rPr>
          <w:b w:val="0"/>
          <w:bCs/>
        </w:rPr>
        <w:t>wa</w:t>
      </w:r>
      <w:r w:rsidRPr="00354914">
        <w:rPr>
          <w:b w:val="0"/>
          <w:bCs/>
        </w:rPr>
        <w:t>s protected by the Due Process Clause of the 14</w:t>
      </w:r>
      <w:r w:rsidRPr="00354914">
        <w:rPr>
          <w:b w:val="0"/>
          <w:bCs/>
          <w:vertAlign w:val="superscript"/>
        </w:rPr>
        <w:t>th</w:t>
      </w:r>
      <w:r w:rsidRPr="00354914">
        <w:rPr>
          <w:b w:val="0"/>
          <w:bCs/>
        </w:rPr>
        <w:t xml:space="preserve"> Amendment. The right to privacy </w:t>
      </w:r>
      <w:r w:rsidR="007814D7" w:rsidRPr="00354914">
        <w:rPr>
          <w:b w:val="0"/>
          <w:bCs/>
        </w:rPr>
        <w:t>mean</w:t>
      </w:r>
      <w:r w:rsidR="007814D7">
        <w:rPr>
          <w:b w:val="0"/>
          <w:bCs/>
        </w:rPr>
        <w:t>t</w:t>
      </w:r>
      <w:r w:rsidR="007814D7" w:rsidRPr="00354914">
        <w:rPr>
          <w:b w:val="0"/>
          <w:bCs/>
        </w:rPr>
        <w:t xml:space="preserve"> </w:t>
      </w:r>
      <w:r w:rsidRPr="00354914">
        <w:rPr>
          <w:b w:val="0"/>
          <w:bCs/>
        </w:rPr>
        <w:t xml:space="preserve">that people </w:t>
      </w:r>
      <w:r w:rsidR="00A74F44">
        <w:rPr>
          <w:b w:val="0"/>
          <w:bCs/>
        </w:rPr>
        <w:t xml:space="preserve">were </w:t>
      </w:r>
      <w:r w:rsidRPr="00354914">
        <w:rPr>
          <w:b w:val="0"/>
          <w:bCs/>
        </w:rPr>
        <w:t>protected from unreasonable state interference in their marriage, procreation, contraception, family relationships, and child rearing. The government c</w:t>
      </w:r>
      <w:r w:rsidR="00A74F44">
        <w:rPr>
          <w:b w:val="0"/>
          <w:bCs/>
        </w:rPr>
        <w:t xml:space="preserve">ould </w:t>
      </w:r>
      <w:r w:rsidRPr="00354914">
        <w:rPr>
          <w:b w:val="0"/>
          <w:bCs/>
        </w:rPr>
        <w:t xml:space="preserve">only restrict this right if there </w:t>
      </w:r>
      <w:r w:rsidR="00A74F44">
        <w:rPr>
          <w:b w:val="0"/>
          <w:bCs/>
        </w:rPr>
        <w:t>wa</w:t>
      </w:r>
      <w:r w:rsidRPr="00354914">
        <w:rPr>
          <w:b w:val="0"/>
          <w:bCs/>
        </w:rPr>
        <w:t>s a compelling government interest. Because these interests bec</w:t>
      </w:r>
      <w:r w:rsidR="00A74F44">
        <w:rPr>
          <w:b w:val="0"/>
          <w:bCs/>
        </w:rPr>
        <w:t>a</w:t>
      </w:r>
      <w:r w:rsidRPr="00354914">
        <w:rPr>
          <w:b w:val="0"/>
          <w:bCs/>
        </w:rPr>
        <w:t xml:space="preserve">me stronger later in pregnancy, the Court said the government </w:t>
      </w:r>
      <w:r w:rsidR="00A74F44">
        <w:rPr>
          <w:b w:val="0"/>
          <w:bCs/>
        </w:rPr>
        <w:t xml:space="preserve">could </w:t>
      </w:r>
      <w:r w:rsidRPr="00354914">
        <w:rPr>
          <w:b w:val="0"/>
          <w:bCs/>
        </w:rPr>
        <w:t xml:space="preserve">not limit abortion during the first trimester (first 12 weeks) of pregnancy, </w:t>
      </w:r>
      <w:r w:rsidR="00A74F44">
        <w:rPr>
          <w:b w:val="0"/>
          <w:bCs/>
        </w:rPr>
        <w:t>could</w:t>
      </w:r>
      <w:r w:rsidR="00A74F44" w:rsidRPr="00354914">
        <w:rPr>
          <w:b w:val="0"/>
          <w:bCs/>
        </w:rPr>
        <w:t xml:space="preserve"> </w:t>
      </w:r>
      <w:r w:rsidRPr="00354914">
        <w:rPr>
          <w:b w:val="0"/>
          <w:bCs/>
        </w:rPr>
        <w:t xml:space="preserve">impose reasonable restrictions during the second trimester (weeks 13–26), and </w:t>
      </w:r>
      <w:r w:rsidR="00A74F44">
        <w:rPr>
          <w:b w:val="0"/>
          <w:bCs/>
        </w:rPr>
        <w:t>could</w:t>
      </w:r>
      <w:r w:rsidR="00A74F44" w:rsidRPr="00354914">
        <w:rPr>
          <w:b w:val="0"/>
          <w:bCs/>
        </w:rPr>
        <w:t xml:space="preserve"> </w:t>
      </w:r>
      <w:r w:rsidRPr="00354914">
        <w:rPr>
          <w:b w:val="0"/>
          <w:bCs/>
        </w:rPr>
        <w:t xml:space="preserve">completely ban abortion during the third trimester. </w:t>
      </w:r>
    </w:p>
    <w:p w14:paraId="13A6285D" w14:textId="77777777" w:rsidR="00D60F4F" w:rsidRPr="00871DC1" w:rsidRDefault="00D60F4F" w:rsidP="00C873A9">
      <w:pPr>
        <w:pStyle w:val="Bulletboldsl"/>
        <w:ind w:left="360"/>
        <w:rPr>
          <w:b w:val="0"/>
          <w:bCs/>
          <w:sz w:val="28"/>
          <w:szCs w:val="28"/>
        </w:rPr>
      </w:pPr>
      <w:r w:rsidRPr="00871DC1">
        <w:rPr>
          <w:b w:val="0"/>
          <w:bCs/>
          <w:i/>
          <w:iCs w:val="0"/>
          <w:sz w:val="28"/>
          <w:szCs w:val="28"/>
        </w:rPr>
        <w:t>Planned Parenthood of Southeastern Pennsylvania v. Casey</w:t>
      </w:r>
      <w:r w:rsidRPr="00871DC1">
        <w:rPr>
          <w:b w:val="0"/>
          <w:bCs/>
          <w:sz w:val="28"/>
          <w:szCs w:val="28"/>
        </w:rPr>
        <w:t xml:space="preserve"> (1992)</w:t>
      </w:r>
    </w:p>
    <w:p w14:paraId="68673DEA" w14:textId="2C0A16FB" w:rsidR="00D60F4F" w:rsidRPr="00354914" w:rsidRDefault="00D60F4F" w:rsidP="00C873A9">
      <w:pPr>
        <w:pStyle w:val="Basiccopyindentedsl"/>
        <w:ind w:left="360"/>
        <w:rPr>
          <w:bCs/>
        </w:rPr>
      </w:pPr>
      <w:r w:rsidRPr="00354914">
        <w:rPr>
          <w:bCs/>
        </w:rPr>
        <w:t xml:space="preserve">This case changed the Supreme Court’s analysis </w:t>
      </w:r>
      <w:proofErr w:type="gramStart"/>
      <w:r w:rsidRPr="00354914">
        <w:rPr>
          <w:bCs/>
        </w:rPr>
        <w:t>for</w:t>
      </w:r>
      <w:proofErr w:type="gramEnd"/>
      <w:r w:rsidRPr="00354914">
        <w:rPr>
          <w:bCs/>
        </w:rPr>
        <w:t xml:space="preserve"> abortion cases. The Court reaffirmed the central holding of </w:t>
      </w:r>
      <w:r w:rsidRPr="00354914">
        <w:rPr>
          <w:bCs/>
          <w:i/>
        </w:rPr>
        <w:t>Roe</w:t>
      </w:r>
      <w:r w:rsidRPr="00354914">
        <w:rPr>
          <w:bCs/>
        </w:rPr>
        <w:t>, that a person has the right to have an abortion without the undue influence of the state and that states may not ban abortions before fetal viability. For state laws that regulate</w:t>
      </w:r>
      <w:r w:rsidR="007C7DBB">
        <w:rPr>
          <w:bCs/>
        </w:rPr>
        <w:t>d</w:t>
      </w:r>
      <w:r w:rsidRPr="00354914">
        <w:rPr>
          <w:bCs/>
        </w:rPr>
        <w:t xml:space="preserve"> (rather than ban</w:t>
      </w:r>
      <w:r w:rsidR="007C7DBB">
        <w:rPr>
          <w:bCs/>
        </w:rPr>
        <w:t>ned</w:t>
      </w:r>
      <w:r w:rsidRPr="00354914">
        <w:rPr>
          <w:bCs/>
        </w:rPr>
        <w:t>) abortions, the Court applied the undue burden test. A law pose</w:t>
      </w:r>
      <w:r w:rsidR="007C7DBB">
        <w:rPr>
          <w:bCs/>
        </w:rPr>
        <w:t>d</w:t>
      </w:r>
      <w:r w:rsidRPr="00354914">
        <w:rPr>
          <w:bCs/>
        </w:rPr>
        <w:t xml:space="preserve"> an undue burden on a person’s right to an abortion if it </w:t>
      </w:r>
      <w:r w:rsidRPr="003678DB">
        <w:rPr>
          <w:b/>
        </w:rPr>
        <w:t>1)</w:t>
      </w:r>
      <w:r w:rsidRPr="00354914">
        <w:rPr>
          <w:bCs/>
        </w:rPr>
        <w:t xml:space="preserve"> place</w:t>
      </w:r>
      <w:r w:rsidR="007C7DBB">
        <w:rPr>
          <w:bCs/>
        </w:rPr>
        <w:t>d</w:t>
      </w:r>
      <w:r w:rsidRPr="00354914">
        <w:rPr>
          <w:bCs/>
        </w:rPr>
        <w:t xml:space="preserve"> a substantial obstacle in their path, and </w:t>
      </w:r>
      <w:r w:rsidRPr="003678DB">
        <w:rPr>
          <w:b/>
        </w:rPr>
        <w:t>2)</w:t>
      </w:r>
      <w:r w:rsidRPr="00354914">
        <w:rPr>
          <w:bCs/>
        </w:rPr>
        <w:t xml:space="preserve"> fail</w:t>
      </w:r>
      <w:r w:rsidR="007C7DBB">
        <w:rPr>
          <w:bCs/>
        </w:rPr>
        <w:t>ed</w:t>
      </w:r>
      <w:r w:rsidRPr="00354914">
        <w:rPr>
          <w:bCs/>
        </w:rPr>
        <w:t xml:space="preserve"> to advance a legitimate state interest. The Court struck down the part of the Pennsylvania law that required a woman to notify her husband before she could get an abortion. The Court stated that this could cause abuse and domestic violence, which constitute</w:t>
      </w:r>
      <w:r w:rsidR="007C7DBB">
        <w:rPr>
          <w:bCs/>
        </w:rPr>
        <w:t>d</w:t>
      </w:r>
      <w:r w:rsidRPr="00354914">
        <w:rPr>
          <w:bCs/>
        </w:rPr>
        <w:t xml:space="preserve"> a substantial obstacle. The Court also said that other parts of the law, like the informed consent requirement, a 24-hour waiting period, and a one-parent consent requirement for minors, did not present an undue burden.</w:t>
      </w:r>
    </w:p>
    <w:p w14:paraId="2909668D" w14:textId="0EF1313C" w:rsidR="005251D0" w:rsidRPr="00871DC1" w:rsidRDefault="00A565C1" w:rsidP="00C873A9">
      <w:pPr>
        <w:pStyle w:val="Bulletboldsl"/>
        <w:ind w:left="360"/>
        <w:rPr>
          <w:b w:val="0"/>
          <w:bCs/>
          <w:sz w:val="28"/>
          <w:szCs w:val="28"/>
        </w:rPr>
      </w:pPr>
      <w:r w:rsidRPr="00871DC1">
        <w:rPr>
          <w:b w:val="0"/>
          <w:bCs/>
          <w:i/>
          <w:iCs w:val="0"/>
          <w:sz w:val="28"/>
          <w:szCs w:val="28"/>
        </w:rPr>
        <w:t>W</w:t>
      </w:r>
      <w:r w:rsidR="005251D0" w:rsidRPr="00871DC1">
        <w:rPr>
          <w:b w:val="0"/>
          <w:bCs/>
          <w:i/>
          <w:iCs w:val="0"/>
          <w:sz w:val="28"/>
          <w:szCs w:val="28"/>
        </w:rPr>
        <w:t xml:space="preserve">hole Woman’s Health v. </w:t>
      </w:r>
      <w:proofErr w:type="spellStart"/>
      <w:r w:rsidR="005251D0" w:rsidRPr="00871DC1">
        <w:rPr>
          <w:b w:val="0"/>
          <w:bCs/>
          <w:i/>
          <w:iCs w:val="0"/>
          <w:sz w:val="28"/>
          <w:szCs w:val="28"/>
        </w:rPr>
        <w:t>Hellerstedt</w:t>
      </w:r>
      <w:proofErr w:type="spellEnd"/>
      <w:r w:rsidR="005251D0" w:rsidRPr="00871DC1">
        <w:rPr>
          <w:rFonts w:ascii="Adobe Garamond Pro Bold" w:hAnsi="Adobe Garamond Pro Bold"/>
          <w:b w:val="0"/>
          <w:bCs/>
          <w:sz w:val="28"/>
          <w:szCs w:val="28"/>
        </w:rPr>
        <w:t xml:space="preserve"> </w:t>
      </w:r>
      <w:r w:rsidR="005251D0" w:rsidRPr="00871DC1">
        <w:rPr>
          <w:b w:val="0"/>
          <w:bCs/>
          <w:sz w:val="28"/>
          <w:szCs w:val="28"/>
        </w:rPr>
        <w:t>(2016)</w:t>
      </w:r>
    </w:p>
    <w:p w14:paraId="68AFEEFC" w14:textId="5F18C934" w:rsidR="005251D0" w:rsidRPr="00354914" w:rsidRDefault="005251D0" w:rsidP="00C873A9">
      <w:pPr>
        <w:pStyle w:val="Basiccopyindentedsl"/>
        <w:ind w:left="360"/>
        <w:rPr>
          <w:bCs/>
        </w:rPr>
      </w:pPr>
      <w:r w:rsidRPr="00354914">
        <w:rPr>
          <w:bCs/>
        </w:rPr>
        <w:t xml:space="preserve">In this case the U.S. Supreme Court struck down Texas HB2, </w:t>
      </w:r>
      <w:r w:rsidR="004654DE">
        <w:rPr>
          <w:bCs/>
        </w:rPr>
        <w:t xml:space="preserve">a law that </w:t>
      </w:r>
      <w:r w:rsidRPr="00354914">
        <w:rPr>
          <w:bCs/>
        </w:rPr>
        <w:t xml:space="preserve">required abortion providers to have active admitting privileges at a hospital within 30 miles of their clinics. The Court found that HB2 posed an undue burden on </w:t>
      </w:r>
      <w:r w:rsidR="00DC7A58">
        <w:rPr>
          <w:bCs/>
        </w:rPr>
        <w:t>people</w:t>
      </w:r>
      <w:r w:rsidR="00DC7A58" w:rsidRPr="00354914">
        <w:rPr>
          <w:bCs/>
        </w:rPr>
        <w:t xml:space="preserve"> </w:t>
      </w:r>
      <w:r w:rsidRPr="00354914">
        <w:rPr>
          <w:bCs/>
        </w:rPr>
        <w:t xml:space="preserve">seeking abortions. The law placed </w:t>
      </w:r>
      <w:r w:rsidRPr="00354914">
        <w:rPr>
          <w:bCs/>
        </w:rPr>
        <w:lastRenderedPageBreak/>
        <w:t xml:space="preserve">numerous obstacles on </w:t>
      </w:r>
      <w:r w:rsidR="00DC7A58">
        <w:rPr>
          <w:bCs/>
        </w:rPr>
        <w:t>people</w:t>
      </w:r>
      <w:r w:rsidRPr="00354914">
        <w:rPr>
          <w:bCs/>
        </w:rPr>
        <w:t xml:space="preserve"> seeking abortion, such as a dramatic decrease in the number of </w:t>
      </w:r>
      <w:r w:rsidR="00D06F6B">
        <w:rPr>
          <w:bCs/>
        </w:rPr>
        <w:t xml:space="preserve">abortion </w:t>
      </w:r>
      <w:r w:rsidRPr="00354914">
        <w:rPr>
          <w:bCs/>
        </w:rPr>
        <w:t xml:space="preserve">clinics, an increase in waiting times at existing clinics, an increase in crowding, and an increase in the distance </w:t>
      </w:r>
      <w:r w:rsidR="00D06F6B">
        <w:rPr>
          <w:bCs/>
        </w:rPr>
        <w:t xml:space="preserve">people </w:t>
      </w:r>
      <w:r w:rsidRPr="00354914">
        <w:rPr>
          <w:bCs/>
        </w:rPr>
        <w:t xml:space="preserve">must </w:t>
      </w:r>
      <w:r w:rsidR="00D06F6B">
        <w:rPr>
          <w:bCs/>
        </w:rPr>
        <w:t>travel</w:t>
      </w:r>
      <w:r w:rsidR="00D06F6B" w:rsidRPr="00354914">
        <w:rPr>
          <w:bCs/>
        </w:rPr>
        <w:t xml:space="preserve"> </w:t>
      </w:r>
      <w:r w:rsidR="00DA46B4" w:rsidRPr="00354914">
        <w:rPr>
          <w:bCs/>
        </w:rPr>
        <w:t>to</w:t>
      </w:r>
      <w:r w:rsidRPr="00354914">
        <w:rPr>
          <w:bCs/>
        </w:rPr>
        <w:t xml:space="preserve"> reach clinics. Additionally, HB2 d</w:t>
      </w:r>
      <w:r w:rsidR="004117BE">
        <w:rPr>
          <w:bCs/>
        </w:rPr>
        <w:t>id n</w:t>
      </w:r>
      <w:r w:rsidRPr="00354914">
        <w:rPr>
          <w:bCs/>
        </w:rPr>
        <w:t xml:space="preserve">ot advance a state interest because abortion </w:t>
      </w:r>
      <w:r w:rsidR="004117BE">
        <w:rPr>
          <w:bCs/>
        </w:rPr>
        <w:t>wa</w:t>
      </w:r>
      <w:r w:rsidRPr="00354914">
        <w:rPr>
          <w:bCs/>
        </w:rPr>
        <w:t xml:space="preserve">s already very safe in Texas, so requiring admitting privileges for doctors provided no additional health benefits. </w:t>
      </w:r>
    </w:p>
    <w:p w14:paraId="76C0DBCD" w14:textId="07D9C1B1" w:rsidR="005C6EE3" w:rsidRPr="00871DC1" w:rsidRDefault="005C6EE3" w:rsidP="00C873A9">
      <w:pPr>
        <w:pStyle w:val="Bulletboldsl"/>
        <w:ind w:left="360"/>
        <w:rPr>
          <w:b w:val="0"/>
          <w:bCs/>
          <w:sz w:val="28"/>
          <w:szCs w:val="28"/>
        </w:rPr>
      </w:pPr>
      <w:r w:rsidRPr="00871DC1">
        <w:rPr>
          <w:b w:val="0"/>
          <w:bCs/>
          <w:i/>
          <w:iCs w:val="0"/>
          <w:sz w:val="28"/>
          <w:szCs w:val="28"/>
        </w:rPr>
        <w:t>June Medical Services LLC v. Russo</w:t>
      </w:r>
      <w:r w:rsidRPr="00871DC1">
        <w:rPr>
          <w:b w:val="0"/>
          <w:bCs/>
          <w:sz w:val="28"/>
          <w:szCs w:val="28"/>
        </w:rPr>
        <w:t xml:space="preserve"> (2020)</w:t>
      </w:r>
    </w:p>
    <w:p w14:paraId="429CAFB5" w14:textId="0F1AC3B6" w:rsidR="007F726A" w:rsidRPr="00354914" w:rsidRDefault="007F726A" w:rsidP="00C873A9">
      <w:pPr>
        <w:spacing w:after="120" w:line="276" w:lineRule="auto"/>
        <w:ind w:left="360"/>
        <w:rPr>
          <w:rFonts w:ascii="Garamond" w:hAnsi="Garamond"/>
          <w:bCs/>
          <w:sz w:val="24"/>
          <w:szCs w:val="24"/>
        </w:rPr>
      </w:pPr>
      <w:r w:rsidRPr="00354914">
        <w:rPr>
          <w:rFonts w:ascii="Garamond" w:hAnsi="Garamond"/>
          <w:bCs/>
          <w:sz w:val="24"/>
          <w:szCs w:val="24"/>
        </w:rPr>
        <w:t>In a 5-4 decision, the U.S. Supreme Court struck down Louisiana Act 620</w:t>
      </w:r>
      <w:r w:rsidR="00AD42C3">
        <w:rPr>
          <w:rFonts w:ascii="Garamond" w:hAnsi="Garamond"/>
          <w:bCs/>
          <w:sz w:val="24"/>
          <w:szCs w:val="24"/>
        </w:rPr>
        <w:t>,</w:t>
      </w:r>
      <w:r w:rsidR="008646A3" w:rsidRPr="00354914">
        <w:rPr>
          <w:rFonts w:ascii="Garamond" w:hAnsi="Garamond"/>
          <w:bCs/>
          <w:sz w:val="24"/>
          <w:szCs w:val="24"/>
        </w:rPr>
        <w:t xml:space="preserve"> which was almost identical to HB2, the Texas law that the Supreme Court struck down in </w:t>
      </w:r>
      <w:r w:rsidR="008646A3" w:rsidRPr="00354914">
        <w:rPr>
          <w:rFonts w:ascii="Garamond" w:hAnsi="Garamond"/>
          <w:bCs/>
          <w:i/>
          <w:iCs/>
          <w:sz w:val="24"/>
          <w:szCs w:val="24"/>
        </w:rPr>
        <w:t>Whole Women’s Health</w:t>
      </w:r>
      <w:r w:rsidR="008646A3" w:rsidRPr="00354914">
        <w:rPr>
          <w:rFonts w:ascii="Garamond" w:hAnsi="Garamond"/>
          <w:bCs/>
          <w:sz w:val="24"/>
          <w:szCs w:val="24"/>
        </w:rPr>
        <w:t>. It required all doctors who provide abortions to have active admitting privileges at a hospital located within 30 miles of the abortion clinic.</w:t>
      </w:r>
      <w:r w:rsidR="00C94A28" w:rsidRPr="00354914">
        <w:rPr>
          <w:rFonts w:ascii="Garamond" w:hAnsi="Garamond"/>
          <w:bCs/>
          <w:sz w:val="24"/>
          <w:szCs w:val="24"/>
        </w:rPr>
        <w:t xml:space="preserve"> This case resulted in a</w:t>
      </w:r>
      <w:r w:rsidRPr="00354914">
        <w:rPr>
          <w:rFonts w:ascii="Garamond" w:hAnsi="Garamond"/>
          <w:bCs/>
          <w:sz w:val="24"/>
          <w:szCs w:val="24"/>
        </w:rPr>
        <w:t xml:space="preserve"> plurality opinion</w:t>
      </w:r>
      <w:r w:rsidR="00602763">
        <w:rPr>
          <w:rFonts w:ascii="Garamond" w:hAnsi="Garamond"/>
          <w:bCs/>
          <w:sz w:val="24"/>
          <w:szCs w:val="24"/>
        </w:rPr>
        <w:t>,</w:t>
      </w:r>
      <w:r w:rsidR="003A1C22" w:rsidRPr="00354914">
        <w:rPr>
          <w:rFonts w:ascii="Garamond" w:hAnsi="Garamond"/>
          <w:bCs/>
          <w:sz w:val="24"/>
          <w:szCs w:val="24"/>
        </w:rPr>
        <w:t xml:space="preserve"> which</w:t>
      </w:r>
      <w:r w:rsidRPr="00354914">
        <w:rPr>
          <w:rFonts w:ascii="Garamond" w:hAnsi="Garamond"/>
          <w:bCs/>
          <w:sz w:val="24"/>
          <w:szCs w:val="24"/>
        </w:rPr>
        <w:t xml:space="preserve"> is written when </w:t>
      </w:r>
      <w:proofErr w:type="gramStart"/>
      <w:r w:rsidRPr="00354914">
        <w:rPr>
          <w:rFonts w:ascii="Garamond" w:hAnsi="Garamond"/>
          <w:bCs/>
          <w:sz w:val="24"/>
          <w:szCs w:val="24"/>
        </w:rPr>
        <w:t>a majority of</w:t>
      </w:r>
      <w:proofErr w:type="gramEnd"/>
      <w:r w:rsidRPr="00354914">
        <w:rPr>
          <w:rFonts w:ascii="Garamond" w:hAnsi="Garamond"/>
          <w:bCs/>
          <w:sz w:val="24"/>
          <w:szCs w:val="24"/>
        </w:rPr>
        <w:t xml:space="preserve"> the justices cannot agree on the reasoning behind a decision. The opinion that the most justices sign becomes the plurality opinion. The plurality applied the undue burden test that was established in </w:t>
      </w:r>
      <w:r w:rsidRPr="00354914">
        <w:rPr>
          <w:rFonts w:ascii="Garamond" w:hAnsi="Garamond"/>
          <w:bCs/>
          <w:i/>
          <w:iCs/>
          <w:sz w:val="24"/>
          <w:szCs w:val="24"/>
        </w:rPr>
        <w:t>Planned Parenthood v. Casey</w:t>
      </w:r>
      <w:r w:rsidRPr="00354914">
        <w:rPr>
          <w:rFonts w:ascii="Garamond" w:hAnsi="Garamond"/>
          <w:bCs/>
          <w:sz w:val="24"/>
          <w:szCs w:val="24"/>
        </w:rPr>
        <w:t xml:space="preserve"> and applied in </w:t>
      </w:r>
      <w:r w:rsidRPr="00354914">
        <w:rPr>
          <w:rFonts w:ascii="Garamond" w:hAnsi="Garamond"/>
          <w:bCs/>
          <w:i/>
          <w:iCs/>
          <w:sz w:val="24"/>
          <w:szCs w:val="24"/>
        </w:rPr>
        <w:t>Whole Woman’s Health</w:t>
      </w:r>
      <w:r w:rsidRPr="00354914">
        <w:rPr>
          <w:rFonts w:ascii="Garamond" w:hAnsi="Garamond"/>
          <w:bCs/>
          <w:sz w:val="24"/>
          <w:szCs w:val="24"/>
        </w:rPr>
        <w:t xml:space="preserve">. According to this standard, Louisiana Act 620 </w:t>
      </w:r>
      <w:r w:rsidR="00E30674">
        <w:rPr>
          <w:rFonts w:ascii="Garamond" w:hAnsi="Garamond"/>
          <w:bCs/>
          <w:sz w:val="24"/>
          <w:szCs w:val="24"/>
        </w:rPr>
        <w:t>was</w:t>
      </w:r>
      <w:r w:rsidRPr="00354914">
        <w:rPr>
          <w:rFonts w:ascii="Garamond" w:hAnsi="Garamond"/>
          <w:bCs/>
          <w:sz w:val="24"/>
          <w:szCs w:val="24"/>
        </w:rPr>
        <w:t xml:space="preserve"> unconstitutional if it had “the purpose or effect of presenting an undue burden to a woman seeking an abortion.” To determine whether there was an undue burden, courts must “weigh the law’s ‘asserted benefits against the burdens’ it imposes on abortion access.” </w:t>
      </w:r>
    </w:p>
    <w:p w14:paraId="3B49E842" w14:textId="03BE5BB4" w:rsidR="007F726A" w:rsidRPr="00354914" w:rsidRDefault="00104A01" w:rsidP="00C873A9">
      <w:pPr>
        <w:spacing w:line="276" w:lineRule="auto"/>
        <w:ind w:left="360"/>
        <w:rPr>
          <w:rFonts w:ascii="Garamond" w:hAnsi="Garamond"/>
          <w:bCs/>
          <w:sz w:val="24"/>
          <w:szCs w:val="24"/>
        </w:rPr>
      </w:pPr>
      <w:r w:rsidRPr="00354914">
        <w:rPr>
          <w:rFonts w:ascii="Garamond" w:hAnsi="Garamond"/>
          <w:bCs/>
          <w:sz w:val="24"/>
          <w:szCs w:val="24"/>
        </w:rPr>
        <w:t>T</w:t>
      </w:r>
      <w:r w:rsidR="007F726A" w:rsidRPr="00354914">
        <w:rPr>
          <w:rFonts w:ascii="Garamond" w:hAnsi="Garamond"/>
          <w:bCs/>
          <w:sz w:val="24"/>
          <w:szCs w:val="24"/>
        </w:rPr>
        <w:t xml:space="preserve">he plurality determined that Act 620 presented substantial obstacles to </w:t>
      </w:r>
      <w:r w:rsidR="00E30674">
        <w:rPr>
          <w:rFonts w:ascii="Garamond" w:hAnsi="Garamond"/>
          <w:bCs/>
          <w:sz w:val="24"/>
          <w:szCs w:val="24"/>
        </w:rPr>
        <w:t>people</w:t>
      </w:r>
      <w:r w:rsidR="00E30674" w:rsidRPr="00354914">
        <w:rPr>
          <w:rFonts w:ascii="Garamond" w:hAnsi="Garamond"/>
          <w:bCs/>
          <w:sz w:val="24"/>
          <w:szCs w:val="24"/>
        </w:rPr>
        <w:t xml:space="preserve"> </w:t>
      </w:r>
      <w:r w:rsidR="007F726A" w:rsidRPr="00354914">
        <w:rPr>
          <w:rFonts w:ascii="Garamond" w:hAnsi="Garamond"/>
          <w:bCs/>
          <w:sz w:val="24"/>
          <w:szCs w:val="24"/>
        </w:rPr>
        <w:t>seeking abortions. Furthermore, Act 620 failed to advance a legitimate state interest even though Louisiana claimed it would improve</w:t>
      </w:r>
      <w:r w:rsidR="009674A7">
        <w:rPr>
          <w:rFonts w:ascii="Garamond" w:hAnsi="Garamond"/>
          <w:bCs/>
          <w:sz w:val="24"/>
          <w:szCs w:val="24"/>
        </w:rPr>
        <w:t xml:space="preserve"> the</w:t>
      </w:r>
      <w:r w:rsidR="007F726A" w:rsidRPr="00354914">
        <w:rPr>
          <w:rFonts w:ascii="Garamond" w:hAnsi="Garamond"/>
          <w:bCs/>
          <w:sz w:val="24"/>
          <w:szCs w:val="24"/>
        </w:rPr>
        <w:t xml:space="preserve"> health</w:t>
      </w:r>
      <w:r w:rsidR="009674A7">
        <w:rPr>
          <w:rFonts w:ascii="Garamond" w:hAnsi="Garamond"/>
          <w:bCs/>
          <w:sz w:val="24"/>
          <w:szCs w:val="24"/>
        </w:rPr>
        <w:t xml:space="preserve"> of pregnant people</w:t>
      </w:r>
      <w:r w:rsidR="007F726A" w:rsidRPr="00354914">
        <w:rPr>
          <w:rFonts w:ascii="Garamond" w:hAnsi="Garamond"/>
          <w:bCs/>
          <w:sz w:val="24"/>
          <w:szCs w:val="24"/>
        </w:rPr>
        <w:t xml:space="preserve">. Even though Louisiana is a much smaller state than Texas, Act 620 posed a burden as severe as the Texas law struck </w:t>
      </w:r>
      <w:proofErr w:type="gramStart"/>
      <w:r w:rsidR="007F726A" w:rsidRPr="00354914">
        <w:rPr>
          <w:rFonts w:ascii="Garamond" w:hAnsi="Garamond"/>
          <w:bCs/>
          <w:sz w:val="24"/>
          <w:szCs w:val="24"/>
        </w:rPr>
        <w:t>down in</w:t>
      </w:r>
      <w:proofErr w:type="gramEnd"/>
      <w:r w:rsidR="007F726A" w:rsidRPr="00354914">
        <w:rPr>
          <w:rFonts w:ascii="Garamond" w:hAnsi="Garamond"/>
          <w:bCs/>
          <w:sz w:val="24"/>
          <w:szCs w:val="24"/>
        </w:rPr>
        <w:t xml:space="preserve"> </w:t>
      </w:r>
      <w:r w:rsidR="007F726A" w:rsidRPr="00354914">
        <w:rPr>
          <w:rFonts w:ascii="Garamond" w:hAnsi="Garamond"/>
          <w:bCs/>
          <w:i/>
          <w:iCs/>
          <w:sz w:val="24"/>
          <w:szCs w:val="24"/>
        </w:rPr>
        <w:t>Whole Woman’s Health</w:t>
      </w:r>
      <w:r w:rsidR="007F726A" w:rsidRPr="00354914">
        <w:rPr>
          <w:rFonts w:ascii="Garamond" w:hAnsi="Garamond"/>
          <w:bCs/>
          <w:sz w:val="24"/>
          <w:szCs w:val="24"/>
        </w:rPr>
        <w:t>. Because these conclusions were supported by strong evidence, the plurality determined Act 620 posed an unconstitutional burden on abortion access in Louisiana.</w:t>
      </w:r>
    </w:p>
    <w:p w14:paraId="1A337F04" w14:textId="7049D055" w:rsidR="00C41F42" w:rsidRPr="00871DC1" w:rsidRDefault="00C41F42" w:rsidP="00C873A9">
      <w:pPr>
        <w:pStyle w:val="Bulletboldsl"/>
        <w:ind w:left="360"/>
        <w:rPr>
          <w:b w:val="0"/>
          <w:bCs/>
          <w:sz w:val="28"/>
          <w:szCs w:val="28"/>
        </w:rPr>
      </w:pPr>
      <w:r w:rsidRPr="00871DC1">
        <w:rPr>
          <w:b w:val="0"/>
          <w:bCs/>
          <w:i/>
          <w:sz w:val="28"/>
          <w:szCs w:val="28"/>
        </w:rPr>
        <w:t xml:space="preserve">Dobbs v. Jackson </w:t>
      </w:r>
      <w:r w:rsidR="00A565C1" w:rsidRPr="00871DC1">
        <w:rPr>
          <w:b w:val="0"/>
          <w:bCs/>
          <w:i/>
          <w:sz w:val="28"/>
          <w:szCs w:val="28"/>
        </w:rPr>
        <w:t xml:space="preserve">Women’s </w:t>
      </w:r>
      <w:r w:rsidRPr="00871DC1">
        <w:rPr>
          <w:b w:val="0"/>
          <w:bCs/>
          <w:i/>
          <w:sz w:val="28"/>
          <w:szCs w:val="28"/>
        </w:rPr>
        <w:t xml:space="preserve">Health Organization </w:t>
      </w:r>
      <w:r w:rsidRPr="00871DC1">
        <w:rPr>
          <w:b w:val="0"/>
          <w:bCs/>
          <w:sz w:val="28"/>
          <w:szCs w:val="28"/>
        </w:rPr>
        <w:t>(2022)</w:t>
      </w:r>
    </w:p>
    <w:p w14:paraId="430845B1" w14:textId="38D0BD11" w:rsidR="00C164D8" w:rsidRPr="00C164D8" w:rsidRDefault="00C164D8" w:rsidP="00C873A9">
      <w:pPr>
        <w:pStyle w:val="Bulletsl"/>
        <w:numPr>
          <w:ilvl w:val="0"/>
          <w:numId w:val="0"/>
        </w:numPr>
        <w:spacing w:line="276" w:lineRule="auto"/>
        <w:ind w:left="360"/>
      </w:pPr>
      <w:r w:rsidRPr="00C164D8">
        <w:t>This case involve</w:t>
      </w:r>
      <w:r w:rsidR="00F0616B">
        <w:t>d</w:t>
      </w:r>
      <w:r w:rsidRPr="00C164D8">
        <w:t xml:space="preserve"> a Mississippi law </w:t>
      </w:r>
      <w:r w:rsidR="00EB5781">
        <w:t>that</w:t>
      </w:r>
      <w:r w:rsidR="00EB5781" w:rsidRPr="00C164D8">
        <w:t xml:space="preserve"> </w:t>
      </w:r>
      <w:r w:rsidR="00F0616B">
        <w:t xml:space="preserve">banned abortion </w:t>
      </w:r>
      <w:r w:rsidR="00135B4A">
        <w:t>after 15 weeks e</w:t>
      </w:r>
      <w:r w:rsidRPr="00C164D8">
        <w:rPr>
          <w:bCs/>
        </w:rPr>
        <w:t>xcept in a medical emergency or in the case of a severe fetal abnormality</w:t>
      </w:r>
      <w:r w:rsidR="00135B4A">
        <w:rPr>
          <w:bCs/>
        </w:rPr>
        <w:t>.</w:t>
      </w:r>
      <w:r w:rsidRPr="00C164D8">
        <w:rPr>
          <w:bCs/>
        </w:rPr>
        <w:t xml:space="preserve"> </w:t>
      </w:r>
      <w:r>
        <w:t xml:space="preserve">When passing the law, the Mississippi Legislature identified three state interests: </w:t>
      </w:r>
      <w:r w:rsidRPr="003678DB">
        <w:rPr>
          <w:b/>
          <w:bCs/>
        </w:rPr>
        <w:t>1)</w:t>
      </w:r>
      <w:r>
        <w:t xml:space="preserve"> protecting the life of the unborn; </w:t>
      </w:r>
      <w:r w:rsidRPr="003678DB">
        <w:rPr>
          <w:b/>
          <w:bCs/>
        </w:rPr>
        <w:t>2)</w:t>
      </w:r>
      <w:r>
        <w:t xml:space="preserve"> protecting the medical profession; and </w:t>
      </w:r>
      <w:r w:rsidRPr="003678DB">
        <w:rPr>
          <w:b/>
          <w:bCs/>
        </w:rPr>
        <w:t>3)</w:t>
      </w:r>
      <w:r>
        <w:t xml:space="preserve"> protecting the health of people who are pregnant.</w:t>
      </w:r>
      <w:r w:rsidR="004B7865">
        <w:t xml:space="preserve"> </w:t>
      </w:r>
      <w:r w:rsidRPr="00C164D8">
        <w:t>The day Mississippi enacted the 15-week ban, Jackson Women’s Health Organization filed a case in federal court challeng</w:t>
      </w:r>
      <w:r w:rsidR="00190C9E">
        <w:t xml:space="preserve">ing </w:t>
      </w:r>
      <w:r w:rsidRPr="00C164D8">
        <w:t>the constitutionality of the law</w:t>
      </w:r>
      <w:r w:rsidR="00374EC8">
        <w:t xml:space="preserve"> because it conflicted with the precedents set in </w:t>
      </w:r>
      <w:r w:rsidR="00374EC8" w:rsidRPr="000C5E68">
        <w:rPr>
          <w:i/>
          <w:iCs/>
        </w:rPr>
        <w:t xml:space="preserve">Roe </w:t>
      </w:r>
      <w:r w:rsidR="00374EC8">
        <w:t xml:space="preserve">and </w:t>
      </w:r>
      <w:r w:rsidR="00374EC8" w:rsidRPr="000C5E68">
        <w:rPr>
          <w:i/>
          <w:iCs/>
        </w:rPr>
        <w:t>Casey</w:t>
      </w:r>
      <w:r w:rsidR="00374EC8">
        <w:t xml:space="preserve">. </w:t>
      </w:r>
    </w:p>
    <w:p w14:paraId="7F417C29" w14:textId="74ACBC36" w:rsidR="008628EF" w:rsidRPr="00354914" w:rsidRDefault="008628EF" w:rsidP="00C873A9">
      <w:pPr>
        <w:spacing w:after="120" w:line="276" w:lineRule="auto"/>
        <w:ind w:left="360"/>
        <w:rPr>
          <w:rFonts w:ascii="Garamond" w:eastAsia="Times New Roman" w:hAnsi="Garamond" w:cs="Times New Roman"/>
          <w:bCs/>
          <w:color w:val="000000"/>
          <w:sz w:val="24"/>
          <w:szCs w:val="24"/>
        </w:rPr>
      </w:pPr>
      <w:r w:rsidRPr="00354914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In a 6-3 decision, </w:t>
      </w:r>
      <w:r w:rsidR="00DB7E32" w:rsidRPr="00354914">
        <w:rPr>
          <w:rFonts w:ascii="Garamond" w:eastAsia="Times New Roman" w:hAnsi="Garamond" w:cs="Times New Roman"/>
          <w:bCs/>
          <w:color w:val="000000"/>
          <w:sz w:val="24"/>
          <w:szCs w:val="24"/>
        </w:rPr>
        <w:t>t</w:t>
      </w:r>
      <w:r w:rsidRPr="00354914">
        <w:rPr>
          <w:rFonts w:ascii="Garamond" w:eastAsia="Times New Roman" w:hAnsi="Garamond" w:cs="Times New Roman"/>
          <w:bCs/>
          <w:color w:val="000000"/>
          <w:sz w:val="24"/>
          <w:szCs w:val="24"/>
        </w:rPr>
        <w:t>he</w:t>
      </w:r>
      <w:r w:rsidR="00660C98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</w:t>
      </w:r>
      <w:r w:rsidR="00C126E1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U.S. </w:t>
      </w:r>
      <w:r w:rsidR="00660C98">
        <w:rPr>
          <w:rFonts w:ascii="Garamond" w:eastAsia="Times New Roman" w:hAnsi="Garamond" w:cs="Times New Roman"/>
          <w:bCs/>
          <w:color w:val="000000"/>
          <w:sz w:val="24"/>
          <w:szCs w:val="24"/>
        </w:rPr>
        <w:t>Supreme</w:t>
      </w:r>
      <w:r w:rsidRPr="00354914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Court found that </w:t>
      </w:r>
      <w:r w:rsidR="00B71741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the </w:t>
      </w:r>
      <w:r w:rsidR="00660C98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Mississippi </w:t>
      </w:r>
      <w:r w:rsidR="00B71741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ban </w:t>
      </w:r>
      <w:r w:rsidR="00660C98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was not unconstitutional </w:t>
      </w:r>
      <w:r w:rsidR="00103091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because </w:t>
      </w:r>
      <w:r w:rsidRPr="00354914">
        <w:rPr>
          <w:rFonts w:ascii="Garamond" w:eastAsia="Times New Roman" w:hAnsi="Garamond" w:cs="Times New Roman"/>
          <w:bCs/>
          <w:color w:val="000000"/>
          <w:sz w:val="24"/>
          <w:szCs w:val="24"/>
        </w:rPr>
        <w:t>the Constitution does not protect the right to an abortion</w:t>
      </w:r>
      <w:r w:rsidR="008F795A">
        <w:rPr>
          <w:rFonts w:ascii="Garamond" w:eastAsia="Times New Roman" w:hAnsi="Garamond" w:cs="Times New Roman"/>
          <w:bCs/>
          <w:color w:val="000000"/>
          <w:sz w:val="24"/>
          <w:szCs w:val="24"/>
        </w:rPr>
        <w:t>. This decision</w:t>
      </w:r>
      <w:r w:rsidRPr="00354914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overturn</w:t>
      </w:r>
      <w:r w:rsidR="008F795A">
        <w:rPr>
          <w:rFonts w:ascii="Garamond" w:eastAsia="Times New Roman" w:hAnsi="Garamond" w:cs="Times New Roman"/>
          <w:bCs/>
          <w:color w:val="000000"/>
          <w:sz w:val="24"/>
          <w:szCs w:val="24"/>
        </w:rPr>
        <w:t>ed</w:t>
      </w:r>
      <w:r w:rsidRPr="00354914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the precedents set in </w:t>
      </w:r>
      <w:r w:rsidRPr="00354914">
        <w:rPr>
          <w:rFonts w:ascii="Garamond" w:eastAsia="Times New Roman" w:hAnsi="Garamond" w:cs="Times New Roman"/>
          <w:bCs/>
          <w:i/>
          <w:iCs/>
          <w:color w:val="000000"/>
          <w:sz w:val="24"/>
          <w:szCs w:val="24"/>
        </w:rPr>
        <w:t>Roe v. Wade</w:t>
      </w:r>
      <w:r w:rsidRPr="00354914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and </w:t>
      </w:r>
      <w:r w:rsidRPr="00354914">
        <w:rPr>
          <w:rFonts w:ascii="Garamond" w:eastAsia="Times New Roman" w:hAnsi="Garamond" w:cs="Times New Roman"/>
          <w:bCs/>
          <w:i/>
          <w:iCs/>
          <w:color w:val="000000"/>
          <w:sz w:val="24"/>
          <w:szCs w:val="24"/>
        </w:rPr>
        <w:t>Planned Parenthood of Southeastern Pennsylvania v. Casey</w:t>
      </w:r>
      <w:r w:rsidRPr="00354914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. Therefore, states have the authority to regulate abortion. Justice Alito, writing for the majority, emphasized that the Constitution does not refer to abortion at all. </w:t>
      </w:r>
      <w:r w:rsidR="00766505" w:rsidRPr="00354914">
        <w:rPr>
          <w:rFonts w:ascii="Garamond" w:eastAsia="Times New Roman" w:hAnsi="Garamond" w:cs="Times New Roman"/>
          <w:bCs/>
          <w:color w:val="000000"/>
          <w:sz w:val="24"/>
          <w:szCs w:val="24"/>
        </w:rPr>
        <w:t>The majority</w:t>
      </w:r>
      <w:r w:rsidRPr="00354914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 explained that some rights not listed in the Constitution are protected by the Due </w:t>
      </w:r>
      <w:r w:rsidRPr="00354914">
        <w:rPr>
          <w:rFonts w:ascii="Garamond" w:eastAsia="Times New Roman" w:hAnsi="Garamond" w:cs="Times New Roman"/>
          <w:bCs/>
          <w:color w:val="000000"/>
          <w:sz w:val="24"/>
          <w:szCs w:val="24"/>
        </w:rPr>
        <w:lastRenderedPageBreak/>
        <w:t xml:space="preserve">Process Clause, but that abortion is not among them because it is not “deeply rooted in our Nation’s history.” </w:t>
      </w:r>
    </w:p>
    <w:p w14:paraId="04B789C7" w14:textId="153AE112" w:rsidR="008628EF" w:rsidRDefault="008628EF" w:rsidP="00C873A9">
      <w:pPr>
        <w:pStyle w:val="Basiccopysl"/>
        <w:ind w:left="360"/>
        <w:rPr>
          <w:rFonts w:cs="Arial"/>
          <w:color w:val="0C0C0C"/>
          <w:shd w:val="clear" w:color="auto" w:fill="FFFFFF"/>
        </w:rPr>
      </w:pPr>
      <w:r w:rsidRPr="00354914">
        <w:rPr>
          <w:rFonts w:cs="Arial"/>
          <w:bCs/>
          <w:color w:val="0C0C0C"/>
          <w:shd w:val="clear" w:color="auto" w:fill="FFFFFF"/>
        </w:rPr>
        <w:t xml:space="preserve">Justice Alito stated that although the decisions in </w:t>
      </w:r>
      <w:r w:rsidRPr="00354914">
        <w:rPr>
          <w:rStyle w:val="Emphasis"/>
          <w:rFonts w:cs="Arial"/>
          <w:bCs/>
          <w:color w:val="0C0C0C"/>
          <w:bdr w:val="none" w:sz="0" w:space="0" w:color="auto" w:frame="1"/>
          <w:shd w:val="clear" w:color="auto" w:fill="FFFFFF"/>
        </w:rPr>
        <w:t>Roe</w:t>
      </w:r>
      <w:r w:rsidRPr="00354914">
        <w:rPr>
          <w:rFonts w:cs="Arial"/>
          <w:bCs/>
          <w:color w:val="0C0C0C"/>
          <w:shd w:val="clear" w:color="auto" w:fill="FFFFFF"/>
        </w:rPr>
        <w:t> and </w:t>
      </w:r>
      <w:r w:rsidRPr="00354914">
        <w:rPr>
          <w:rStyle w:val="Emphasis"/>
          <w:rFonts w:cs="Arial"/>
          <w:bCs/>
          <w:color w:val="0C0C0C"/>
          <w:bdr w:val="none" w:sz="0" w:space="0" w:color="auto" w:frame="1"/>
          <w:shd w:val="clear" w:color="auto" w:fill="FFFFFF"/>
        </w:rPr>
        <w:t>Casey</w:t>
      </w:r>
      <w:r w:rsidRPr="00354914">
        <w:rPr>
          <w:rFonts w:cs="Arial"/>
          <w:bCs/>
          <w:color w:val="0C0C0C"/>
          <w:shd w:val="clear" w:color="auto" w:fill="FFFFFF"/>
        </w:rPr>
        <w:t xml:space="preserve"> established a right to an abortion, they should be overruled despite the doctrine of </w:t>
      </w:r>
      <w:r w:rsidRPr="00354914">
        <w:rPr>
          <w:rFonts w:cs="Arial"/>
          <w:bCs/>
          <w:i/>
          <w:iCs/>
          <w:color w:val="0C0C0C"/>
          <w:shd w:val="clear" w:color="auto" w:fill="FFFFFF"/>
        </w:rPr>
        <w:t>stare decisis</w:t>
      </w:r>
      <w:r w:rsidR="001E6B4C">
        <w:rPr>
          <w:rFonts w:cs="Arial"/>
          <w:bCs/>
          <w:i/>
          <w:iCs/>
          <w:color w:val="0C0C0C"/>
          <w:shd w:val="clear" w:color="auto" w:fill="FFFFFF"/>
        </w:rPr>
        <w:t>,</w:t>
      </w:r>
      <w:r w:rsidR="00DD13B6">
        <w:rPr>
          <w:rFonts w:cs="Arial"/>
          <w:bCs/>
          <w:i/>
          <w:iCs/>
          <w:color w:val="0C0C0C"/>
          <w:shd w:val="clear" w:color="auto" w:fill="FFFFFF"/>
        </w:rPr>
        <w:t xml:space="preserve"> </w:t>
      </w:r>
      <w:r w:rsidR="00DD13B6" w:rsidRPr="00B30149">
        <w:rPr>
          <w:rFonts w:cs="Arial"/>
          <w:bCs/>
          <w:color w:val="0C0C0C"/>
          <w:shd w:val="clear" w:color="auto" w:fill="FFFFFF"/>
        </w:rPr>
        <w:t xml:space="preserve">which generally </w:t>
      </w:r>
      <w:r w:rsidR="00B30149" w:rsidRPr="00B30149">
        <w:rPr>
          <w:rFonts w:cs="Arial"/>
          <w:bCs/>
          <w:color w:val="0C0C0C"/>
          <w:shd w:val="clear" w:color="auto" w:fill="FFFFFF"/>
        </w:rPr>
        <w:t xml:space="preserve">requires the Supreme Court to </w:t>
      </w:r>
      <w:r w:rsidR="00881E7C">
        <w:rPr>
          <w:rFonts w:cs="Arial"/>
          <w:bCs/>
          <w:color w:val="0C0C0C"/>
          <w:shd w:val="clear" w:color="auto" w:fill="FFFFFF"/>
        </w:rPr>
        <w:t>follow</w:t>
      </w:r>
      <w:r w:rsidR="00B30149" w:rsidRPr="00B30149">
        <w:rPr>
          <w:rFonts w:cs="Arial"/>
          <w:bCs/>
          <w:color w:val="0C0C0C"/>
          <w:shd w:val="clear" w:color="auto" w:fill="FFFFFF"/>
        </w:rPr>
        <w:t xml:space="preserve"> precedents when deciding current cases</w:t>
      </w:r>
      <w:r w:rsidRPr="00B30149">
        <w:rPr>
          <w:rFonts w:cs="Arial"/>
          <w:bCs/>
          <w:color w:val="0C0C0C"/>
          <w:shd w:val="clear" w:color="auto" w:fill="FFFFFF"/>
        </w:rPr>
        <w:t>.</w:t>
      </w:r>
      <w:r w:rsidRPr="00354914">
        <w:rPr>
          <w:rFonts w:cs="Arial"/>
          <w:bCs/>
          <w:color w:val="0C0C0C"/>
          <w:shd w:val="clear" w:color="auto" w:fill="FFFFFF"/>
        </w:rPr>
        <w:t xml:space="preserve"> He explained that </w:t>
      </w:r>
      <w:r w:rsidRPr="00354914">
        <w:rPr>
          <w:rFonts w:cs="Arial"/>
          <w:bCs/>
          <w:i/>
          <w:iCs/>
          <w:color w:val="0C0C0C"/>
          <w:shd w:val="clear" w:color="auto" w:fill="FFFFFF"/>
        </w:rPr>
        <w:t>stare decisis</w:t>
      </w:r>
      <w:r w:rsidRPr="00354914">
        <w:rPr>
          <w:rFonts w:cs="Arial"/>
          <w:bCs/>
          <w:color w:val="0C0C0C"/>
          <w:shd w:val="clear" w:color="auto" w:fill="FFFFFF"/>
        </w:rPr>
        <w:t xml:space="preserve"> should not be followed when a previous ruling is grievously (seriously) incorrect as he argues these were. He noted landmark decisions like </w:t>
      </w:r>
      <w:r w:rsidRPr="00354914">
        <w:rPr>
          <w:rStyle w:val="Emphasis"/>
          <w:rFonts w:cs="Arial"/>
          <w:bCs/>
          <w:color w:val="0C0C0C"/>
          <w:bdr w:val="none" w:sz="0" w:space="0" w:color="auto" w:frame="1"/>
          <w:shd w:val="clear" w:color="auto" w:fill="FFFFFF"/>
        </w:rPr>
        <w:t>Brown v. Board of Education,</w:t>
      </w:r>
      <w:r w:rsidRPr="00354914">
        <w:rPr>
          <w:rFonts w:cs="Arial"/>
          <w:bCs/>
          <w:color w:val="0C0C0C"/>
          <w:shd w:val="clear" w:color="auto" w:fill="FFFFFF"/>
        </w:rPr>
        <w:t xml:space="preserve"> which rejected the “separate but equal” doctrine, had overruled the precedent set in </w:t>
      </w:r>
      <w:r w:rsidRPr="00354914">
        <w:rPr>
          <w:rFonts w:cs="Arial"/>
          <w:bCs/>
          <w:i/>
          <w:iCs/>
          <w:color w:val="0C0C0C"/>
          <w:shd w:val="clear" w:color="auto" w:fill="FFFFFF"/>
        </w:rPr>
        <w:t xml:space="preserve">Plessy v. </w:t>
      </w:r>
      <w:r w:rsidRPr="00DB7E32">
        <w:rPr>
          <w:rFonts w:cs="Arial"/>
          <w:i/>
          <w:iCs/>
          <w:color w:val="0C0C0C"/>
          <w:shd w:val="clear" w:color="auto" w:fill="FFFFFF"/>
        </w:rPr>
        <w:t>Ferguson</w:t>
      </w:r>
      <w:r w:rsidRPr="00DB7E32">
        <w:rPr>
          <w:rFonts w:cs="Arial"/>
          <w:color w:val="0C0C0C"/>
          <w:shd w:val="clear" w:color="auto" w:fill="FFFFFF"/>
        </w:rPr>
        <w:t>. He also stated that the issue of abortion should be determined by the people’s representatives at the state level.</w:t>
      </w:r>
    </w:p>
    <w:p w14:paraId="3E5547D8" w14:textId="77777777" w:rsidR="00643DAE" w:rsidRDefault="00643DAE" w:rsidP="00643DAE">
      <w:pPr>
        <w:pStyle w:val="QuestionstoConsiderLMC"/>
      </w:pPr>
      <w:r>
        <w:t>Questions to Consider</w:t>
      </w:r>
    </w:p>
    <w:p w14:paraId="64B93718" w14:textId="77777777" w:rsidR="00C73AEC" w:rsidRDefault="00643DAE" w:rsidP="00C73AEC">
      <w:pPr>
        <w:pStyle w:val="NumberswithroomforanswersLMC"/>
        <w:numPr>
          <w:ilvl w:val="0"/>
          <w:numId w:val="4"/>
        </w:numPr>
        <w:spacing w:after="2880"/>
        <w:ind w:left="360"/>
      </w:pPr>
      <w:r>
        <w:t xml:space="preserve">What </w:t>
      </w:r>
      <w:r w:rsidR="00354914">
        <w:t xml:space="preserve">was the precedent set in </w:t>
      </w:r>
      <w:r w:rsidR="00354914" w:rsidRPr="00354914">
        <w:rPr>
          <w:i/>
          <w:iCs/>
        </w:rPr>
        <w:t>Roe v. Wade</w:t>
      </w:r>
      <w:r w:rsidR="00933E3B">
        <w:rPr>
          <w:i/>
          <w:iCs/>
        </w:rPr>
        <w:t xml:space="preserve"> </w:t>
      </w:r>
      <w:r w:rsidR="00933E3B" w:rsidRPr="00933E3B">
        <w:t>(1973)</w:t>
      </w:r>
      <w:r w:rsidR="00354914">
        <w:t>?</w:t>
      </w:r>
    </w:p>
    <w:p w14:paraId="795C5B58" w14:textId="4DF1751A" w:rsidR="00F80D8E" w:rsidRDefault="00643DAE" w:rsidP="002854E2">
      <w:pPr>
        <w:pStyle w:val="NumberswithroomforanswersLMC"/>
        <w:numPr>
          <w:ilvl w:val="0"/>
          <w:numId w:val="4"/>
        </w:numPr>
        <w:spacing w:after="2880"/>
        <w:ind w:left="360"/>
      </w:pPr>
      <w:r>
        <w:t>Although</w:t>
      </w:r>
      <w:r w:rsidRPr="00C73AEC">
        <w:rPr>
          <w:i/>
          <w:iCs/>
        </w:rPr>
        <w:t xml:space="preserve"> </w:t>
      </w:r>
      <w:r w:rsidR="00C73AEC" w:rsidRPr="00C73AEC">
        <w:rPr>
          <w:bCs/>
          <w:i/>
        </w:rPr>
        <w:t>Planned Parenthood of Southeastern Pennsylvania v. Casey</w:t>
      </w:r>
      <w:r w:rsidR="00C73AEC" w:rsidRPr="00C73AEC">
        <w:rPr>
          <w:bCs/>
        </w:rPr>
        <w:t xml:space="preserve"> (1992)</w:t>
      </w:r>
      <w:r w:rsidRPr="00C73AEC">
        <w:rPr>
          <w:i/>
          <w:iCs/>
        </w:rPr>
        <w:t xml:space="preserve"> </w:t>
      </w:r>
      <w:r>
        <w:t xml:space="preserve">did not overturn the basic holding of </w:t>
      </w:r>
      <w:r w:rsidRPr="00C73AEC">
        <w:rPr>
          <w:i/>
          <w:iCs/>
        </w:rPr>
        <w:t>Roe</w:t>
      </w:r>
      <w:r>
        <w:t xml:space="preserve">, it did modify it. </w:t>
      </w:r>
      <w:r w:rsidR="00C73AEC">
        <w:t>How d</w:t>
      </w:r>
      <w:r>
        <w:t xml:space="preserve">id </w:t>
      </w:r>
      <w:r w:rsidRPr="00C73AEC">
        <w:rPr>
          <w:i/>
          <w:iCs/>
        </w:rPr>
        <w:t>Casey</w:t>
      </w:r>
      <w:r>
        <w:t xml:space="preserve"> </w:t>
      </w:r>
      <w:r w:rsidR="00FA5F15">
        <w:t xml:space="preserve">change </w:t>
      </w:r>
      <w:r w:rsidR="0019444B">
        <w:t>the limits on state restrictions set out</w:t>
      </w:r>
      <w:r>
        <w:t xml:space="preserve"> in </w:t>
      </w:r>
      <w:r w:rsidRPr="00C73AEC">
        <w:rPr>
          <w:i/>
          <w:iCs/>
        </w:rPr>
        <w:t>Roe</w:t>
      </w:r>
      <w:r>
        <w:t xml:space="preserve">? </w:t>
      </w:r>
    </w:p>
    <w:p w14:paraId="0B375841" w14:textId="7801E790" w:rsidR="00E529FD" w:rsidRDefault="00E529FD" w:rsidP="00125C12">
      <w:pPr>
        <w:pStyle w:val="NumberswithroomforanswersLMC"/>
        <w:numPr>
          <w:ilvl w:val="0"/>
          <w:numId w:val="4"/>
        </w:numPr>
        <w:spacing w:after="2880"/>
        <w:ind w:left="360"/>
      </w:pPr>
      <w:r>
        <w:t xml:space="preserve">How was the precedent set in </w:t>
      </w:r>
      <w:r w:rsidRPr="00F80D8E">
        <w:rPr>
          <w:i/>
        </w:rPr>
        <w:t xml:space="preserve">Roe v. Wade </w:t>
      </w:r>
      <w:r>
        <w:t xml:space="preserve">applied to a </w:t>
      </w:r>
      <w:r w:rsidR="00A448B8">
        <w:t xml:space="preserve">person’s </w:t>
      </w:r>
      <w:r>
        <w:t xml:space="preserve">right to an abortion presented in </w:t>
      </w:r>
      <w:r w:rsidR="00D16DE1" w:rsidRPr="00F80D8E">
        <w:rPr>
          <w:bCs/>
          <w:i/>
        </w:rPr>
        <w:t xml:space="preserve">Whole Woman’s Health v. </w:t>
      </w:r>
      <w:proofErr w:type="spellStart"/>
      <w:r w:rsidR="00D16DE1" w:rsidRPr="00F80D8E">
        <w:rPr>
          <w:bCs/>
          <w:i/>
        </w:rPr>
        <w:t>Hellerstedt</w:t>
      </w:r>
      <w:proofErr w:type="spellEnd"/>
      <w:r w:rsidR="00D16DE1" w:rsidRPr="00F80D8E">
        <w:rPr>
          <w:bCs/>
        </w:rPr>
        <w:t xml:space="preserve"> (2016)</w:t>
      </w:r>
      <w:r w:rsidR="00F80D8E" w:rsidRPr="00F80D8E">
        <w:rPr>
          <w:bCs/>
        </w:rPr>
        <w:t xml:space="preserve"> </w:t>
      </w:r>
      <w:r w:rsidR="00F80D8E">
        <w:rPr>
          <w:bCs/>
        </w:rPr>
        <w:t>and</w:t>
      </w:r>
      <w:r>
        <w:t xml:space="preserve"> </w:t>
      </w:r>
      <w:r w:rsidRPr="00F80D8E">
        <w:rPr>
          <w:bCs/>
          <w:i/>
          <w:iCs/>
        </w:rPr>
        <w:t>June Medical Services LLC v. Russo</w:t>
      </w:r>
      <w:r w:rsidRPr="00F80D8E">
        <w:rPr>
          <w:bCs/>
        </w:rPr>
        <w:t xml:space="preserve"> </w:t>
      </w:r>
      <w:r w:rsidRPr="00F80D8E">
        <w:rPr>
          <w:bCs/>
          <w:iCs/>
        </w:rPr>
        <w:t xml:space="preserve">(2020)? </w:t>
      </w:r>
    </w:p>
    <w:p w14:paraId="278B7C30" w14:textId="3C6AC11E" w:rsidR="009E053E" w:rsidRPr="009E053E" w:rsidRDefault="000F64B6" w:rsidP="009E053E">
      <w:pPr>
        <w:pStyle w:val="NumberswithroomforanswersLMC"/>
        <w:numPr>
          <w:ilvl w:val="0"/>
          <w:numId w:val="4"/>
        </w:numPr>
        <w:spacing w:after="2880"/>
        <w:ind w:left="360"/>
      </w:pPr>
      <w:r>
        <w:lastRenderedPageBreak/>
        <w:t>W</w:t>
      </w:r>
      <w:r w:rsidR="00573FE3">
        <w:t>hat reasoning did Justice Alito give</w:t>
      </w:r>
      <w:r>
        <w:t xml:space="preserve"> </w:t>
      </w:r>
      <w:r w:rsidR="00F80D8E">
        <w:t xml:space="preserve">in </w:t>
      </w:r>
      <w:r>
        <w:t xml:space="preserve">the </w:t>
      </w:r>
      <w:r w:rsidR="00F80D8E">
        <w:t>opinion</w:t>
      </w:r>
      <w:r>
        <w:t xml:space="preserve"> </w:t>
      </w:r>
      <w:r w:rsidR="009E053E">
        <w:t xml:space="preserve">in </w:t>
      </w:r>
      <w:r w:rsidR="009E053E" w:rsidRPr="009E053E">
        <w:rPr>
          <w:bCs/>
          <w:i/>
        </w:rPr>
        <w:t xml:space="preserve">Dobbs v. Jackson Women's Health Organization </w:t>
      </w:r>
      <w:r w:rsidR="009E053E" w:rsidRPr="009E053E">
        <w:rPr>
          <w:bCs/>
          <w:iCs/>
        </w:rPr>
        <w:t>(2022)</w:t>
      </w:r>
      <w:r w:rsidR="005436F3">
        <w:rPr>
          <w:bCs/>
          <w:iCs/>
        </w:rPr>
        <w:t xml:space="preserve"> for overruling prior precedent</w:t>
      </w:r>
      <w:r w:rsidR="002C2DFF">
        <w:rPr>
          <w:bCs/>
          <w:iCs/>
        </w:rPr>
        <w:t>s</w:t>
      </w:r>
      <w:r w:rsidR="005436F3">
        <w:rPr>
          <w:bCs/>
          <w:iCs/>
        </w:rPr>
        <w:t>?</w:t>
      </w:r>
    </w:p>
    <w:p w14:paraId="5BB4CD4D" w14:textId="16DA78BC" w:rsidR="009E053E" w:rsidRDefault="007A2D51" w:rsidP="00AF40CF">
      <w:pPr>
        <w:pStyle w:val="NumberswithroomforanswersLMC"/>
        <w:numPr>
          <w:ilvl w:val="0"/>
          <w:numId w:val="4"/>
        </w:numPr>
        <w:spacing w:after="2880"/>
        <w:ind w:left="360"/>
      </w:pPr>
      <w:r>
        <w:t xml:space="preserve">If you were a justice </w:t>
      </w:r>
      <w:r w:rsidR="001B03B9">
        <w:t xml:space="preserve">in </w:t>
      </w:r>
      <w:r w:rsidR="001B03B9" w:rsidRPr="009E053E">
        <w:rPr>
          <w:bCs/>
          <w:i/>
        </w:rPr>
        <w:t xml:space="preserve">Dobbs v. Jackson Women's Health Organization </w:t>
      </w:r>
      <w:r w:rsidR="001B03B9" w:rsidRPr="009E053E">
        <w:rPr>
          <w:bCs/>
          <w:iCs/>
        </w:rPr>
        <w:t>(2022)</w:t>
      </w:r>
      <w:r w:rsidR="00781821">
        <w:rPr>
          <w:bCs/>
          <w:iCs/>
        </w:rPr>
        <w:t xml:space="preserve">, would you have continued to apply the precedent set in </w:t>
      </w:r>
      <w:r w:rsidR="00781821" w:rsidRPr="00933E3B">
        <w:rPr>
          <w:bCs/>
          <w:i/>
        </w:rPr>
        <w:t>Roe</w:t>
      </w:r>
      <w:r w:rsidR="00B42909">
        <w:rPr>
          <w:bCs/>
          <w:i/>
        </w:rPr>
        <w:t xml:space="preserve"> </w:t>
      </w:r>
      <w:r w:rsidR="00B42909" w:rsidRPr="00B42909">
        <w:rPr>
          <w:bCs/>
          <w:iCs/>
        </w:rPr>
        <w:t xml:space="preserve">and </w:t>
      </w:r>
      <w:r w:rsidR="00B42909">
        <w:rPr>
          <w:bCs/>
          <w:i/>
        </w:rPr>
        <w:t>Casey</w:t>
      </w:r>
      <w:r w:rsidR="00781821">
        <w:rPr>
          <w:bCs/>
          <w:iCs/>
        </w:rPr>
        <w:t xml:space="preserve"> or </w:t>
      </w:r>
      <w:r w:rsidR="002601ED">
        <w:rPr>
          <w:bCs/>
          <w:iCs/>
        </w:rPr>
        <w:t>vote</w:t>
      </w:r>
      <w:r w:rsidR="00944A03">
        <w:rPr>
          <w:bCs/>
          <w:iCs/>
        </w:rPr>
        <w:t>d</w:t>
      </w:r>
      <w:r w:rsidR="002601ED">
        <w:rPr>
          <w:bCs/>
          <w:iCs/>
        </w:rPr>
        <w:t xml:space="preserve"> to overrule it? Explain your answer. </w:t>
      </w:r>
    </w:p>
    <w:p w14:paraId="5FA7D5B4" w14:textId="77777777" w:rsidR="00643DAE" w:rsidRPr="0036717E" w:rsidRDefault="00643DAE" w:rsidP="0036717E">
      <w:pPr>
        <w:pStyle w:val="Basiccopysl"/>
        <w:ind w:left="720"/>
        <w:rPr>
          <w:rFonts w:eastAsia="Times New Roman" w:cs="Times New Roman"/>
          <w:color w:val="000000"/>
        </w:rPr>
      </w:pPr>
    </w:p>
    <w:sectPr w:rsidR="00643DAE" w:rsidRPr="0036717E" w:rsidSect="00ED3D8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D94B5" w14:textId="77777777" w:rsidR="002E453E" w:rsidRDefault="002E453E" w:rsidP="008628EF">
      <w:pPr>
        <w:spacing w:after="0" w:line="240" w:lineRule="auto"/>
      </w:pPr>
      <w:r>
        <w:separator/>
      </w:r>
    </w:p>
  </w:endnote>
  <w:endnote w:type="continuationSeparator" w:id="0">
    <w:p w14:paraId="5813EEE5" w14:textId="77777777" w:rsidR="002E453E" w:rsidRDefault="002E453E" w:rsidP="00862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dobe Garamond Pro Bold">
    <w:altName w:val="Garamond"/>
    <w:panose1 w:val="02020702060506090403"/>
    <w:charset w:val="00"/>
    <w:family w:val="roman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sz w:val="24"/>
        <w:szCs w:val="24"/>
      </w:rPr>
    </w:sdtEndPr>
    <w:sdtContent>
      <w:p w14:paraId="585E9E55" w14:textId="3FFD7A59" w:rsidR="00ED3D8E" w:rsidRPr="006D69FD" w:rsidRDefault="006D69FD">
        <w:pPr>
          <w:pStyle w:val="Footer"/>
          <w:rPr>
            <w:rFonts w:ascii="Garamond" w:hAnsi="Garamond"/>
          </w:rPr>
        </w:pPr>
        <w:r w:rsidRPr="006D69FD">
          <w:rPr>
            <w:rStyle w:val="BasiccopyslChar"/>
            <w:sz w:val="22"/>
            <w:szCs w:val="22"/>
          </w:rPr>
          <w:t>© 202</w:t>
        </w:r>
        <w:r>
          <w:rPr>
            <w:rStyle w:val="BasiccopyslChar"/>
            <w:sz w:val="22"/>
            <w:szCs w:val="22"/>
          </w:rPr>
          <w:t>3</w:t>
        </w:r>
        <w:r w:rsidRPr="006D69FD">
          <w:rPr>
            <w:rStyle w:val="BasiccopyslChar"/>
            <w:sz w:val="22"/>
            <w:szCs w:val="22"/>
          </w:rPr>
          <w:t xml:space="preserve"> Street Law, Inc.</w:t>
        </w:r>
        <w:r w:rsidRPr="006D69FD">
          <w:rPr>
            <w:rStyle w:val="BasiccopyslChar"/>
            <w:sz w:val="22"/>
            <w:szCs w:val="22"/>
          </w:rPr>
          <w:tab/>
        </w:r>
        <w:r w:rsidRPr="006D69FD">
          <w:rPr>
            <w:rStyle w:val="BasiccopyslChar"/>
            <w:sz w:val="22"/>
            <w:szCs w:val="22"/>
          </w:rPr>
          <w:tab/>
          <w:t xml:space="preserve"> </w:t>
        </w:r>
        <w:r w:rsidRPr="006D69FD">
          <w:rPr>
            <w:rStyle w:val="BasiccopyslChar"/>
            <w:sz w:val="22"/>
            <w:szCs w:val="22"/>
          </w:rPr>
          <w:fldChar w:fldCharType="begin"/>
        </w:r>
        <w:r w:rsidRPr="006D69FD">
          <w:rPr>
            <w:rStyle w:val="BasiccopyslChar"/>
            <w:sz w:val="22"/>
            <w:szCs w:val="22"/>
          </w:rPr>
          <w:instrText xml:space="preserve"> PAGE   \* MERGEFORMAT </w:instrText>
        </w:r>
        <w:r w:rsidRPr="006D69FD">
          <w:rPr>
            <w:rStyle w:val="BasiccopyslChar"/>
            <w:sz w:val="22"/>
            <w:szCs w:val="22"/>
          </w:rPr>
          <w:fldChar w:fldCharType="separate"/>
        </w:r>
        <w:r w:rsidRPr="006D69FD">
          <w:rPr>
            <w:rStyle w:val="BasiccopyslChar"/>
            <w:sz w:val="22"/>
            <w:szCs w:val="22"/>
          </w:rPr>
          <w:t>2</w:t>
        </w:r>
        <w:r w:rsidRPr="006D69FD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25CAB" w14:textId="2BF8DCD9" w:rsidR="00ED3D8E" w:rsidRPr="00DA7D1F" w:rsidRDefault="00000000">
    <w:pPr>
      <w:pStyle w:val="Footer"/>
      <w:rPr>
        <w:rFonts w:ascii="Garamond" w:eastAsia="Garamond" w:hAnsi="Garamond" w:cs="Garamond"/>
        <w:sz w:val="20"/>
        <w:szCs w:val="20"/>
      </w:rPr>
    </w:pPr>
    <w:sdt>
      <w:sdtPr>
        <w:rPr>
          <w:rFonts w:ascii="Garamond" w:hAnsi="Garamond"/>
          <w:sz w:val="20"/>
          <w:szCs w:val="20"/>
        </w:rPr>
        <w:id w:val="-2033488440"/>
        <w:docPartObj>
          <w:docPartGallery w:val="Page Numbers (Bottom of Page)"/>
          <w:docPartUnique/>
        </w:docPartObj>
      </w:sdtPr>
      <w:sdtEndPr>
        <w:rPr>
          <w:rStyle w:val="BasiccopyslChar"/>
          <w:sz w:val="22"/>
          <w:szCs w:val="22"/>
        </w:rPr>
      </w:sdtEndPr>
      <w:sdtContent>
        <w:r w:rsidR="001D533F" w:rsidRPr="00DA7D1F">
          <w:rPr>
            <w:rStyle w:val="BasiccopyslChar"/>
            <w:sz w:val="22"/>
            <w:szCs w:val="22"/>
          </w:rPr>
          <w:t>© 202</w:t>
        </w:r>
        <w:r w:rsidR="00DA7D1F" w:rsidRPr="00DA7D1F">
          <w:rPr>
            <w:rStyle w:val="BasiccopyslChar"/>
            <w:sz w:val="22"/>
            <w:szCs w:val="22"/>
          </w:rPr>
          <w:t>3</w:t>
        </w:r>
        <w:r w:rsidR="001D533F" w:rsidRPr="00DA7D1F">
          <w:rPr>
            <w:rStyle w:val="BasiccopyslChar"/>
            <w:sz w:val="22"/>
            <w:szCs w:val="22"/>
          </w:rPr>
          <w:t xml:space="preserve"> Street Law, Inc.</w:t>
        </w:r>
        <w:r w:rsidR="001D533F" w:rsidRPr="00DA7D1F">
          <w:rPr>
            <w:rStyle w:val="BasiccopyslChar"/>
            <w:sz w:val="22"/>
            <w:szCs w:val="22"/>
          </w:rPr>
          <w:tab/>
        </w:r>
        <w:r w:rsidR="001D533F" w:rsidRPr="00DA7D1F">
          <w:rPr>
            <w:rStyle w:val="BasiccopyslChar"/>
            <w:sz w:val="22"/>
            <w:szCs w:val="22"/>
          </w:rPr>
          <w:tab/>
          <w:t xml:space="preserve"> Last updated: </w:t>
        </w:r>
      </w:sdtContent>
    </w:sdt>
    <w:r w:rsidR="001D533F" w:rsidRPr="00DA7D1F">
      <w:rPr>
        <w:rStyle w:val="BasiccopyslChar"/>
        <w:sz w:val="22"/>
        <w:szCs w:val="22"/>
      </w:rPr>
      <w:t>11/07/2023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3B69C" w14:textId="77777777" w:rsidR="002E453E" w:rsidRDefault="002E453E" w:rsidP="008628EF">
      <w:pPr>
        <w:spacing w:after="0" w:line="240" w:lineRule="auto"/>
      </w:pPr>
      <w:r>
        <w:separator/>
      </w:r>
    </w:p>
  </w:footnote>
  <w:footnote w:type="continuationSeparator" w:id="0">
    <w:p w14:paraId="7179FA34" w14:textId="77777777" w:rsidR="002E453E" w:rsidRDefault="002E453E" w:rsidP="00862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B8A80" w14:textId="55BBACEF" w:rsidR="00EE67A0" w:rsidRDefault="00EE67A0" w:rsidP="00944A03">
    <w:pPr>
      <w:pStyle w:val="Basiccopysl"/>
      <w:spacing w:after="0"/>
    </w:pPr>
    <w:r w:rsidRPr="00C96058">
      <w:rPr>
        <w:sz w:val="22"/>
        <w:szCs w:val="22"/>
      </w:rPr>
      <w:t>LandmarkCases.org</w:t>
    </w:r>
    <w:r w:rsidRPr="00C96058">
      <w:rPr>
        <w:sz w:val="22"/>
        <w:szCs w:val="22"/>
      </w:rPr>
      <w:tab/>
    </w:r>
    <w:r w:rsidRPr="00C96058">
      <w:rPr>
        <w:sz w:val="22"/>
        <w:szCs w:val="22"/>
      </w:rPr>
      <w:tab/>
    </w:r>
    <w:r w:rsidRPr="00C96058">
      <w:rPr>
        <w:sz w:val="22"/>
        <w:szCs w:val="22"/>
      </w:rPr>
      <w:tab/>
    </w:r>
    <w:r>
      <w:rPr>
        <w:sz w:val="22"/>
        <w:szCs w:val="22"/>
      </w:rPr>
      <w:t xml:space="preserve">          </w:t>
    </w:r>
    <w:r>
      <w:rPr>
        <w:sz w:val="22"/>
        <w:szCs w:val="22"/>
      </w:rPr>
      <w:tab/>
    </w:r>
    <w:r>
      <w:rPr>
        <w:i/>
        <w:iCs/>
        <w:sz w:val="22"/>
        <w:szCs w:val="22"/>
      </w:rPr>
      <w:t>Roe v. Wade</w:t>
    </w:r>
    <w:r w:rsidRPr="00C96058">
      <w:rPr>
        <w:sz w:val="22"/>
        <w:szCs w:val="22"/>
      </w:rPr>
      <w:t xml:space="preserve"> / </w:t>
    </w:r>
    <w:r w:rsidR="005439A0">
      <w:rPr>
        <w:sz w:val="22"/>
        <w:szCs w:val="22"/>
      </w:rPr>
      <w:t xml:space="preserve">Supreme Court Decisions from </w:t>
    </w:r>
    <w:r w:rsidR="005439A0" w:rsidRPr="005439A0">
      <w:rPr>
        <w:i/>
        <w:iCs/>
        <w:sz w:val="22"/>
        <w:szCs w:val="22"/>
      </w:rPr>
      <w:t>Roe</w:t>
    </w:r>
    <w:r w:rsidR="005439A0">
      <w:rPr>
        <w:sz w:val="22"/>
        <w:szCs w:val="22"/>
      </w:rPr>
      <w:t xml:space="preserve"> to </w:t>
    </w:r>
    <w:r w:rsidR="005439A0" w:rsidRPr="005439A0">
      <w:rPr>
        <w:i/>
        <w:iCs/>
        <w:sz w:val="22"/>
        <w:szCs w:val="22"/>
      </w:rPr>
      <w:t>Dobbs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50F5" w14:textId="4EB312C6" w:rsidR="00ED3D8E" w:rsidRDefault="00DA7D1F" w:rsidP="00DA7D1F">
    <w:pPr>
      <w:pStyle w:val="Basiccopysl"/>
      <w:spacing w:after="0"/>
    </w:pPr>
    <w:r w:rsidRPr="00C96058">
      <w:rPr>
        <w:sz w:val="22"/>
        <w:szCs w:val="22"/>
      </w:rPr>
      <w:t>LandmarkCases.org</w:t>
    </w:r>
    <w:r w:rsidRPr="00C96058">
      <w:rPr>
        <w:sz w:val="22"/>
        <w:szCs w:val="22"/>
      </w:rPr>
      <w:tab/>
    </w:r>
    <w:r w:rsidRPr="00C96058">
      <w:rPr>
        <w:sz w:val="22"/>
        <w:szCs w:val="22"/>
      </w:rPr>
      <w:tab/>
    </w:r>
    <w:r w:rsidRPr="00C96058">
      <w:rPr>
        <w:sz w:val="22"/>
        <w:szCs w:val="22"/>
      </w:rPr>
      <w:tab/>
    </w:r>
    <w:r>
      <w:rPr>
        <w:sz w:val="22"/>
        <w:szCs w:val="22"/>
      </w:rPr>
      <w:t xml:space="preserve">          </w:t>
    </w:r>
    <w:r>
      <w:rPr>
        <w:sz w:val="22"/>
        <w:szCs w:val="22"/>
      </w:rPr>
      <w:tab/>
    </w:r>
    <w:r>
      <w:rPr>
        <w:i/>
        <w:iCs/>
        <w:sz w:val="22"/>
        <w:szCs w:val="22"/>
      </w:rPr>
      <w:t>Roe v. Wade</w:t>
    </w:r>
    <w:r w:rsidRPr="00C96058">
      <w:rPr>
        <w:sz w:val="22"/>
        <w:szCs w:val="22"/>
      </w:rPr>
      <w:t xml:space="preserve"> / </w:t>
    </w:r>
    <w:r>
      <w:rPr>
        <w:sz w:val="22"/>
        <w:szCs w:val="22"/>
      </w:rPr>
      <w:t xml:space="preserve">Supreme Court Decisions from </w:t>
    </w:r>
    <w:r w:rsidRPr="005439A0">
      <w:rPr>
        <w:i/>
        <w:iCs/>
        <w:sz w:val="22"/>
        <w:szCs w:val="22"/>
      </w:rPr>
      <w:t>Roe</w:t>
    </w:r>
    <w:r>
      <w:rPr>
        <w:sz w:val="22"/>
        <w:szCs w:val="22"/>
      </w:rPr>
      <w:t xml:space="preserve"> to </w:t>
    </w:r>
    <w:r w:rsidRPr="005439A0">
      <w:rPr>
        <w:i/>
        <w:iCs/>
        <w:sz w:val="22"/>
        <w:szCs w:val="22"/>
      </w:rPr>
      <w:t>Dobbs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40D0D"/>
    <w:multiLevelType w:val="hybridMultilevel"/>
    <w:tmpl w:val="685E38BC"/>
    <w:lvl w:ilvl="0" w:tplc="E5F4733E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2A27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00D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48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A4E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0AD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E8B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033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A61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457E0"/>
    <w:multiLevelType w:val="hybridMultilevel"/>
    <w:tmpl w:val="648EFBB0"/>
    <w:lvl w:ilvl="0" w:tplc="31E43E4C">
      <w:start w:val="1"/>
      <w:numFmt w:val="decimal"/>
      <w:pStyle w:val="NumberswithroomforanswersLMC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235B2"/>
    <w:multiLevelType w:val="hybridMultilevel"/>
    <w:tmpl w:val="D63E9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9435">
    <w:abstractNumId w:val="0"/>
  </w:num>
  <w:num w:numId="2" w16cid:durableId="6766879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8407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128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8199336">
    <w:abstractNumId w:val="0"/>
  </w:num>
  <w:num w:numId="6" w16cid:durableId="176890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28"/>
    <w:rsid w:val="000B371A"/>
    <w:rsid w:val="000C5E68"/>
    <w:rsid w:val="000F64B6"/>
    <w:rsid w:val="00103091"/>
    <w:rsid w:val="00104A01"/>
    <w:rsid w:val="00135B4A"/>
    <w:rsid w:val="00190C9E"/>
    <w:rsid w:val="0019444B"/>
    <w:rsid w:val="001B03B9"/>
    <w:rsid w:val="001D533F"/>
    <w:rsid w:val="001E6B4C"/>
    <w:rsid w:val="002601ED"/>
    <w:rsid w:val="002C2DFF"/>
    <w:rsid w:val="002E453E"/>
    <w:rsid w:val="00354914"/>
    <w:rsid w:val="0036717E"/>
    <w:rsid w:val="003678DB"/>
    <w:rsid w:val="00374EC8"/>
    <w:rsid w:val="003A1C22"/>
    <w:rsid w:val="003C1E7F"/>
    <w:rsid w:val="003E01D0"/>
    <w:rsid w:val="003E027E"/>
    <w:rsid w:val="003F792F"/>
    <w:rsid w:val="004117BE"/>
    <w:rsid w:val="004508D7"/>
    <w:rsid w:val="004654DE"/>
    <w:rsid w:val="004B7865"/>
    <w:rsid w:val="0051539B"/>
    <w:rsid w:val="005251D0"/>
    <w:rsid w:val="0053536A"/>
    <w:rsid w:val="005436F3"/>
    <w:rsid w:val="005439A0"/>
    <w:rsid w:val="00551CD6"/>
    <w:rsid w:val="00573FE3"/>
    <w:rsid w:val="00574A71"/>
    <w:rsid w:val="0059570F"/>
    <w:rsid w:val="005C6EE3"/>
    <w:rsid w:val="005F7D0A"/>
    <w:rsid w:val="00602763"/>
    <w:rsid w:val="00610969"/>
    <w:rsid w:val="0062565A"/>
    <w:rsid w:val="00625C7E"/>
    <w:rsid w:val="006328BA"/>
    <w:rsid w:val="00634228"/>
    <w:rsid w:val="00643DAE"/>
    <w:rsid w:val="00660C98"/>
    <w:rsid w:val="006C3363"/>
    <w:rsid w:val="006D69FD"/>
    <w:rsid w:val="00703C18"/>
    <w:rsid w:val="00766505"/>
    <w:rsid w:val="007814D7"/>
    <w:rsid w:val="00781821"/>
    <w:rsid w:val="007A2D51"/>
    <w:rsid w:val="007B2B92"/>
    <w:rsid w:val="007B52BC"/>
    <w:rsid w:val="007C7DBB"/>
    <w:rsid w:val="007F726A"/>
    <w:rsid w:val="008141CB"/>
    <w:rsid w:val="008628EF"/>
    <w:rsid w:val="008646A3"/>
    <w:rsid w:val="00871DC1"/>
    <w:rsid w:val="00881E7C"/>
    <w:rsid w:val="008D5C4E"/>
    <w:rsid w:val="008F795A"/>
    <w:rsid w:val="00933E3B"/>
    <w:rsid w:val="00944A03"/>
    <w:rsid w:val="009674A7"/>
    <w:rsid w:val="00975A52"/>
    <w:rsid w:val="009A3E89"/>
    <w:rsid w:val="009D3AAC"/>
    <w:rsid w:val="009E053E"/>
    <w:rsid w:val="009E549D"/>
    <w:rsid w:val="00A13003"/>
    <w:rsid w:val="00A448B8"/>
    <w:rsid w:val="00A55EB6"/>
    <w:rsid w:val="00A565C1"/>
    <w:rsid w:val="00A74F44"/>
    <w:rsid w:val="00AC6953"/>
    <w:rsid w:val="00AD42C3"/>
    <w:rsid w:val="00AD448C"/>
    <w:rsid w:val="00AF40CF"/>
    <w:rsid w:val="00B30149"/>
    <w:rsid w:val="00B42909"/>
    <w:rsid w:val="00B601CC"/>
    <w:rsid w:val="00B71741"/>
    <w:rsid w:val="00BA3C56"/>
    <w:rsid w:val="00BC2ACA"/>
    <w:rsid w:val="00BF54CA"/>
    <w:rsid w:val="00C126E1"/>
    <w:rsid w:val="00C164D8"/>
    <w:rsid w:val="00C26A83"/>
    <w:rsid w:val="00C41F42"/>
    <w:rsid w:val="00C46F9D"/>
    <w:rsid w:val="00C73AEC"/>
    <w:rsid w:val="00C873A9"/>
    <w:rsid w:val="00C94A28"/>
    <w:rsid w:val="00D06F6B"/>
    <w:rsid w:val="00D16DE1"/>
    <w:rsid w:val="00D50754"/>
    <w:rsid w:val="00D57A61"/>
    <w:rsid w:val="00D60F4F"/>
    <w:rsid w:val="00D73ACF"/>
    <w:rsid w:val="00D86D25"/>
    <w:rsid w:val="00DA46B4"/>
    <w:rsid w:val="00DA7D1F"/>
    <w:rsid w:val="00DB7E32"/>
    <w:rsid w:val="00DC7A58"/>
    <w:rsid w:val="00DD13B6"/>
    <w:rsid w:val="00DE58A7"/>
    <w:rsid w:val="00E077C4"/>
    <w:rsid w:val="00E23CF1"/>
    <w:rsid w:val="00E30674"/>
    <w:rsid w:val="00E41627"/>
    <w:rsid w:val="00E529FD"/>
    <w:rsid w:val="00E876FF"/>
    <w:rsid w:val="00EB5781"/>
    <w:rsid w:val="00EB580B"/>
    <w:rsid w:val="00ED3D8E"/>
    <w:rsid w:val="00EE67A0"/>
    <w:rsid w:val="00EF1AAD"/>
    <w:rsid w:val="00F0616B"/>
    <w:rsid w:val="00F210FF"/>
    <w:rsid w:val="00F80D66"/>
    <w:rsid w:val="00F80D8E"/>
    <w:rsid w:val="00FA5F15"/>
    <w:rsid w:val="00FB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5ABB5"/>
  <w15:chartTrackingRefBased/>
  <w15:docId w15:val="{25EC7600-D82E-4449-A029-29186B46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l">
    <w:name w:val="Bullet_sl"/>
    <w:basedOn w:val="Normal"/>
    <w:link w:val="BulletslChar"/>
    <w:qFormat/>
    <w:rsid w:val="00D60F4F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Basiccopyindentedsl">
    <w:name w:val="Basic copy indented_sl"/>
    <w:basedOn w:val="Normal"/>
    <w:rsid w:val="00D60F4F"/>
    <w:pPr>
      <w:spacing w:after="120" w:line="276" w:lineRule="auto"/>
      <w:ind w:left="720"/>
    </w:pPr>
    <w:rPr>
      <w:rFonts w:ascii="Garamond" w:hAnsi="Garamond"/>
      <w:sz w:val="24"/>
      <w:szCs w:val="24"/>
    </w:rPr>
  </w:style>
  <w:style w:type="paragraph" w:customStyle="1" w:styleId="Bulletboldsl">
    <w:name w:val="Bullet bold_sl"/>
    <w:basedOn w:val="Bulletsl"/>
    <w:rsid w:val="00D60F4F"/>
    <w:pPr>
      <w:spacing w:before="240" w:line="276" w:lineRule="auto"/>
    </w:pPr>
    <w:rPr>
      <w:b/>
      <w:iCs/>
    </w:rPr>
  </w:style>
  <w:style w:type="character" w:customStyle="1" w:styleId="Subhead3slChar">
    <w:name w:val="Subhead 3_sl Char"/>
    <w:basedOn w:val="DefaultParagraphFont"/>
    <w:link w:val="Subhead3sl"/>
    <w:locked/>
    <w:rsid w:val="007F726A"/>
    <w:rPr>
      <w:rFonts w:ascii="Garamond" w:hAnsi="Garamond"/>
      <w:b/>
      <w:sz w:val="24"/>
      <w:szCs w:val="24"/>
    </w:rPr>
  </w:style>
  <w:style w:type="paragraph" w:customStyle="1" w:styleId="Subhead3sl">
    <w:name w:val="Subhead 3_sl"/>
    <w:basedOn w:val="Normal"/>
    <w:link w:val="Subhead3slChar"/>
    <w:qFormat/>
    <w:rsid w:val="007F726A"/>
    <w:pPr>
      <w:spacing w:before="360" w:after="120" w:line="276" w:lineRule="auto"/>
    </w:pPr>
    <w:rPr>
      <w:rFonts w:ascii="Garamond" w:hAnsi="Garamond"/>
      <w:b/>
      <w:sz w:val="24"/>
      <w:szCs w:val="24"/>
    </w:rPr>
  </w:style>
  <w:style w:type="character" w:customStyle="1" w:styleId="Title2slChar">
    <w:name w:val="Title 2_sl Char"/>
    <w:basedOn w:val="DefaultParagraphFont"/>
    <w:link w:val="Title2sl"/>
    <w:locked/>
    <w:rsid w:val="005C6EE3"/>
    <w:rPr>
      <w:rFonts w:ascii="Gill Sans MT" w:hAnsi="Gill Sans MT"/>
      <w:b/>
      <w:i/>
      <w:sz w:val="36"/>
      <w:szCs w:val="36"/>
    </w:rPr>
  </w:style>
  <w:style w:type="paragraph" w:customStyle="1" w:styleId="Title2sl">
    <w:name w:val="Title 2_sl"/>
    <w:basedOn w:val="Normal"/>
    <w:link w:val="Title2slChar"/>
    <w:qFormat/>
    <w:rsid w:val="005C6EE3"/>
    <w:pPr>
      <w:spacing w:before="240" w:after="240" w:line="240" w:lineRule="auto"/>
      <w:jc w:val="center"/>
    </w:pPr>
    <w:rPr>
      <w:rFonts w:ascii="Gill Sans MT" w:hAnsi="Gill Sans MT"/>
      <w:b/>
      <w:i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qFormat/>
    <w:rsid w:val="008628EF"/>
    <w:rPr>
      <w:rFonts w:ascii="Garamond" w:hAnsi="Garamond" w:hint="default"/>
      <w:color w:val="0000FF"/>
      <w:sz w:val="24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28EF"/>
    <w:pPr>
      <w:spacing w:after="0" w:line="240" w:lineRule="auto"/>
    </w:pPr>
    <w:rPr>
      <w:rFonts w:ascii="Garamond" w:hAnsi="Garamond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28EF"/>
    <w:rPr>
      <w:rFonts w:ascii="Garamond" w:hAnsi="Garamond"/>
      <w:sz w:val="20"/>
      <w:szCs w:val="20"/>
    </w:rPr>
  </w:style>
  <w:style w:type="character" w:customStyle="1" w:styleId="BasiccopyslChar">
    <w:name w:val="Basic copy_sl Char"/>
    <w:basedOn w:val="DefaultParagraphFont"/>
    <w:link w:val="Basiccopysl"/>
    <w:locked/>
    <w:rsid w:val="008628EF"/>
    <w:rPr>
      <w:rFonts w:ascii="Garamond" w:hAnsi="Garamond"/>
      <w:sz w:val="24"/>
      <w:szCs w:val="24"/>
    </w:rPr>
  </w:style>
  <w:style w:type="paragraph" w:customStyle="1" w:styleId="Basiccopysl">
    <w:name w:val="Basic copy_sl"/>
    <w:basedOn w:val="Normal"/>
    <w:link w:val="BasiccopyslChar"/>
    <w:qFormat/>
    <w:rsid w:val="008628EF"/>
    <w:pPr>
      <w:spacing w:after="120" w:line="276" w:lineRule="auto"/>
    </w:pPr>
    <w:rPr>
      <w:rFonts w:ascii="Garamond" w:hAnsi="Garamond"/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8628EF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8628EF"/>
    <w:rPr>
      <w:i/>
      <w:iCs/>
    </w:rPr>
  </w:style>
  <w:style w:type="character" w:customStyle="1" w:styleId="Title1slChar">
    <w:name w:val="Title 1_sl Char"/>
    <w:basedOn w:val="DefaultParagraphFont"/>
    <w:link w:val="Title1sl"/>
    <w:locked/>
    <w:rsid w:val="00703C18"/>
    <w:rPr>
      <w:rFonts w:ascii="Gill Sans MT" w:hAnsi="Gill Sans MT"/>
      <w:b/>
      <w:sz w:val="48"/>
      <w:szCs w:val="48"/>
    </w:rPr>
  </w:style>
  <w:style w:type="paragraph" w:customStyle="1" w:styleId="Title1sl">
    <w:name w:val="Title 1_sl"/>
    <w:basedOn w:val="Normal"/>
    <w:link w:val="Title1slChar"/>
    <w:qFormat/>
    <w:rsid w:val="00703C18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character" w:customStyle="1" w:styleId="BasiccopyLMCChar">
    <w:name w:val="Basic copy_LMC Char"/>
    <w:basedOn w:val="DefaultParagraphFont"/>
    <w:link w:val="BasiccopyLMC"/>
    <w:locked/>
    <w:rsid w:val="00703C18"/>
    <w:rPr>
      <w:rFonts w:ascii="Garamond" w:hAnsi="Garamond"/>
      <w:sz w:val="24"/>
      <w:szCs w:val="24"/>
    </w:rPr>
  </w:style>
  <w:style w:type="paragraph" w:customStyle="1" w:styleId="BasiccopyLMC">
    <w:name w:val="Basic copy_LMC"/>
    <w:basedOn w:val="Normal"/>
    <w:link w:val="BasiccopyLMCChar"/>
    <w:qFormat/>
    <w:rsid w:val="00703C18"/>
    <w:pPr>
      <w:spacing w:after="240" w:line="240" w:lineRule="auto"/>
    </w:pPr>
    <w:rPr>
      <w:rFonts w:ascii="Garamond" w:hAnsi="Garamond"/>
      <w:sz w:val="24"/>
      <w:szCs w:val="24"/>
    </w:rPr>
  </w:style>
  <w:style w:type="character" w:customStyle="1" w:styleId="NumberswithroomforanswersLMCChar">
    <w:name w:val="Numbers with room for answers_LMC Char"/>
    <w:basedOn w:val="DefaultParagraphFont"/>
    <w:link w:val="NumberswithroomforanswersLMC"/>
    <w:locked/>
    <w:rsid w:val="00643DAE"/>
    <w:rPr>
      <w:rFonts w:ascii="Garamond" w:hAnsi="Garamond"/>
      <w:sz w:val="24"/>
      <w:szCs w:val="24"/>
    </w:rPr>
  </w:style>
  <w:style w:type="paragraph" w:customStyle="1" w:styleId="NumberswithroomforanswersLMC">
    <w:name w:val="Numbers with room for answers_LMC"/>
    <w:basedOn w:val="Normal"/>
    <w:link w:val="NumberswithroomforanswersLMCChar"/>
    <w:qFormat/>
    <w:rsid w:val="00643DAE"/>
    <w:pPr>
      <w:numPr>
        <w:numId w:val="3"/>
      </w:numPr>
      <w:spacing w:after="2520" w:line="240" w:lineRule="auto"/>
    </w:pPr>
    <w:rPr>
      <w:rFonts w:ascii="Garamond" w:hAnsi="Garamond"/>
      <w:sz w:val="24"/>
      <w:szCs w:val="24"/>
    </w:rPr>
  </w:style>
  <w:style w:type="character" w:customStyle="1" w:styleId="QuestionstoConsiderLMCChar">
    <w:name w:val="Questions to Consider_LMC Char"/>
    <w:basedOn w:val="DefaultParagraphFont"/>
    <w:link w:val="QuestionstoConsiderLMC"/>
    <w:locked/>
    <w:rsid w:val="00643DAE"/>
    <w:rPr>
      <w:rFonts w:ascii="Gill Sans MT" w:hAnsi="Gill Sans MT"/>
      <w:b/>
      <w:sz w:val="28"/>
      <w:szCs w:val="28"/>
    </w:rPr>
  </w:style>
  <w:style w:type="paragraph" w:customStyle="1" w:styleId="QuestionstoConsiderLMC">
    <w:name w:val="Questions to Consider_LMC"/>
    <w:basedOn w:val="Normal"/>
    <w:link w:val="QuestionstoConsiderLMCChar"/>
    <w:qFormat/>
    <w:rsid w:val="00643DAE"/>
    <w:pPr>
      <w:spacing w:before="360" w:after="240" w:line="240" w:lineRule="auto"/>
    </w:pPr>
    <w:rPr>
      <w:rFonts w:ascii="Gill Sans MT" w:hAnsi="Gill Sans MT"/>
      <w:b/>
      <w:sz w:val="28"/>
      <w:szCs w:val="28"/>
    </w:rPr>
  </w:style>
  <w:style w:type="character" w:customStyle="1" w:styleId="BulletslChar">
    <w:name w:val="Bullet_sl Char"/>
    <w:basedOn w:val="DefaultParagraphFont"/>
    <w:link w:val="Bulletsl"/>
    <w:locked/>
    <w:rsid w:val="00C164D8"/>
    <w:rPr>
      <w:rFonts w:ascii="Garamond" w:hAnsi="Garamond"/>
      <w:sz w:val="24"/>
      <w:szCs w:val="24"/>
    </w:rPr>
  </w:style>
  <w:style w:type="paragraph" w:customStyle="1" w:styleId="Default">
    <w:name w:val="Default"/>
    <w:rsid w:val="00C164D8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6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7A0"/>
  </w:style>
  <w:style w:type="paragraph" w:styleId="Footer">
    <w:name w:val="footer"/>
    <w:basedOn w:val="Normal"/>
    <w:link w:val="FooterChar"/>
    <w:uiPriority w:val="99"/>
    <w:unhideWhenUsed/>
    <w:rsid w:val="00EE6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7A0"/>
  </w:style>
  <w:style w:type="character" w:styleId="Strong">
    <w:name w:val="Strong"/>
    <w:basedOn w:val="DefaultParagraphFont"/>
    <w:uiPriority w:val="22"/>
    <w:qFormat/>
    <w:rsid w:val="00D73ACF"/>
    <w:rPr>
      <w:b/>
      <w:bCs/>
    </w:rPr>
  </w:style>
  <w:style w:type="paragraph" w:styleId="Revision">
    <w:name w:val="Revision"/>
    <w:hidden/>
    <w:uiPriority w:val="99"/>
    <w:semiHidden/>
    <w:rsid w:val="00AC695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D3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3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3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AA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D3AA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6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1" ma:contentTypeDescription="Create a new document." ma:contentTypeScope="" ma:versionID="3d5c656b0fc03c6039c52ce2f45ebc33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6c13660b71893d9c65fdb36a9ffe3b94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A0F832-5D23-4FEE-AEC4-68CEF4D42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f227aa-5493-4bfe-a302-9771bcf92926"/>
    <ds:schemaRef ds:uri="f90ba59e-6231-420d-b202-993c34413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449F41-7E25-41AC-BC66-D124F7038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1074</Words>
  <Characters>6123</Characters>
  <Application>Microsoft Office Word</Application>
  <DocSecurity>0</DocSecurity>
  <Lines>51</Lines>
  <Paragraphs>14</Paragraphs>
  <ScaleCrop>false</ScaleCrop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Ruffing</dc:creator>
  <cp:keywords/>
  <dc:description/>
  <cp:lastModifiedBy>Allison Hawkins</cp:lastModifiedBy>
  <cp:revision>120</cp:revision>
  <dcterms:created xsi:type="dcterms:W3CDTF">2023-10-24T13:52:00Z</dcterms:created>
  <dcterms:modified xsi:type="dcterms:W3CDTF">2023-11-07T18:39:00Z</dcterms:modified>
</cp:coreProperties>
</file>