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941A2" w14:textId="2C5B1F48" w:rsidR="00171293" w:rsidRPr="00D25601" w:rsidRDefault="00964797" w:rsidP="0079020E">
      <w:pPr>
        <w:pStyle w:val="Title1sl"/>
        <w:pBdr>
          <w:bottom w:val="single" w:sz="12" w:space="1" w:color="auto"/>
        </w:pBdr>
        <w:spacing w:before="240"/>
        <w:rPr>
          <w:sz w:val="40"/>
          <w:szCs w:val="40"/>
        </w:rPr>
      </w:pPr>
      <w:r>
        <w:rPr>
          <w:i/>
          <w:iCs/>
          <w:sz w:val="40"/>
          <w:szCs w:val="40"/>
        </w:rPr>
        <w:t>Roe v. Wade</w:t>
      </w:r>
      <w:r w:rsidR="00171293" w:rsidRPr="00D25601">
        <w:rPr>
          <w:sz w:val="40"/>
          <w:szCs w:val="40"/>
        </w:rPr>
        <w:t xml:space="preserve"> </w:t>
      </w:r>
      <w:r w:rsidR="00F64E56" w:rsidRPr="00D25601">
        <w:rPr>
          <w:sz w:val="40"/>
          <w:szCs w:val="40"/>
        </w:rPr>
        <w:t xml:space="preserve">/ </w:t>
      </w:r>
      <w:r w:rsidR="00C351BB" w:rsidRPr="00C351BB">
        <w:rPr>
          <w:sz w:val="40"/>
          <w:szCs w:val="40"/>
        </w:rPr>
        <w:t xml:space="preserve">The </w:t>
      </w:r>
      <w:r w:rsidR="00C351BB" w:rsidRPr="00C351BB">
        <w:rPr>
          <w:i/>
          <w:iCs/>
          <w:sz w:val="40"/>
          <w:szCs w:val="40"/>
        </w:rPr>
        <w:t xml:space="preserve">Casey </w:t>
      </w:r>
      <w:r w:rsidR="00C351BB" w:rsidRPr="00C351BB">
        <w:rPr>
          <w:sz w:val="40"/>
          <w:szCs w:val="40"/>
        </w:rPr>
        <w:t xml:space="preserve">Case: </w:t>
      </w:r>
      <w:r w:rsidR="00C351BB" w:rsidRPr="00C351BB">
        <w:rPr>
          <w:i/>
          <w:iCs/>
          <w:sz w:val="40"/>
          <w:szCs w:val="40"/>
        </w:rPr>
        <w:t>Roe</w:t>
      </w:r>
      <w:r w:rsidR="00C351BB" w:rsidRPr="00C351BB">
        <w:rPr>
          <w:sz w:val="40"/>
          <w:szCs w:val="40"/>
        </w:rPr>
        <w:t xml:space="preserve"> Revisited?</w:t>
      </w:r>
    </w:p>
    <w:p w14:paraId="31114B09" w14:textId="308FBAFA" w:rsidR="00A77C25" w:rsidRDefault="00A77C25" w:rsidP="00A77C25">
      <w:pPr>
        <w:pStyle w:val="Subhead3sl"/>
      </w:pPr>
      <w:r>
        <w:t>Directions:</w:t>
      </w:r>
    </w:p>
    <w:p w14:paraId="23D87178" w14:textId="3774C3BE" w:rsidR="00A77C25" w:rsidRDefault="00A77C25" w:rsidP="00A77C25">
      <w:pPr>
        <w:pStyle w:val="BasiccopyLMC"/>
        <w:numPr>
          <w:ilvl w:val="0"/>
          <w:numId w:val="30"/>
        </w:numPr>
        <w:spacing w:after="120" w:line="276" w:lineRule="auto"/>
        <w:rPr>
          <w:sz w:val="25"/>
          <w:szCs w:val="25"/>
        </w:rPr>
      </w:pPr>
      <w:r>
        <w:rPr>
          <w:sz w:val="25"/>
          <w:szCs w:val="25"/>
        </w:rPr>
        <w:t xml:space="preserve">Read the </w:t>
      </w:r>
      <w:r>
        <w:rPr>
          <w:b/>
          <w:bCs/>
          <w:sz w:val="25"/>
          <w:szCs w:val="25"/>
        </w:rPr>
        <w:t>s</w:t>
      </w:r>
      <w:r w:rsidRPr="00A77C25">
        <w:rPr>
          <w:b/>
          <w:bCs/>
          <w:sz w:val="25"/>
          <w:szCs w:val="25"/>
        </w:rPr>
        <w:t>ummary</w:t>
      </w:r>
      <w:r>
        <w:rPr>
          <w:sz w:val="25"/>
          <w:szCs w:val="25"/>
        </w:rPr>
        <w:t xml:space="preserve"> of the decision in </w:t>
      </w:r>
      <w:r w:rsidRPr="00E00F10">
        <w:rPr>
          <w:i/>
          <w:iCs/>
          <w:sz w:val="25"/>
          <w:szCs w:val="25"/>
        </w:rPr>
        <w:t>Planned Parenthood of Southern Pennsylvania v. Casey</w:t>
      </w:r>
      <w:r w:rsidR="00245F3A">
        <w:rPr>
          <w:i/>
          <w:iCs/>
          <w:sz w:val="25"/>
          <w:szCs w:val="25"/>
        </w:rPr>
        <w:t xml:space="preserve"> </w:t>
      </w:r>
      <w:r w:rsidR="00245F3A">
        <w:rPr>
          <w:sz w:val="25"/>
          <w:szCs w:val="25"/>
        </w:rPr>
        <w:t>(below)</w:t>
      </w:r>
      <w:r w:rsidRPr="00E00F10">
        <w:rPr>
          <w:sz w:val="25"/>
          <w:szCs w:val="25"/>
        </w:rPr>
        <w:t>.</w:t>
      </w:r>
    </w:p>
    <w:p w14:paraId="6121F8E7" w14:textId="0A430EEB" w:rsidR="00A77C25" w:rsidRDefault="00A77C25" w:rsidP="00A77C25">
      <w:pPr>
        <w:pStyle w:val="BasiccopyLMC"/>
        <w:numPr>
          <w:ilvl w:val="0"/>
          <w:numId w:val="30"/>
        </w:numPr>
        <w:spacing w:after="120" w:line="276" w:lineRule="auto"/>
        <w:rPr>
          <w:sz w:val="25"/>
          <w:szCs w:val="25"/>
        </w:rPr>
      </w:pPr>
      <w:r>
        <w:rPr>
          <w:sz w:val="25"/>
          <w:szCs w:val="25"/>
        </w:rPr>
        <w:t xml:space="preserve">Answer the </w:t>
      </w:r>
      <w:r w:rsidRPr="00A77C25">
        <w:rPr>
          <w:b/>
          <w:bCs/>
          <w:sz w:val="25"/>
          <w:szCs w:val="25"/>
        </w:rPr>
        <w:t>Questions to Consider</w:t>
      </w:r>
      <w:r w:rsidR="00245F3A">
        <w:rPr>
          <w:b/>
          <w:bCs/>
          <w:sz w:val="25"/>
          <w:szCs w:val="25"/>
        </w:rPr>
        <w:t xml:space="preserve"> </w:t>
      </w:r>
      <w:r w:rsidR="00245F3A" w:rsidRPr="00245F3A">
        <w:rPr>
          <w:sz w:val="25"/>
          <w:szCs w:val="25"/>
        </w:rPr>
        <w:t>(page 2)</w:t>
      </w:r>
      <w:r>
        <w:rPr>
          <w:sz w:val="25"/>
          <w:szCs w:val="25"/>
        </w:rPr>
        <w:t>.</w:t>
      </w:r>
    </w:p>
    <w:p w14:paraId="2E2FCF4B" w14:textId="7B303E3E" w:rsidR="00A77C25" w:rsidRDefault="00A77C25" w:rsidP="00A77C25">
      <w:pPr>
        <w:pStyle w:val="BasiccopyLMC"/>
        <w:spacing w:after="120" w:line="276" w:lineRule="auto"/>
        <w:rPr>
          <w:sz w:val="25"/>
          <w:szCs w:val="25"/>
        </w:rPr>
      </w:pPr>
      <w:r>
        <w:rPr>
          <w:sz w:val="25"/>
          <w:szCs w:val="25"/>
        </w:rPr>
        <w:pict w14:anchorId="04D0D41A">
          <v:rect id="_x0000_i1025" style="width:0;height:1.5pt" o:hralign="center" o:hrstd="t" o:hr="t" fillcolor="#a0a0a0" stroked="f"/>
        </w:pict>
      </w:r>
    </w:p>
    <w:p w14:paraId="0FAB79E4" w14:textId="39FA4571" w:rsidR="00A77C25" w:rsidRDefault="00A77C25" w:rsidP="00A77C25">
      <w:pPr>
        <w:pStyle w:val="Subhead1sl"/>
        <w:spacing w:before="120"/>
      </w:pPr>
      <w:r>
        <w:t>Summary</w:t>
      </w:r>
    </w:p>
    <w:p w14:paraId="7917CF89" w14:textId="4E7F9607" w:rsidR="00C351BB" w:rsidRPr="00E00F10" w:rsidRDefault="00C351BB" w:rsidP="00E00F10">
      <w:pPr>
        <w:pStyle w:val="BasiccopyLMC"/>
        <w:spacing w:after="120" w:line="276" w:lineRule="auto"/>
        <w:rPr>
          <w:sz w:val="25"/>
          <w:szCs w:val="25"/>
        </w:rPr>
      </w:pPr>
      <w:r w:rsidRPr="00E00F10">
        <w:rPr>
          <w:sz w:val="25"/>
          <w:szCs w:val="25"/>
        </w:rPr>
        <w:t xml:space="preserve">In 1992, the Supreme Court decided the case of </w:t>
      </w:r>
      <w:r w:rsidRPr="00E00F10">
        <w:rPr>
          <w:i/>
          <w:iCs/>
          <w:sz w:val="25"/>
          <w:szCs w:val="25"/>
        </w:rPr>
        <w:t>Planned Parenthood of Southern Pennsylvania v. Casey</w:t>
      </w:r>
      <w:r w:rsidRPr="00E00F10">
        <w:rPr>
          <w:sz w:val="25"/>
          <w:szCs w:val="25"/>
        </w:rPr>
        <w:t>.</w:t>
      </w:r>
      <w:r w:rsidR="00A77C25">
        <w:rPr>
          <w:rStyle w:val="FootnoteReference"/>
          <w:sz w:val="25"/>
          <w:szCs w:val="25"/>
        </w:rPr>
        <w:footnoteReference w:id="1"/>
      </w:r>
      <w:r w:rsidRPr="00E00F10">
        <w:rPr>
          <w:sz w:val="25"/>
          <w:szCs w:val="25"/>
        </w:rPr>
        <w:t xml:space="preserve">  At issue were five provisions of the Pennsylvania Abortion Control Act of 1982, which required that a woman seeking an abortion give her informed consent prior to the procedure; specified that she be provided with certain information at least 24 hours before the abortion is performed; mandated the informed consent of one parent for a minor to obtain an abortion; required that a married woman seeking an abortion notify her husband; and imposed certain reporting requirements on facilities providing abortion services. Because the make-up of the Court had changed and become more conservative </w:t>
      </w:r>
      <w:r w:rsidR="00B82C54" w:rsidRPr="00E00F10">
        <w:rPr>
          <w:sz w:val="25"/>
          <w:szCs w:val="25"/>
        </w:rPr>
        <w:t xml:space="preserve">in the almost </w:t>
      </w:r>
      <w:r w:rsidR="00D47713">
        <w:rPr>
          <w:sz w:val="25"/>
          <w:szCs w:val="25"/>
        </w:rPr>
        <w:t>20</w:t>
      </w:r>
      <w:r w:rsidR="00B82C54" w:rsidRPr="00E00F10">
        <w:rPr>
          <w:sz w:val="25"/>
          <w:szCs w:val="25"/>
        </w:rPr>
        <w:t xml:space="preserve"> years </w:t>
      </w:r>
      <w:r w:rsidRPr="00E00F10">
        <w:rPr>
          <w:sz w:val="25"/>
          <w:szCs w:val="25"/>
        </w:rPr>
        <w:t xml:space="preserve">since </w:t>
      </w:r>
      <w:r w:rsidRPr="00E00F10">
        <w:rPr>
          <w:i/>
          <w:iCs/>
          <w:sz w:val="25"/>
          <w:szCs w:val="25"/>
        </w:rPr>
        <w:t>Roe</w:t>
      </w:r>
      <w:r w:rsidR="00B82C54" w:rsidRPr="00E00F10">
        <w:rPr>
          <w:i/>
          <w:iCs/>
          <w:sz w:val="25"/>
          <w:szCs w:val="25"/>
        </w:rPr>
        <w:t xml:space="preserve"> v. Wade</w:t>
      </w:r>
      <w:r w:rsidRPr="00E00F10">
        <w:rPr>
          <w:sz w:val="25"/>
          <w:szCs w:val="25"/>
        </w:rPr>
        <w:t xml:space="preserve"> was decided</w:t>
      </w:r>
      <w:r w:rsidR="00B82C54" w:rsidRPr="00E00F10">
        <w:rPr>
          <w:sz w:val="25"/>
          <w:szCs w:val="25"/>
        </w:rPr>
        <w:t xml:space="preserve"> in 1973</w:t>
      </w:r>
      <w:r w:rsidRPr="00E00F10">
        <w:rPr>
          <w:sz w:val="25"/>
          <w:szCs w:val="25"/>
        </w:rPr>
        <w:t xml:space="preserve">, many people believed that the Court might use this case to overturn </w:t>
      </w:r>
      <w:r w:rsidRPr="00E00F10">
        <w:rPr>
          <w:i/>
          <w:iCs/>
          <w:sz w:val="25"/>
          <w:szCs w:val="25"/>
        </w:rPr>
        <w:t>Roe</w:t>
      </w:r>
      <w:r w:rsidRPr="00E00F10">
        <w:rPr>
          <w:sz w:val="25"/>
          <w:szCs w:val="25"/>
        </w:rPr>
        <w:t xml:space="preserve"> altogether.</w:t>
      </w:r>
    </w:p>
    <w:p w14:paraId="2181A518" w14:textId="43981D51" w:rsidR="00C351BB" w:rsidRPr="00E00F10" w:rsidRDefault="00C351BB" w:rsidP="00E00F10">
      <w:pPr>
        <w:pStyle w:val="BasiccopyLMC"/>
        <w:spacing w:after="120" w:line="276" w:lineRule="auto"/>
        <w:rPr>
          <w:sz w:val="25"/>
          <w:szCs w:val="25"/>
        </w:rPr>
      </w:pPr>
      <w:r w:rsidRPr="00E00F10">
        <w:rPr>
          <w:sz w:val="25"/>
          <w:szCs w:val="25"/>
        </w:rPr>
        <w:t xml:space="preserve">In a 5-4 decision the Court reaffirmed its commitment to </w:t>
      </w:r>
      <w:r w:rsidRPr="00E00F10">
        <w:rPr>
          <w:i/>
          <w:iCs/>
          <w:sz w:val="25"/>
          <w:szCs w:val="25"/>
        </w:rPr>
        <w:t>Roe</w:t>
      </w:r>
      <w:r w:rsidRPr="00E00F10">
        <w:rPr>
          <w:sz w:val="25"/>
          <w:szCs w:val="25"/>
        </w:rPr>
        <w:t xml:space="preserve"> and to the basic right of a woman to have an abortion under certain circumstances. Justice O’Connor, who authored the majority opinion, argued that </w:t>
      </w:r>
      <w:r w:rsidRPr="003376BC">
        <w:rPr>
          <w:i/>
          <w:iCs/>
          <w:sz w:val="25"/>
          <w:szCs w:val="25"/>
        </w:rPr>
        <w:t>stare decisis</w:t>
      </w:r>
      <w:r w:rsidRPr="00E00F10">
        <w:rPr>
          <w:sz w:val="25"/>
          <w:szCs w:val="25"/>
        </w:rPr>
        <w:t xml:space="preserve"> required the Court to not overturn</w:t>
      </w:r>
      <w:r w:rsidRPr="00E00F10">
        <w:rPr>
          <w:i/>
          <w:iCs/>
          <w:sz w:val="25"/>
          <w:szCs w:val="25"/>
        </w:rPr>
        <w:t xml:space="preserve"> Roe</w:t>
      </w:r>
      <w:r w:rsidRPr="00E00F10">
        <w:rPr>
          <w:sz w:val="25"/>
          <w:szCs w:val="25"/>
        </w:rPr>
        <w:t xml:space="preserve">. </w:t>
      </w:r>
      <w:r w:rsidRPr="00E00F10">
        <w:rPr>
          <w:i/>
          <w:iCs/>
          <w:sz w:val="25"/>
          <w:szCs w:val="25"/>
        </w:rPr>
        <w:t>Stare decisis</w:t>
      </w:r>
      <w:r w:rsidRPr="00E00F10">
        <w:rPr>
          <w:sz w:val="25"/>
          <w:szCs w:val="25"/>
        </w:rPr>
        <w:t xml:space="preserve"> is the general principal that when a point has been settled by decision, it forms a precedent </w:t>
      </w:r>
      <w:r w:rsidR="00D01A46">
        <w:rPr>
          <w:sz w:val="25"/>
          <w:szCs w:val="25"/>
        </w:rPr>
        <w:t>that</w:t>
      </w:r>
      <w:r w:rsidRPr="00E00F10">
        <w:rPr>
          <w:sz w:val="25"/>
          <w:szCs w:val="25"/>
        </w:rPr>
        <w:t xml:space="preserve"> is not afterwards to be departed from. However, the doctrine of </w:t>
      </w:r>
      <w:r w:rsidRPr="00E00F10">
        <w:rPr>
          <w:i/>
          <w:iCs/>
          <w:sz w:val="25"/>
          <w:szCs w:val="25"/>
        </w:rPr>
        <w:t>stare decisis</w:t>
      </w:r>
      <w:r w:rsidRPr="00E00F10">
        <w:rPr>
          <w:sz w:val="25"/>
          <w:szCs w:val="25"/>
        </w:rPr>
        <w:t xml:space="preserve"> is not always relied upon.  From time to time, the Court overrules earlier precedent that the </w:t>
      </w:r>
      <w:r w:rsidR="00C16ACA">
        <w:rPr>
          <w:sz w:val="25"/>
          <w:szCs w:val="25"/>
        </w:rPr>
        <w:t>j</w:t>
      </w:r>
      <w:r w:rsidRPr="00E00F10">
        <w:rPr>
          <w:sz w:val="25"/>
          <w:szCs w:val="25"/>
        </w:rPr>
        <w:t>ustices believe had been wrongly decided. O’Connor argued that a generation of women had come to depend on the right to an abortion. Nonetheless, certain restrictions were upheld.</w:t>
      </w:r>
    </w:p>
    <w:p w14:paraId="05A759F9" w14:textId="3D09931C" w:rsidR="00C351BB" w:rsidRPr="00E00F10" w:rsidRDefault="00C351BB" w:rsidP="00E00F10">
      <w:pPr>
        <w:pStyle w:val="BasiccopyLMC"/>
        <w:spacing w:after="120" w:line="276" w:lineRule="auto"/>
        <w:rPr>
          <w:sz w:val="25"/>
          <w:szCs w:val="25"/>
        </w:rPr>
      </w:pPr>
      <w:r w:rsidRPr="00E00F10">
        <w:rPr>
          <w:sz w:val="25"/>
          <w:szCs w:val="25"/>
        </w:rPr>
        <w:t xml:space="preserve">As a result of the case, a woman continues to have a right to an abortion before the fetus is viable (before the fetus could live independently outside of the mother’s womb). The Court held that states cannot prohibit abortion prior to </w:t>
      </w:r>
      <w:r w:rsidRPr="00E00F10">
        <w:rPr>
          <w:b/>
          <w:bCs/>
          <w:sz w:val="25"/>
          <w:szCs w:val="25"/>
        </w:rPr>
        <w:t>viability</w:t>
      </w:r>
      <w:r w:rsidRPr="00E00F10">
        <w:rPr>
          <w:sz w:val="25"/>
          <w:szCs w:val="25"/>
        </w:rPr>
        <w:t xml:space="preserve">. However, the states can regulate abortions before viability as long as the regulation does not place an </w:t>
      </w:r>
      <w:r w:rsidRPr="00E00F10">
        <w:rPr>
          <w:b/>
          <w:bCs/>
          <w:sz w:val="25"/>
          <w:szCs w:val="25"/>
        </w:rPr>
        <w:t>“undue burden”</w:t>
      </w:r>
      <w:r w:rsidRPr="00E00F10">
        <w:rPr>
          <w:sz w:val="25"/>
          <w:szCs w:val="25"/>
        </w:rPr>
        <w:t xml:space="preserve"> on the access to abortion. After fetal viability, however, states have increased power to restrict the availability of abortions. The state maintains the power to restrict some abortions because of its legitimate interest in protecting the health of the woman and the potential life of the fetus. The Court stated that a regulation places an “undue burden” on access to abortion when “a state </w:t>
      </w:r>
      <w:r w:rsidRPr="00E00F10">
        <w:rPr>
          <w:sz w:val="25"/>
          <w:szCs w:val="25"/>
        </w:rPr>
        <w:lastRenderedPageBreak/>
        <w:t xml:space="preserve">regulation has the purpose or effect of placing a </w:t>
      </w:r>
      <w:r w:rsidRPr="00A77C25">
        <w:rPr>
          <w:b/>
          <w:bCs/>
          <w:sz w:val="25"/>
          <w:szCs w:val="25"/>
        </w:rPr>
        <w:t>substantial obstacle</w:t>
      </w:r>
      <w:r w:rsidRPr="00E00F10">
        <w:rPr>
          <w:sz w:val="25"/>
          <w:szCs w:val="25"/>
        </w:rPr>
        <w:t xml:space="preserve"> in the path of a woman seeking an abortion of a nonviable fetus.” However, the Court did not define what constitutes a “substantial obstacle.” </w:t>
      </w:r>
      <w:r w:rsidR="00B82C54" w:rsidRPr="00E00F10">
        <w:rPr>
          <w:sz w:val="25"/>
          <w:szCs w:val="25"/>
        </w:rPr>
        <w:t>I</w:t>
      </w:r>
      <w:r w:rsidRPr="00E00F10">
        <w:rPr>
          <w:sz w:val="25"/>
          <w:szCs w:val="25"/>
        </w:rPr>
        <w:t xml:space="preserve">n </w:t>
      </w:r>
      <w:r w:rsidRPr="00E00F10">
        <w:rPr>
          <w:i/>
          <w:iCs/>
          <w:sz w:val="25"/>
          <w:szCs w:val="25"/>
        </w:rPr>
        <w:t>Casey</w:t>
      </w:r>
      <w:r w:rsidRPr="00E00F10">
        <w:rPr>
          <w:sz w:val="25"/>
          <w:szCs w:val="25"/>
        </w:rPr>
        <w:t>, the Court upheld the 24</w:t>
      </w:r>
      <w:r w:rsidR="00B82C54" w:rsidRPr="00E00F10">
        <w:rPr>
          <w:sz w:val="25"/>
          <w:szCs w:val="25"/>
        </w:rPr>
        <w:t>-</w:t>
      </w:r>
      <w:r w:rsidRPr="00E00F10">
        <w:rPr>
          <w:sz w:val="25"/>
          <w:szCs w:val="25"/>
        </w:rPr>
        <w:t>hour waiting period</w:t>
      </w:r>
      <w:r w:rsidR="00184933" w:rsidRPr="00E00F10">
        <w:rPr>
          <w:sz w:val="25"/>
          <w:szCs w:val="25"/>
        </w:rPr>
        <w:t xml:space="preserve"> and parental consent for a minor</w:t>
      </w:r>
      <w:r w:rsidRPr="00E00F10">
        <w:rPr>
          <w:sz w:val="25"/>
          <w:szCs w:val="25"/>
        </w:rPr>
        <w:t xml:space="preserve">, but </w:t>
      </w:r>
      <w:r w:rsidR="00A77C25">
        <w:rPr>
          <w:sz w:val="25"/>
          <w:szCs w:val="25"/>
        </w:rPr>
        <w:t xml:space="preserve">it </w:t>
      </w:r>
      <w:r w:rsidRPr="00E00F10">
        <w:rPr>
          <w:sz w:val="25"/>
          <w:szCs w:val="25"/>
        </w:rPr>
        <w:t xml:space="preserve">found the spousal notification requirement to be unconstitutional. </w:t>
      </w:r>
    </w:p>
    <w:p w14:paraId="67FF7E99" w14:textId="6F4B80DC" w:rsidR="00C351BB" w:rsidRDefault="00C351BB" w:rsidP="00C351BB">
      <w:pPr>
        <w:pStyle w:val="QuestionstoConsiderLMC"/>
      </w:pPr>
      <w:r>
        <w:t>Questions to Consider</w:t>
      </w:r>
    </w:p>
    <w:p w14:paraId="4FA89789" w14:textId="77777777" w:rsidR="00C351BB" w:rsidRDefault="00C351BB" w:rsidP="00A77C25">
      <w:pPr>
        <w:pStyle w:val="NumberswithroomforanswersLMC"/>
        <w:numPr>
          <w:ilvl w:val="0"/>
          <w:numId w:val="28"/>
        </w:numPr>
        <w:spacing w:after="2880"/>
        <w:ind w:left="360"/>
      </w:pPr>
      <w:r>
        <w:t xml:space="preserve">What is </w:t>
      </w:r>
      <w:r w:rsidRPr="005F1EEB">
        <w:rPr>
          <w:i/>
          <w:iCs/>
        </w:rPr>
        <w:t>stare decisis</w:t>
      </w:r>
      <w:r>
        <w:t xml:space="preserve"> and how was it used to uphold a woman’s right to an abortion that was first recognized in </w:t>
      </w:r>
      <w:r w:rsidRPr="005F1EEB">
        <w:rPr>
          <w:i/>
          <w:iCs/>
        </w:rPr>
        <w:t>Roe v. Wade</w:t>
      </w:r>
      <w:r>
        <w:t xml:space="preserve">? </w:t>
      </w:r>
    </w:p>
    <w:p w14:paraId="11CA4873" w14:textId="6F9071CE" w:rsidR="00C351BB" w:rsidRDefault="00C351BB" w:rsidP="00A77C25">
      <w:pPr>
        <w:pStyle w:val="NumberswithroomforanswersLMC"/>
        <w:spacing w:after="2880"/>
        <w:ind w:left="360"/>
      </w:pPr>
      <w:r>
        <w:t xml:space="preserve">The original decision in </w:t>
      </w:r>
      <w:r w:rsidRPr="005F1EEB">
        <w:rPr>
          <w:i/>
          <w:iCs/>
        </w:rPr>
        <w:t>Roe v. Wade</w:t>
      </w:r>
      <w:r>
        <w:t xml:space="preserve"> used a </w:t>
      </w:r>
      <w:r w:rsidRPr="005F1EEB">
        <w:rPr>
          <w:b/>
          <w:bCs/>
        </w:rPr>
        <w:t>trimester test</w:t>
      </w:r>
      <w:r>
        <w:t xml:space="preserve"> (i.e., abortions were legal in the first six months of pregnancy) but </w:t>
      </w:r>
      <w:r w:rsidR="005F1EEB">
        <w:t>in</w:t>
      </w:r>
      <w:r>
        <w:t xml:space="preserve"> </w:t>
      </w:r>
      <w:r w:rsidRPr="005F1EEB">
        <w:rPr>
          <w:i/>
          <w:iCs/>
        </w:rPr>
        <w:t>Casey</w:t>
      </w:r>
      <w:r>
        <w:t xml:space="preserve"> </w:t>
      </w:r>
      <w:r w:rsidR="005F1EEB">
        <w:t>the C</w:t>
      </w:r>
      <w:r>
        <w:t xml:space="preserve">ourt adopted a </w:t>
      </w:r>
      <w:r w:rsidRPr="005F1EEB">
        <w:rPr>
          <w:b/>
          <w:bCs/>
        </w:rPr>
        <w:t>viability test</w:t>
      </w:r>
      <w:r>
        <w:t xml:space="preserve">. What are the differences between these two tests? What are the potential advantages and problems with each test? </w:t>
      </w:r>
    </w:p>
    <w:p w14:paraId="184A29EA" w14:textId="136AF1D0" w:rsidR="00C351BB" w:rsidRDefault="00C351BB" w:rsidP="00A77C25">
      <w:pPr>
        <w:pStyle w:val="NumberswithroomforanswersLMC"/>
        <w:spacing w:after="2880"/>
        <w:ind w:left="360"/>
      </w:pPr>
      <w:r>
        <w:t>Although</w:t>
      </w:r>
      <w:r w:rsidRPr="005F1EEB">
        <w:rPr>
          <w:i/>
          <w:iCs/>
        </w:rPr>
        <w:t xml:space="preserve"> Casey </w:t>
      </w:r>
      <w:r>
        <w:t xml:space="preserve">did not overturn the basic holding of </w:t>
      </w:r>
      <w:r w:rsidRPr="005F1EEB">
        <w:rPr>
          <w:i/>
          <w:iCs/>
        </w:rPr>
        <w:t>Roe</w:t>
      </w:r>
      <w:r>
        <w:t xml:space="preserve">, it did modify it. Did </w:t>
      </w:r>
      <w:r w:rsidRPr="005F1EEB">
        <w:rPr>
          <w:i/>
          <w:iCs/>
        </w:rPr>
        <w:t>Casey</w:t>
      </w:r>
      <w:r>
        <w:t xml:space="preserve"> generally expand the right to an abortion recognized in </w:t>
      </w:r>
      <w:r w:rsidRPr="005F1EEB">
        <w:rPr>
          <w:i/>
          <w:iCs/>
        </w:rPr>
        <w:t>Roe</w:t>
      </w:r>
      <w:r>
        <w:t xml:space="preserve"> or allow for greater restrictions on that right? Explain your answer. </w:t>
      </w:r>
    </w:p>
    <w:p w14:paraId="7036AA15" w14:textId="7F69C863" w:rsidR="00C351BB" w:rsidRDefault="00C351BB" w:rsidP="00A77C25">
      <w:pPr>
        <w:pStyle w:val="NumberswithroomforanswersLMC"/>
        <w:spacing w:after="120"/>
        <w:ind w:left="360"/>
      </w:pPr>
      <w:r>
        <w:lastRenderedPageBreak/>
        <w:t xml:space="preserve">Under the </w:t>
      </w:r>
      <w:r w:rsidRPr="005F1EEB">
        <w:rPr>
          <w:b/>
          <w:bCs/>
        </w:rPr>
        <w:t>undue burden test</w:t>
      </w:r>
      <w:r>
        <w:t xml:space="preserve"> adopted by </w:t>
      </w:r>
      <w:r w:rsidRPr="005F1EEB">
        <w:rPr>
          <w:i/>
          <w:iCs/>
        </w:rPr>
        <w:t>Casey</w:t>
      </w:r>
      <w:r>
        <w:t xml:space="preserve">, </w:t>
      </w:r>
      <w:r w:rsidR="005F1EEB">
        <w:t xml:space="preserve">in your opinion </w:t>
      </w:r>
      <w:r>
        <w:t>which of the following would place an undue burden on the right to an abortion</w:t>
      </w:r>
      <w:r w:rsidR="005F1EEB">
        <w:t>?</w:t>
      </w:r>
      <w:r>
        <w:t xml:space="preserve"> Give </w:t>
      </w:r>
      <w:r w:rsidR="005F1EEB">
        <w:t xml:space="preserve">your </w:t>
      </w:r>
      <w:r>
        <w:t xml:space="preserve">reasons for each answer. </w:t>
      </w:r>
    </w:p>
    <w:p w14:paraId="7C27CAAE" w14:textId="716B14BF" w:rsidR="00C351BB" w:rsidRDefault="00C351BB" w:rsidP="00A77C25">
      <w:pPr>
        <w:pStyle w:val="NumberswithroomforanswersLMC"/>
        <w:numPr>
          <w:ilvl w:val="0"/>
          <w:numId w:val="29"/>
        </w:numPr>
        <w:spacing w:after="1920"/>
        <w:ind w:left="720"/>
      </w:pPr>
      <w:r>
        <w:t xml:space="preserve">A state law requires </w:t>
      </w:r>
      <w:r w:rsidR="00184933">
        <w:t>a husband</w:t>
      </w:r>
      <w:r>
        <w:t xml:space="preserve"> to provide written consent before his wife is able to obtain an abortion. </w:t>
      </w:r>
    </w:p>
    <w:p w14:paraId="1D977A83" w14:textId="77777777" w:rsidR="00C351BB" w:rsidRDefault="00C351BB" w:rsidP="00A77C25">
      <w:pPr>
        <w:pStyle w:val="NumberswithroomforanswersLMC"/>
        <w:numPr>
          <w:ilvl w:val="0"/>
          <w:numId w:val="29"/>
        </w:numPr>
        <w:spacing w:after="1920"/>
        <w:ind w:left="720"/>
      </w:pPr>
      <w:r>
        <w:t xml:space="preserve">A poor woman is unable to obtain an abortion because her state does not provide public funds to cover such a medical procedure. </w:t>
      </w:r>
    </w:p>
    <w:p w14:paraId="5743AC76" w14:textId="77777777" w:rsidR="00C351BB" w:rsidRDefault="00C351BB" w:rsidP="00A77C25">
      <w:pPr>
        <w:pStyle w:val="NumberswithroomforanswersLMC"/>
        <w:numPr>
          <w:ilvl w:val="0"/>
          <w:numId w:val="29"/>
        </w:numPr>
        <w:spacing w:after="1920"/>
        <w:ind w:left="720"/>
      </w:pPr>
      <w:r>
        <w:t xml:space="preserve">A state law requires 24-hour waiting period between the time of a woman’s formal decision to have an abortion and the actual procedure. </w:t>
      </w:r>
    </w:p>
    <w:p w14:paraId="27ABE46D" w14:textId="77777777" w:rsidR="005F1EEB" w:rsidRDefault="00C351BB" w:rsidP="00A77C25">
      <w:pPr>
        <w:pStyle w:val="NumberswithroomforanswersLMC"/>
        <w:numPr>
          <w:ilvl w:val="0"/>
          <w:numId w:val="29"/>
        </w:numPr>
        <w:spacing w:after="1920"/>
        <w:ind w:left="720"/>
      </w:pPr>
      <w:r>
        <w:t xml:space="preserve">A state law requires a pregnant minor to obtain written consent from both parents in order to obtain an abortion. </w:t>
      </w:r>
    </w:p>
    <w:p w14:paraId="7FB446B3" w14:textId="0EB336A7" w:rsidR="004062A3" w:rsidRPr="005F1EEB" w:rsidRDefault="00C351BB" w:rsidP="00A77C25">
      <w:pPr>
        <w:pStyle w:val="NumberswithroomforanswersLMC"/>
        <w:numPr>
          <w:ilvl w:val="0"/>
          <w:numId w:val="29"/>
        </w:numPr>
        <w:spacing w:after="1920"/>
        <w:ind w:left="720"/>
      </w:pPr>
      <w:r>
        <w:t>A state law requires a pregnant minor to obtain written consent from one parent or a judge in order to obtain an abortion.</w:t>
      </w:r>
    </w:p>
    <w:sectPr w:rsidR="004062A3" w:rsidRPr="005F1EEB" w:rsidSect="00A77C2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81897" w14:textId="77777777" w:rsidR="00EA1129" w:rsidRDefault="00EA1129" w:rsidP="0078549D">
      <w:pPr>
        <w:spacing w:after="0" w:line="240" w:lineRule="auto"/>
      </w:pPr>
      <w:r>
        <w:separator/>
      </w:r>
    </w:p>
  </w:endnote>
  <w:endnote w:type="continuationSeparator" w:id="0">
    <w:p w14:paraId="32B0566F" w14:textId="77777777" w:rsidR="00EA1129" w:rsidRDefault="00EA112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6A784FB0"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A77C25">
          <w:rPr>
            <w:rStyle w:val="BasiccopyslChar"/>
            <w:sz w:val="22"/>
            <w:szCs w:val="22"/>
          </w:rPr>
          <w:t>08/21/2020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D46B2" w14:textId="77777777" w:rsidR="00EA1129" w:rsidRDefault="00EA1129" w:rsidP="0078549D">
      <w:pPr>
        <w:spacing w:after="0" w:line="240" w:lineRule="auto"/>
      </w:pPr>
      <w:r>
        <w:separator/>
      </w:r>
    </w:p>
  </w:footnote>
  <w:footnote w:type="continuationSeparator" w:id="0">
    <w:p w14:paraId="2C5328BE" w14:textId="77777777" w:rsidR="00EA1129" w:rsidRDefault="00EA1129" w:rsidP="0078549D">
      <w:pPr>
        <w:spacing w:after="0" w:line="240" w:lineRule="auto"/>
      </w:pPr>
      <w:r>
        <w:continuationSeparator/>
      </w:r>
    </w:p>
  </w:footnote>
  <w:footnote w:id="1">
    <w:p w14:paraId="0290A78E" w14:textId="190260C2" w:rsidR="00A77C25" w:rsidRPr="00A77C25" w:rsidRDefault="00A77C25">
      <w:pPr>
        <w:pStyle w:val="FootnoteText"/>
        <w:rPr>
          <w:rFonts w:ascii="Garamond" w:hAnsi="Garamond"/>
        </w:rPr>
      </w:pPr>
      <w:r w:rsidRPr="00A77C25">
        <w:rPr>
          <w:rStyle w:val="FootnoteReference"/>
          <w:rFonts w:ascii="Garamond" w:hAnsi="Garamond"/>
        </w:rPr>
        <w:footnoteRef/>
      </w:r>
      <w:r w:rsidRPr="00A77C25">
        <w:rPr>
          <w:rFonts w:ascii="Garamond" w:hAnsi="Garamond"/>
        </w:rPr>
        <w:t xml:space="preserve"> Read the Supreme Court’s full opinion in </w:t>
      </w:r>
      <w:r w:rsidRPr="00A77C25">
        <w:rPr>
          <w:rFonts w:ascii="Garamond" w:hAnsi="Garamond"/>
          <w:i/>
          <w:iCs/>
        </w:rPr>
        <w:t>Casey:</w:t>
      </w:r>
      <w:r w:rsidRPr="00A77C25">
        <w:rPr>
          <w:rFonts w:ascii="Garamond" w:hAnsi="Garamond"/>
        </w:rPr>
        <w:t xml:space="preserve"> </w:t>
      </w:r>
      <w:hyperlink r:id="rId1" w:history="1">
        <w:r w:rsidRPr="00A77C25">
          <w:rPr>
            <w:rStyle w:val="Hyperlink"/>
            <w:color w:val="auto"/>
            <w:sz w:val="20"/>
          </w:rPr>
          <w:t>https://caselaw.findlaw.com/us-supreme-court/510/1309.html</w:t>
        </w:r>
      </w:hyperlink>
      <w:r>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25010" w14:textId="77777777" w:rsidR="00A77C25" w:rsidRPr="00C351BB" w:rsidRDefault="00A77C25" w:rsidP="00A77C25">
    <w:pPr>
      <w:pStyle w:val="Basiccopysl"/>
      <w:rPr>
        <w:sz w:val="22"/>
        <w:szCs w:val="22"/>
      </w:rPr>
    </w:pPr>
    <w:r w:rsidRPr="00D25601">
      <w:rPr>
        <w:sz w:val="22"/>
        <w:szCs w:val="22"/>
      </w:rPr>
      <w:t>LandmarkCases.org</w:t>
    </w:r>
    <w:r w:rsidRPr="00D25601">
      <w:rPr>
        <w:sz w:val="22"/>
        <w:szCs w:val="22"/>
      </w:rPr>
      <w:tab/>
    </w:r>
    <w:r w:rsidRPr="00D25601">
      <w:rPr>
        <w:sz w:val="22"/>
        <w:szCs w:val="22"/>
      </w:rPr>
      <w:tab/>
    </w:r>
    <w:r w:rsidRPr="00D25601">
      <w:rPr>
        <w:sz w:val="22"/>
        <w:szCs w:val="22"/>
      </w:rPr>
      <w:tab/>
    </w:r>
    <w:r w:rsidRPr="00D25601">
      <w:rPr>
        <w:sz w:val="22"/>
        <w:szCs w:val="22"/>
      </w:rPr>
      <w:tab/>
    </w:r>
    <w:r w:rsidRPr="00D25601">
      <w:rPr>
        <w:sz w:val="22"/>
        <w:szCs w:val="22"/>
      </w:rPr>
      <w:tab/>
    </w:r>
    <w:r>
      <w:rPr>
        <w:sz w:val="22"/>
        <w:szCs w:val="22"/>
      </w:rPr>
      <w:t xml:space="preserve">          </w:t>
    </w:r>
    <w:r>
      <w:rPr>
        <w:i/>
        <w:iCs/>
        <w:sz w:val="22"/>
        <w:szCs w:val="22"/>
      </w:rPr>
      <w:t>Roe v. Wade</w:t>
    </w:r>
    <w:r w:rsidRPr="00D25601">
      <w:rPr>
        <w:i/>
        <w:iCs/>
        <w:sz w:val="22"/>
        <w:szCs w:val="22"/>
      </w:rPr>
      <w:t xml:space="preserve"> </w:t>
    </w:r>
    <w:r w:rsidRPr="00D25601">
      <w:rPr>
        <w:sz w:val="22"/>
        <w:szCs w:val="22"/>
      </w:rPr>
      <w:t xml:space="preserve">/ </w:t>
    </w:r>
    <w:r w:rsidRPr="00C351BB">
      <w:rPr>
        <w:sz w:val="22"/>
        <w:szCs w:val="22"/>
      </w:rPr>
      <w:t xml:space="preserve">The </w:t>
    </w:r>
    <w:r w:rsidRPr="00C351BB">
      <w:rPr>
        <w:i/>
        <w:iCs/>
        <w:sz w:val="22"/>
        <w:szCs w:val="22"/>
      </w:rPr>
      <w:t xml:space="preserve">Casey </w:t>
    </w:r>
    <w:r w:rsidRPr="00C351BB">
      <w:rPr>
        <w:sz w:val="22"/>
        <w:szCs w:val="22"/>
      </w:rPr>
      <w:t xml:space="preserve">Case: </w:t>
    </w:r>
    <w:r w:rsidRPr="00C351BB">
      <w:rPr>
        <w:i/>
        <w:iCs/>
        <w:sz w:val="22"/>
        <w:szCs w:val="22"/>
      </w:rPr>
      <w:t>Roe</w:t>
    </w:r>
    <w:r w:rsidRPr="00C351BB">
      <w:rPr>
        <w:sz w:val="22"/>
        <w:szCs w:val="22"/>
      </w:rPr>
      <w:t xml:space="preserve"> Revisited?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3F9031A5" w:rsidR="00987C93" w:rsidRPr="00D25601" w:rsidRDefault="00987C93" w:rsidP="00987C93">
    <w:pPr>
      <w:pStyle w:val="Basiccopysl"/>
      <w:rPr>
        <w:sz w:val="22"/>
        <w:szCs w:val="22"/>
      </w:rPr>
    </w:pPr>
    <w:r w:rsidRPr="00D25601">
      <w:rPr>
        <w:sz w:val="22"/>
        <w:szCs w:val="22"/>
      </w:rPr>
      <w:t>LandmarkCases.org</w:t>
    </w:r>
    <w:r w:rsidRPr="00D25601">
      <w:rPr>
        <w:sz w:val="22"/>
        <w:szCs w:val="22"/>
      </w:rPr>
      <w:tab/>
    </w:r>
    <w:r w:rsidRPr="00D25601">
      <w:rPr>
        <w:sz w:val="22"/>
        <w:szCs w:val="22"/>
      </w:rPr>
      <w:tab/>
    </w:r>
    <w:r w:rsidRPr="00D25601">
      <w:rPr>
        <w:sz w:val="22"/>
        <w:szCs w:val="22"/>
      </w:rPr>
      <w:tab/>
    </w:r>
    <w:r w:rsidRPr="00D25601">
      <w:rPr>
        <w:sz w:val="22"/>
        <w:szCs w:val="22"/>
      </w:rPr>
      <w:tab/>
    </w:r>
    <w:r w:rsidRPr="00D25601">
      <w:rPr>
        <w:sz w:val="22"/>
        <w:szCs w:val="22"/>
      </w:rPr>
      <w:tab/>
    </w:r>
    <w:r w:rsidR="00D25601">
      <w:rPr>
        <w:sz w:val="22"/>
        <w:szCs w:val="22"/>
      </w:rPr>
      <w:t xml:space="preserve">      </w:t>
    </w:r>
    <w:r w:rsidR="00964797">
      <w:rPr>
        <w:i/>
        <w:iCs/>
        <w:sz w:val="22"/>
        <w:szCs w:val="22"/>
      </w:rPr>
      <w:t>Roe v. Wade</w:t>
    </w:r>
    <w:r w:rsidR="00AE3B15" w:rsidRPr="00D25601">
      <w:rPr>
        <w:i/>
        <w:iCs/>
        <w:sz w:val="22"/>
        <w:szCs w:val="22"/>
      </w:rPr>
      <w:t xml:space="preserve"> </w:t>
    </w:r>
    <w:r w:rsidR="00D25601" w:rsidRPr="00D25601">
      <w:rPr>
        <w:sz w:val="22"/>
        <w:szCs w:val="22"/>
      </w:rPr>
      <w:t xml:space="preserve">/ </w:t>
    </w:r>
    <w:r w:rsidR="00C351BB">
      <w:rPr>
        <w:sz w:val="22"/>
        <w:szCs w:val="22"/>
      </w:rPr>
      <w:t xml:space="preserve">The </w:t>
    </w:r>
    <w:r w:rsidR="00C351BB" w:rsidRPr="00C351BB">
      <w:rPr>
        <w:i/>
        <w:iCs/>
        <w:sz w:val="22"/>
        <w:szCs w:val="22"/>
      </w:rPr>
      <w:t xml:space="preserve">Casey </w:t>
    </w:r>
    <w:r w:rsidR="00C351BB">
      <w:rPr>
        <w:sz w:val="22"/>
        <w:szCs w:val="22"/>
      </w:rPr>
      <w:t xml:space="preserve">Case: </w:t>
    </w:r>
    <w:r w:rsidR="00C351BB" w:rsidRPr="00C351BB">
      <w:rPr>
        <w:i/>
        <w:iCs/>
        <w:sz w:val="22"/>
        <w:szCs w:val="22"/>
      </w:rPr>
      <w:t>Roe</w:t>
    </w:r>
    <w:r w:rsidR="00C351BB">
      <w:rPr>
        <w:sz w:val="22"/>
        <w:szCs w:val="22"/>
      </w:rPr>
      <w:t xml:space="preserve"> Revisited?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773E2"/>
    <w:multiLevelType w:val="multilevel"/>
    <w:tmpl w:val="0C02F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40ACB"/>
    <w:multiLevelType w:val="hybridMultilevel"/>
    <w:tmpl w:val="7B5CE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65AE3"/>
    <w:multiLevelType w:val="hybridMultilevel"/>
    <w:tmpl w:val="054C7D2C"/>
    <w:lvl w:ilvl="0" w:tplc="BF6C2B32">
      <w:start w:val="1"/>
      <w:numFmt w:val="decimal"/>
      <w:pStyle w:val="ClassifyingargumentsLM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D2F07"/>
    <w:multiLevelType w:val="multilevel"/>
    <w:tmpl w:val="A57A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024DAF"/>
    <w:multiLevelType w:val="hybridMultilevel"/>
    <w:tmpl w:val="CF22F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E457E0"/>
    <w:multiLevelType w:val="hybridMultilevel"/>
    <w:tmpl w:val="648EFBB0"/>
    <w:lvl w:ilvl="0" w:tplc="31E43E4C">
      <w:start w:val="1"/>
      <w:numFmt w:val="decimal"/>
      <w:pStyle w:val="NumberswithroomforanswersLM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72ACA"/>
    <w:multiLevelType w:val="multilevel"/>
    <w:tmpl w:val="655A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F235B2"/>
    <w:multiLevelType w:val="hybridMultilevel"/>
    <w:tmpl w:val="D63E9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895B9B"/>
    <w:multiLevelType w:val="multilevel"/>
    <w:tmpl w:val="285E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B4F49"/>
    <w:multiLevelType w:val="hybridMultilevel"/>
    <w:tmpl w:val="482E8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4D0CDC"/>
    <w:multiLevelType w:val="multilevel"/>
    <w:tmpl w:val="07FE0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2"/>
  </w:num>
  <w:num w:numId="4">
    <w:abstractNumId w:val="5"/>
  </w:num>
  <w:num w:numId="5">
    <w:abstractNumId w:val="8"/>
  </w:num>
  <w:num w:numId="6">
    <w:abstractNumId w:val="6"/>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4"/>
  </w:num>
  <w:num w:numId="12">
    <w:abstractNumId w:val="18"/>
  </w:num>
  <w:num w:numId="13">
    <w:abstractNumId w:val="15"/>
  </w:num>
  <w:num w:numId="14">
    <w:abstractNumId w:val="20"/>
  </w:num>
  <w:num w:numId="15">
    <w:abstractNumId w:val="13"/>
  </w:num>
  <w:num w:numId="16">
    <w:abstractNumId w:val="10"/>
  </w:num>
  <w:num w:numId="17">
    <w:abstractNumId w:val="19"/>
  </w:num>
  <w:num w:numId="18">
    <w:abstractNumId w:val="16"/>
  </w:num>
  <w:num w:numId="19">
    <w:abstractNumId w:val="0"/>
  </w:num>
  <w:num w:numId="20">
    <w:abstractNumId w:val="3"/>
  </w:num>
  <w:num w:numId="21">
    <w:abstractNumId w:val="3"/>
    <w:lvlOverride w:ilvl="0">
      <w:startOverride w:val="1"/>
    </w:lvlOverride>
  </w:num>
  <w:num w:numId="22">
    <w:abstractNumId w:val="3"/>
  </w:num>
  <w:num w:numId="23">
    <w:abstractNumId w:val="3"/>
    <w:lvlOverride w:ilvl="0">
      <w:startOverride w:val="1"/>
    </w:lvlOverride>
  </w:num>
  <w:num w:numId="24">
    <w:abstractNumId w:val="1"/>
  </w:num>
  <w:num w:numId="25">
    <w:abstractNumId w:val="11"/>
  </w:num>
  <w:num w:numId="26">
    <w:abstractNumId w:val="12"/>
  </w:num>
  <w:num w:numId="27">
    <w:abstractNumId w:val="9"/>
  </w:num>
  <w:num w:numId="28">
    <w:abstractNumId w:val="12"/>
    <w:lvlOverride w:ilvl="0">
      <w:startOverride w:val="1"/>
    </w:lvlOverride>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6B86"/>
    <w:rsid w:val="000356BB"/>
    <w:rsid w:val="00062C1B"/>
    <w:rsid w:val="00094CC6"/>
    <w:rsid w:val="000E239D"/>
    <w:rsid w:val="001056C3"/>
    <w:rsid w:val="00116A1D"/>
    <w:rsid w:val="0015066A"/>
    <w:rsid w:val="00170B98"/>
    <w:rsid w:val="00171293"/>
    <w:rsid w:val="00182C32"/>
    <w:rsid w:val="00184933"/>
    <w:rsid w:val="001B3E05"/>
    <w:rsid w:val="001D7A42"/>
    <w:rsid w:val="00200FF9"/>
    <w:rsid w:val="00201528"/>
    <w:rsid w:val="0021030F"/>
    <w:rsid w:val="0022716B"/>
    <w:rsid w:val="00232467"/>
    <w:rsid w:val="00245F3A"/>
    <w:rsid w:val="0025076D"/>
    <w:rsid w:val="00290061"/>
    <w:rsid w:val="00291B50"/>
    <w:rsid w:val="002B4D38"/>
    <w:rsid w:val="002C68A3"/>
    <w:rsid w:val="002D2203"/>
    <w:rsid w:val="002D7EA0"/>
    <w:rsid w:val="002E34AE"/>
    <w:rsid w:val="00317735"/>
    <w:rsid w:val="003376BC"/>
    <w:rsid w:val="0035621A"/>
    <w:rsid w:val="00375090"/>
    <w:rsid w:val="00396AEB"/>
    <w:rsid w:val="003C6F20"/>
    <w:rsid w:val="003E4EA5"/>
    <w:rsid w:val="00400A63"/>
    <w:rsid w:val="004062A3"/>
    <w:rsid w:val="00431128"/>
    <w:rsid w:val="004632BE"/>
    <w:rsid w:val="004638DC"/>
    <w:rsid w:val="004B2EAD"/>
    <w:rsid w:val="004B560A"/>
    <w:rsid w:val="004B73F9"/>
    <w:rsid w:val="004C327D"/>
    <w:rsid w:val="004E7457"/>
    <w:rsid w:val="004F77FB"/>
    <w:rsid w:val="005311FB"/>
    <w:rsid w:val="00572315"/>
    <w:rsid w:val="00577E7E"/>
    <w:rsid w:val="005A0330"/>
    <w:rsid w:val="005A4E3D"/>
    <w:rsid w:val="005F1EEB"/>
    <w:rsid w:val="006135E5"/>
    <w:rsid w:val="00622BBE"/>
    <w:rsid w:val="006C3E71"/>
    <w:rsid w:val="006E09C9"/>
    <w:rsid w:val="006E3717"/>
    <w:rsid w:val="007058F6"/>
    <w:rsid w:val="00760239"/>
    <w:rsid w:val="00782455"/>
    <w:rsid w:val="0078549D"/>
    <w:rsid w:val="0079020E"/>
    <w:rsid w:val="007B6F07"/>
    <w:rsid w:val="007F0E2F"/>
    <w:rsid w:val="007F700D"/>
    <w:rsid w:val="00815CB0"/>
    <w:rsid w:val="0081706F"/>
    <w:rsid w:val="00824C79"/>
    <w:rsid w:val="00890363"/>
    <w:rsid w:val="00892A96"/>
    <w:rsid w:val="00964797"/>
    <w:rsid w:val="00987813"/>
    <w:rsid w:val="00987C93"/>
    <w:rsid w:val="009D6B03"/>
    <w:rsid w:val="009E0FC2"/>
    <w:rsid w:val="00A368A9"/>
    <w:rsid w:val="00A740A5"/>
    <w:rsid w:val="00A75990"/>
    <w:rsid w:val="00A77C25"/>
    <w:rsid w:val="00AE0C77"/>
    <w:rsid w:val="00AE3B15"/>
    <w:rsid w:val="00AF678D"/>
    <w:rsid w:val="00AF7333"/>
    <w:rsid w:val="00B535F7"/>
    <w:rsid w:val="00B62487"/>
    <w:rsid w:val="00B82C54"/>
    <w:rsid w:val="00B92AF2"/>
    <w:rsid w:val="00BE2426"/>
    <w:rsid w:val="00C01ACD"/>
    <w:rsid w:val="00C05B0A"/>
    <w:rsid w:val="00C15DAC"/>
    <w:rsid w:val="00C16ACA"/>
    <w:rsid w:val="00C351BB"/>
    <w:rsid w:val="00C613A9"/>
    <w:rsid w:val="00C769AC"/>
    <w:rsid w:val="00CD5480"/>
    <w:rsid w:val="00CE1F4B"/>
    <w:rsid w:val="00D01A46"/>
    <w:rsid w:val="00D25601"/>
    <w:rsid w:val="00D47713"/>
    <w:rsid w:val="00D918B9"/>
    <w:rsid w:val="00DE3D18"/>
    <w:rsid w:val="00E00F10"/>
    <w:rsid w:val="00E25B96"/>
    <w:rsid w:val="00E34832"/>
    <w:rsid w:val="00E3555A"/>
    <w:rsid w:val="00E40CA2"/>
    <w:rsid w:val="00E50F82"/>
    <w:rsid w:val="00E6118A"/>
    <w:rsid w:val="00E64542"/>
    <w:rsid w:val="00E74097"/>
    <w:rsid w:val="00EA1129"/>
    <w:rsid w:val="00EA6467"/>
    <w:rsid w:val="00EB20C0"/>
    <w:rsid w:val="00EF7C97"/>
    <w:rsid w:val="00F112DF"/>
    <w:rsid w:val="00F211EE"/>
    <w:rsid w:val="00F34056"/>
    <w:rsid w:val="00F416A9"/>
    <w:rsid w:val="00F64E56"/>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4062A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paragraph" w:customStyle="1" w:styleId="TableParagraph">
    <w:name w:val="Table Paragraph"/>
    <w:basedOn w:val="Normal"/>
    <w:uiPriority w:val="1"/>
    <w:qFormat/>
    <w:rsid w:val="00760239"/>
    <w:pPr>
      <w:widowControl w:val="0"/>
      <w:autoSpaceDE w:val="0"/>
      <w:autoSpaceDN w:val="0"/>
      <w:spacing w:after="0" w:line="240" w:lineRule="auto"/>
    </w:pPr>
    <w:rPr>
      <w:rFonts w:ascii="Arial" w:eastAsia="Arial" w:hAnsi="Arial" w:cs="Arial"/>
    </w:rPr>
  </w:style>
  <w:style w:type="character" w:customStyle="1" w:styleId="Heading3Char">
    <w:name w:val="Heading 3 Char"/>
    <w:basedOn w:val="DefaultParagraphFont"/>
    <w:link w:val="Heading3"/>
    <w:uiPriority w:val="9"/>
    <w:rsid w:val="004062A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40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withroomforanswersLMC">
    <w:name w:val="Numbers with room for answers_LMC"/>
    <w:basedOn w:val="Normal"/>
    <w:link w:val="NumberswithroomforanswersLMCChar"/>
    <w:qFormat/>
    <w:rsid w:val="00E40CA2"/>
    <w:pPr>
      <w:numPr>
        <w:numId w:val="26"/>
      </w:numPr>
      <w:spacing w:after="2520" w:line="240" w:lineRule="auto"/>
    </w:pPr>
    <w:rPr>
      <w:rFonts w:ascii="Garamond" w:hAnsi="Garamond"/>
      <w:sz w:val="24"/>
      <w:szCs w:val="24"/>
    </w:rPr>
  </w:style>
  <w:style w:type="character" w:customStyle="1" w:styleId="NumberswithroomforanswersLMCChar">
    <w:name w:val="Numbers with room for answers_LMC Char"/>
    <w:basedOn w:val="DefaultParagraphFont"/>
    <w:link w:val="NumberswithroomforanswersLMC"/>
    <w:rsid w:val="00E40CA2"/>
    <w:rPr>
      <w:rFonts w:ascii="Garamond" w:hAnsi="Garamond"/>
      <w:sz w:val="24"/>
      <w:szCs w:val="24"/>
    </w:rPr>
  </w:style>
  <w:style w:type="paragraph" w:customStyle="1" w:styleId="ClassifyingargumentsLMC">
    <w:name w:val="Classifying arguments_LMC"/>
    <w:qFormat/>
    <w:rsid w:val="00E40CA2"/>
    <w:pPr>
      <w:numPr>
        <w:numId w:val="27"/>
      </w:numPr>
      <w:spacing w:after="360" w:line="240" w:lineRule="auto"/>
      <w:ind w:left="360"/>
    </w:pPr>
    <w:rPr>
      <w:rFonts w:ascii="Garamond" w:hAnsi="Garamond"/>
      <w:sz w:val="24"/>
    </w:rPr>
  </w:style>
  <w:style w:type="paragraph" w:customStyle="1" w:styleId="BasiccopyLMC">
    <w:name w:val="Basic copy_LMC"/>
    <w:basedOn w:val="Normal"/>
    <w:link w:val="BasiccopyLMCChar"/>
    <w:qFormat/>
    <w:rsid w:val="00C351BB"/>
    <w:pPr>
      <w:spacing w:after="240" w:line="240" w:lineRule="auto"/>
    </w:pPr>
    <w:rPr>
      <w:rFonts w:ascii="Garamond" w:hAnsi="Garamond"/>
      <w:sz w:val="24"/>
      <w:szCs w:val="24"/>
    </w:rPr>
  </w:style>
  <w:style w:type="paragraph" w:customStyle="1" w:styleId="QuestionstoConsiderLMC">
    <w:name w:val="Questions to Consider_LMC"/>
    <w:basedOn w:val="Normal"/>
    <w:link w:val="QuestionstoConsiderLMCChar"/>
    <w:qFormat/>
    <w:rsid w:val="00C351BB"/>
    <w:pPr>
      <w:spacing w:before="360" w:after="240" w:line="240" w:lineRule="auto"/>
    </w:pPr>
    <w:rPr>
      <w:rFonts w:ascii="Gill Sans MT" w:hAnsi="Gill Sans MT"/>
      <w:b/>
      <w:sz w:val="28"/>
      <w:szCs w:val="28"/>
    </w:rPr>
  </w:style>
  <w:style w:type="character" w:customStyle="1" w:styleId="BasiccopyLMCChar">
    <w:name w:val="Basic copy_LMC Char"/>
    <w:basedOn w:val="DefaultParagraphFont"/>
    <w:link w:val="BasiccopyLMC"/>
    <w:rsid w:val="00C351BB"/>
    <w:rPr>
      <w:rFonts w:ascii="Garamond" w:hAnsi="Garamond"/>
      <w:sz w:val="24"/>
      <w:szCs w:val="24"/>
    </w:rPr>
  </w:style>
  <w:style w:type="character" w:customStyle="1" w:styleId="QuestionstoConsiderLMCChar">
    <w:name w:val="Questions to Consider_LMC Char"/>
    <w:basedOn w:val="DefaultParagraphFont"/>
    <w:link w:val="QuestionstoConsiderLMC"/>
    <w:rsid w:val="00C351BB"/>
    <w:rPr>
      <w:rFonts w:ascii="Gill Sans MT" w:hAnsi="Gill Sans MT"/>
      <w:b/>
      <w:sz w:val="28"/>
      <w:szCs w:val="28"/>
    </w:rPr>
  </w:style>
  <w:style w:type="paragraph" w:customStyle="1" w:styleId="SectiondividercasenameLMC">
    <w:name w:val="Section divider case name_LMC"/>
    <w:basedOn w:val="Heading1"/>
    <w:link w:val="SectiondividercasenameLMCChar"/>
    <w:qFormat/>
    <w:rsid w:val="00C351BB"/>
    <w:pPr>
      <w:spacing w:before="120"/>
      <w:jc w:val="center"/>
    </w:pPr>
    <w:rPr>
      <w:rFonts w:ascii="Gill Sans MT" w:hAnsi="Gill Sans MT"/>
      <w:i/>
      <w:sz w:val="56"/>
      <w:szCs w:val="56"/>
    </w:rPr>
  </w:style>
  <w:style w:type="character" w:customStyle="1" w:styleId="SectiondividercasenameLMCChar">
    <w:name w:val="Section divider case name_LMC Char"/>
    <w:basedOn w:val="Heading1Char"/>
    <w:link w:val="SectiondividercasenameLMC"/>
    <w:rsid w:val="00C351BB"/>
    <w:rPr>
      <w:rFonts w:ascii="Gill Sans MT" w:eastAsiaTheme="majorEastAsia" w:hAnsi="Gill Sans MT" w:cstheme="majorBidi"/>
      <w:b/>
      <w:bCs/>
      <w:i/>
      <w:color w:val="365F91" w:themeColor="accent1" w:themeShade="BF"/>
      <w:sz w:val="56"/>
      <w:szCs w:val="56"/>
    </w:rPr>
  </w:style>
  <w:style w:type="paragraph" w:styleId="FootnoteText">
    <w:name w:val="footnote text"/>
    <w:basedOn w:val="Normal"/>
    <w:link w:val="FootnoteTextChar"/>
    <w:uiPriority w:val="99"/>
    <w:semiHidden/>
    <w:unhideWhenUsed/>
    <w:rsid w:val="00A77C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C25"/>
    <w:rPr>
      <w:sz w:val="20"/>
      <w:szCs w:val="20"/>
    </w:rPr>
  </w:style>
  <w:style w:type="character" w:styleId="FootnoteReference">
    <w:name w:val="footnote reference"/>
    <w:basedOn w:val="DefaultParagraphFont"/>
    <w:uiPriority w:val="99"/>
    <w:semiHidden/>
    <w:unhideWhenUsed/>
    <w:rsid w:val="00A77C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805520">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1102530640">
      <w:bodyDiv w:val="1"/>
      <w:marLeft w:val="0"/>
      <w:marRight w:val="0"/>
      <w:marTop w:val="0"/>
      <w:marBottom w:val="0"/>
      <w:divBdr>
        <w:top w:val="none" w:sz="0" w:space="0" w:color="auto"/>
        <w:left w:val="none" w:sz="0" w:space="0" w:color="auto"/>
        <w:bottom w:val="none" w:sz="0" w:space="0" w:color="auto"/>
        <w:right w:val="none" w:sz="0" w:space="0" w:color="auto"/>
      </w:divBdr>
    </w:div>
    <w:div w:id="113686965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aselaw.findlaw.com/us-supreme-court/510/130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84F57-15B5-47EE-8118-E4F9D482A9E6}"/>
</file>

<file path=customXml/itemProps2.xml><?xml version="1.0" encoding="utf-8"?>
<ds:datastoreItem xmlns:ds="http://schemas.openxmlformats.org/officeDocument/2006/customXml" ds:itemID="{7C285C39-20BA-49AD-AEB3-B28E63FBF6EA}">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4.xml><?xml version="1.0" encoding="utf-8"?>
<ds:datastoreItem xmlns:ds="http://schemas.openxmlformats.org/officeDocument/2006/customXml" ds:itemID="{3A6D0C2E-00AD-426E-A085-59EEA913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12</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2020-08-21T15:39:00Z</dcterms:created>
  <dcterms:modified xsi:type="dcterms:W3CDTF">2020-08-21T15:50:00Z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