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CB4D7" w14:textId="4913B28E" w:rsidR="007415D6" w:rsidRPr="005C527C" w:rsidRDefault="00E669C0" w:rsidP="00102B20">
      <w:pPr>
        <w:pStyle w:val="Title1sl"/>
        <w:pBdr>
          <w:bottom w:val="single" w:sz="12" w:space="1" w:color="auto"/>
        </w:pBdr>
        <w:spacing w:before="240"/>
        <w:rPr>
          <w:i/>
          <w:iCs/>
          <w:sz w:val="40"/>
          <w:szCs w:val="40"/>
        </w:rPr>
      </w:pPr>
      <w:r w:rsidRPr="00E669C0">
        <w:rPr>
          <w:i/>
          <w:iCs/>
          <w:sz w:val="40"/>
          <w:szCs w:val="40"/>
        </w:rPr>
        <w:t>Plessy v. Ferguson</w:t>
      </w:r>
      <w:r>
        <w:rPr>
          <w:i/>
          <w:iCs/>
          <w:sz w:val="22"/>
          <w:szCs w:val="22"/>
        </w:rPr>
        <w:t xml:space="preserve"> </w:t>
      </w:r>
      <w:r w:rsidR="00F64E56" w:rsidRPr="005C527C">
        <w:rPr>
          <w:sz w:val="40"/>
          <w:szCs w:val="40"/>
        </w:rPr>
        <w:t>/</w:t>
      </w:r>
      <w:r w:rsidR="005C527C" w:rsidRPr="005C527C">
        <w:rPr>
          <w:sz w:val="40"/>
          <w:szCs w:val="40"/>
        </w:rPr>
        <w:t xml:space="preserve"> Summary of </w:t>
      </w:r>
      <w:r w:rsidR="00667C77" w:rsidRPr="005C527C">
        <w:rPr>
          <w:sz w:val="40"/>
          <w:szCs w:val="40"/>
        </w:rPr>
        <w:t>Decision</w:t>
      </w:r>
    </w:p>
    <w:p w14:paraId="1CEB5D35" w14:textId="2557D609" w:rsidR="004F38D8" w:rsidRPr="007868CD" w:rsidRDefault="004F38D8" w:rsidP="007868CD">
      <w:pPr>
        <w:tabs>
          <w:tab w:val="left" w:pos="450"/>
          <w:tab w:val="left" w:pos="8498"/>
        </w:tabs>
        <w:spacing w:after="120"/>
        <w:rPr>
          <w:rFonts w:ascii="Garamond" w:hAnsi="Garamond" w:cs="Arial"/>
          <w:sz w:val="25"/>
          <w:szCs w:val="25"/>
        </w:rPr>
      </w:pPr>
      <w:r w:rsidRPr="007868CD">
        <w:rPr>
          <w:rFonts w:ascii="Garamond" w:hAnsi="Garamond" w:cs="Arial"/>
          <w:sz w:val="25"/>
          <w:szCs w:val="25"/>
        </w:rPr>
        <w:t>In a 7-1 decision, the Supreme Court ruled in favor of Ferguson. The majority rejected Plessy’s 13</w:t>
      </w:r>
      <w:r w:rsidRPr="00A805AE">
        <w:rPr>
          <w:rFonts w:ascii="Garamond" w:hAnsi="Garamond" w:cs="Arial"/>
          <w:sz w:val="25"/>
          <w:szCs w:val="25"/>
          <w:vertAlign w:val="superscript"/>
        </w:rPr>
        <w:t>th</w:t>
      </w:r>
      <w:r w:rsidRPr="007868CD">
        <w:rPr>
          <w:rFonts w:ascii="Garamond" w:hAnsi="Garamond" w:cs="Arial"/>
          <w:sz w:val="25"/>
          <w:szCs w:val="25"/>
        </w:rPr>
        <w:t xml:space="preserve"> and 14</w:t>
      </w:r>
      <w:r w:rsidRPr="00A805AE">
        <w:rPr>
          <w:rFonts w:ascii="Garamond" w:hAnsi="Garamond" w:cs="Arial"/>
          <w:sz w:val="25"/>
          <w:szCs w:val="25"/>
          <w:vertAlign w:val="superscript"/>
        </w:rPr>
        <w:t>th</w:t>
      </w:r>
      <w:r w:rsidRPr="007868CD">
        <w:rPr>
          <w:rFonts w:ascii="Garamond" w:hAnsi="Garamond" w:cs="Arial"/>
          <w:sz w:val="25"/>
          <w:szCs w:val="25"/>
        </w:rPr>
        <w:t xml:space="preserve"> Amendment arguments and instead endorsed the doctrine of “separate but equal.” The dissent, written by Justice John Marshall Harlan, disagreed, arguing that segregation laws make society believe that races are not equal.</w:t>
      </w:r>
    </w:p>
    <w:p w14:paraId="0C6373F4" w14:textId="5D94CA2D" w:rsidR="004F38D8" w:rsidRPr="007868CD" w:rsidRDefault="004F38D8" w:rsidP="007868CD">
      <w:pPr>
        <w:tabs>
          <w:tab w:val="left" w:pos="450"/>
          <w:tab w:val="left" w:pos="8498"/>
        </w:tabs>
        <w:spacing w:after="120"/>
        <w:rPr>
          <w:rFonts w:ascii="Garamond" w:hAnsi="Garamond" w:cs="Arial"/>
          <w:sz w:val="25"/>
          <w:szCs w:val="25"/>
        </w:rPr>
      </w:pPr>
      <w:r w:rsidRPr="007868CD">
        <w:rPr>
          <w:rFonts w:ascii="Garamond" w:hAnsi="Garamond" w:cs="Arial"/>
          <w:sz w:val="25"/>
          <w:szCs w:val="25"/>
        </w:rPr>
        <w:t>Justice Henry Brown wrote the majority opinion, which rejected Plessy’s argument that the Louisiana law conflicted with the 13</w:t>
      </w:r>
      <w:r w:rsidRPr="00EA18B0">
        <w:rPr>
          <w:rFonts w:ascii="Garamond" w:hAnsi="Garamond" w:cs="Arial"/>
          <w:sz w:val="25"/>
          <w:szCs w:val="25"/>
          <w:vertAlign w:val="superscript"/>
        </w:rPr>
        <w:t>th</w:t>
      </w:r>
      <w:r w:rsidRPr="007868CD">
        <w:rPr>
          <w:rFonts w:ascii="Garamond" w:hAnsi="Garamond" w:cs="Arial"/>
          <w:sz w:val="25"/>
          <w:szCs w:val="25"/>
        </w:rPr>
        <w:t xml:space="preserve"> Amendment. The Court then considered whether the law conflicted with the 14</w:t>
      </w:r>
      <w:r w:rsidRPr="00EA18B0">
        <w:rPr>
          <w:rFonts w:ascii="Garamond" w:hAnsi="Garamond" w:cs="Arial"/>
          <w:sz w:val="25"/>
          <w:szCs w:val="25"/>
          <w:vertAlign w:val="superscript"/>
        </w:rPr>
        <w:t>th</w:t>
      </w:r>
      <w:r w:rsidRPr="007868CD">
        <w:rPr>
          <w:rFonts w:ascii="Garamond" w:hAnsi="Garamond" w:cs="Arial"/>
          <w:sz w:val="25"/>
          <w:szCs w:val="25"/>
        </w:rPr>
        <w:t xml:space="preserve"> Amendment. They identified the purpose of the 14</w:t>
      </w:r>
      <w:r w:rsidRPr="00EA18B0">
        <w:rPr>
          <w:rFonts w:ascii="Garamond" w:hAnsi="Garamond" w:cs="Arial"/>
          <w:sz w:val="25"/>
          <w:szCs w:val="25"/>
          <w:vertAlign w:val="superscript"/>
        </w:rPr>
        <w:t>th</w:t>
      </w:r>
      <w:r w:rsidRPr="007868CD">
        <w:rPr>
          <w:rFonts w:ascii="Garamond" w:hAnsi="Garamond" w:cs="Arial"/>
          <w:sz w:val="25"/>
          <w:szCs w:val="25"/>
        </w:rPr>
        <w:t xml:space="preserve"> Amendment as “enforce[</w:t>
      </w:r>
      <w:proofErr w:type="spellStart"/>
      <w:r w:rsidRPr="007868CD">
        <w:rPr>
          <w:rFonts w:ascii="Garamond" w:hAnsi="Garamond" w:cs="Arial"/>
          <w:sz w:val="25"/>
          <w:szCs w:val="25"/>
        </w:rPr>
        <w:t>ing</w:t>
      </w:r>
      <w:proofErr w:type="spellEnd"/>
      <w:r w:rsidRPr="007868CD">
        <w:rPr>
          <w:rFonts w:ascii="Garamond" w:hAnsi="Garamond" w:cs="Arial"/>
          <w:sz w:val="25"/>
          <w:szCs w:val="25"/>
        </w:rPr>
        <w:t>] the absolute equality of the two races before the law,” but then asserted that “it could not have been intended to abolish distinctions based upon color, or to enforce social…equality.” According to the Court, the 14</w:t>
      </w:r>
      <w:r w:rsidRPr="00BC6DEE">
        <w:rPr>
          <w:rFonts w:ascii="Garamond" w:hAnsi="Garamond" w:cs="Arial"/>
          <w:sz w:val="25"/>
          <w:szCs w:val="25"/>
          <w:vertAlign w:val="superscript"/>
        </w:rPr>
        <w:t>th</w:t>
      </w:r>
      <w:r w:rsidRPr="007868CD">
        <w:rPr>
          <w:rFonts w:ascii="Garamond" w:hAnsi="Garamond" w:cs="Arial"/>
          <w:sz w:val="25"/>
          <w:szCs w:val="25"/>
        </w:rPr>
        <w:t xml:space="preserve"> Amendment was only concerned with legal</w:t>
      </w:r>
      <w:r w:rsidR="00BC6DEE">
        <w:rPr>
          <w:rFonts w:ascii="Garamond" w:hAnsi="Garamond" w:cs="Arial"/>
          <w:sz w:val="25"/>
          <w:szCs w:val="25"/>
        </w:rPr>
        <w:t xml:space="preserve"> equality</w:t>
      </w:r>
      <w:r w:rsidRPr="007868CD">
        <w:rPr>
          <w:rFonts w:ascii="Garamond" w:hAnsi="Garamond" w:cs="Arial"/>
          <w:sz w:val="25"/>
          <w:szCs w:val="25"/>
        </w:rPr>
        <w:t>, not social equality.   </w:t>
      </w:r>
    </w:p>
    <w:p w14:paraId="5E6405DF" w14:textId="77777777" w:rsidR="004F38D8" w:rsidRPr="007868CD" w:rsidRDefault="004F38D8" w:rsidP="007868CD">
      <w:pPr>
        <w:tabs>
          <w:tab w:val="left" w:pos="450"/>
          <w:tab w:val="left" w:pos="8498"/>
        </w:tabs>
        <w:spacing w:after="120"/>
        <w:rPr>
          <w:rFonts w:ascii="Garamond" w:hAnsi="Garamond" w:cs="Arial"/>
          <w:sz w:val="25"/>
          <w:szCs w:val="25"/>
        </w:rPr>
      </w:pPr>
      <w:r w:rsidRPr="007868CD">
        <w:rPr>
          <w:rFonts w:ascii="Garamond" w:hAnsi="Garamond" w:cs="Arial"/>
          <w:sz w:val="25"/>
          <w:szCs w:val="25"/>
        </w:rPr>
        <w:t>In addition, the justices denied the argument that separation of the races by law “stamps the colored race with a badge of inferiority.” They argued that racial prejudice could not be overcome by “an enforced commingling of the two races.” According to this argument, outlawing segregation would not eliminate racial prejudice because societal beliefs could not be changed simply by changing the law. The Court concluded that “if one race be inferior to the other socially, the Constitution … cannot put them upon the same plane.”    </w:t>
      </w:r>
    </w:p>
    <w:p w14:paraId="3E4218A0" w14:textId="3FC5B6CB" w:rsidR="004F38D8" w:rsidRPr="007868CD" w:rsidRDefault="004F38D8" w:rsidP="007868CD">
      <w:pPr>
        <w:tabs>
          <w:tab w:val="left" w:pos="450"/>
          <w:tab w:val="left" w:pos="8498"/>
        </w:tabs>
        <w:spacing w:after="120"/>
        <w:rPr>
          <w:rFonts w:ascii="Garamond" w:hAnsi="Garamond" w:cs="Arial"/>
          <w:sz w:val="25"/>
          <w:szCs w:val="25"/>
        </w:rPr>
      </w:pPr>
      <w:r w:rsidRPr="007868CD">
        <w:rPr>
          <w:rFonts w:ascii="Garamond" w:hAnsi="Garamond" w:cs="Arial"/>
          <w:sz w:val="25"/>
          <w:szCs w:val="25"/>
        </w:rPr>
        <w:t>The justices explained that because the Louisiana law did not conflict with the purpose of the 14</w:t>
      </w:r>
      <w:r w:rsidRPr="00C670AB">
        <w:rPr>
          <w:rFonts w:ascii="Garamond" w:hAnsi="Garamond" w:cs="Arial"/>
          <w:sz w:val="25"/>
          <w:szCs w:val="25"/>
          <w:vertAlign w:val="superscript"/>
        </w:rPr>
        <w:t>th</w:t>
      </w:r>
      <w:r w:rsidRPr="007868CD">
        <w:rPr>
          <w:rFonts w:ascii="Garamond" w:hAnsi="Garamond" w:cs="Arial"/>
          <w:sz w:val="25"/>
          <w:szCs w:val="25"/>
        </w:rPr>
        <w:t xml:space="preserve"> Amendment, the only remaining question was whether it was “reasonable, and … enacted in good faith for the promotion for the public good.” Deferring to the Louisiana state legislature, they determined that the law met this requirement because it furthered “the preservation of the public peace and good order.” Thus, as long as separate facilities were equal</w:t>
      </w:r>
      <w:r w:rsidR="00927C16" w:rsidRPr="007868CD">
        <w:rPr>
          <w:rFonts w:ascii="Garamond" w:hAnsi="Garamond" w:cs="Arial"/>
          <w:sz w:val="25"/>
          <w:szCs w:val="25"/>
        </w:rPr>
        <w:t xml:space="preserve"> in quality</w:t>
      </w:r>
      <w:r w:rsidRPr="007868CD">
        <w:rPr>
          <w:rFonts w:ascii="Garamond" w:hAnsi="Garamond" w:cs="Arial"/>
          <w:sz w:val="25"/>
          <w:szCs w:val="25"/>
        </w:rPr>
        <w:t>, the Constitution did not prohibit segregation in the view of the majority of the Court. </w:t>
      </w:r>
    </w:p>
    <w:p w14:paraId="08B77916" w14:textId="593EE40E" w:rsidR="004F38D8" w:rsidRPr="007868CD" w:rsidRDefault="004F38D8" w:rsidP="007868CD">
      <w:pPr>
        <w:tabs>
          <w:tab w:val="left" w:pos="450"/>
          <w:tab w:val="left" w:pos="8498"/>
        </w:tabs>
        <w:spacing w:after="120"/>
        <w:rPr>
          <w:rFonts w:ascii="Garamond" w:hAnsi="Garamond" w:cs="Arial"/>
          <w:sz w:val="25"/>
          <w:szCs w:val="25"/>
        </w:rPr>
      </w:pPr>
      <w:r w:rsidRPr="007868CD">
        <w:rPr>
          <w:rFonts w:ascii="Garamond" w:hAnsi="Garamond" w:cs="Arial"/>
          <w:sz w:val="25"/>
          <w:szCs w:val="25"/>
        </w:rPr>
        <w:t xml:space="preserve">Justice John Marshall Harlan dissented from the majority. In an opinion that later became pivotal in </w:t>
      </w:r>
      <w:r w:rsidRPr="007868CD">
        <w:rPr>
          <w:rFonts w:ascii="Garamond" w:hAnsi="Garamond" w:cs="Arial"/>
          <w:i/>
          <w:iCs/>
          <w:sz w:val="25"/>
          <w:szCs w:val="25"/>
        </w:rPr>
        <w:t>Brown v. Board of Education </w:t>
      </w:r>
      <w:r w:rsidRPr="007868CD">
        <w:rPr>
          <w:rFonts w:ascii="Garamond" w:hAnsi="Garamond" w:cs="Arial"/>
          <w:sz w:val="25"/>
          <w:szCs w:val="25"/>
        </w:rPr>
        <w:t xml:space="preserve">(1954), he argued that segregationist legislation, like the Louisiana law in this case, was based on the assumption that “colored citizens are so inferior and degraded that they cannot be allowed to sit in public coaches occupied by white citizens.” These laws promoted and perpetuated the racist belief that </w:t>
      </w:r>
      <w:r w:rsidR="00D27A5D">
        <w:rPr>
          <w:rFonts w:ascii="Garamond" w:hAnsi="Garamond" w:cs="Arial"/>
          <w:sz w:val="25"/>
          <w:szCs w:val="25"/>
        </w:rPr>
        <w:t xml:space="preserve">Black people </w:t>
      </w:r>
      <w:r w:rsidRPr="007868CD">
        <w:rPr>
          <w:rFonts w:ascii="Garamond" w:hAnsi="Garamond" w:cs="Arial"/>
          <w:sz w:val="25"/>
          <w:szCs w:val="25"/>
        </w:rPr>
        <w:t xml:space="preserve">were inferior to </w:t>
      </w:r>
      <w:r w:rsidR="00927C16" w:rsidRPr="007868CD">
        <w:rPr>
          <w:rFonts w:ascii="Garamond" w:hAnsi="Garamond" w:cs="Arial"/>
          <w:sz w:val="25"/>
          <w:szCs w:val="25"/>
        </w:rPr>
        <w:t>W</w:t>
      </w:r>
      <w:r w:rsidRPr="007868CD">
        <w:rPr>
          <w:rFonts w:ascii="Garamond" w:hAnsi="Garamond" w:cs="Arial"/>
          <w:sz w:val="25"/>
          <w:szCs w:val="25"/>
        </w:rPr>
        <w:t>hite</w:t>
      </w:r>
      <w:r w:rsidR="00D27A5D">
        <w:rPr>
          <w:rFonts w:ascii="Garamond" w:hAnsi="Garamond" w:cs="Arial"/>
          <w:sz w:val="25"/>
          <w:szCs w:val="25"/>
        </w:rPr>
        <w:t xml:space="preserve"> people</w:t>
      </w:r>
      <w:r w:rsidR="00132F46">
        <w:rPr>
          <w:rFonts w:ascii="Garamond" w:hAnsi="Garamond" w:cs="Arial"/>
          <w:sz w:val="25"/>
          <w:szCs w:val="25"/>
        </w:rPr>
        <w:t>,</w:t>
      </w:r>
      <w:r w:rsidRPr="007868CD">
        <w:rPr>
          <w:rFonts w:ascii="Garamond" w:hAnsi="Garamond" w:cs="Arial"/>
          <w:sz w:val="25"/>
          <w:szCs w:val="25"/>
        </w:rPr>
        <w:t xml:space="preserve"> according to Justice Harlan. He argued that they must be struck down because the government could not “permit the seeds of race hate to be planted under the sanction of law.” Justice Harlan believed that the </w:t>
      </w:r>
      <w:r w:rsidR="00927C16" w:rsidRPr="007868CD">
        <w:rPr>
          <w:rFonts w:ascii="Garamond" w:hAnsi="Garamond" w:cs="Arial"/>
          <w:sz w:val="25"/>
          <w:szCs w:val="25"/>
        </w:rPr>
        <w:t>C</w:t>
      </w:r>
      <w:r w:rsidRPr="007868CD">
        <w:rPr>
          <w:rFonts w:ascii="Garamond" w:hAnsi="Garamond" w:cs="Arial"/>
          <w:sz w:val="25"/>
          <w:szCs w:val="25"/>
        </w:rPr>
        <w:t>onstitution must be “color-blind,” and that it could allow “no superior, dominant ruling class of citizens.” Because segregation had the effect of creating such classes, he judged, it was unconstitutional. </w:t>
      </w:r>
    </w:p>
    <w:p w14:paraId="2F8ECCBC" w14:textId="25758C3A" w:rsidR="007415D6" w:rsidRPr="007415D6" w:rsidRDefault="007415D6" w:rsidP="00A72508">
      <w:pPr>
        <w:pStyle w:val="Basiccopysl"/>
      </w:pPr>
    </w:p>
    <w:sectPr w:rsidR="007415D6" w:rsidRPr="007415D6"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E8401" w14:textId="77777777" w:rsidR="00E9029A" w:rsidRDefault="00E9029A" w:rsidP="0078549D">
      <w:pPr>
        <w:spacing w:after="0" w:line="240" w:lineRule="auto"/>
      </w:pPr>
      <w:r>
        <w:separator/>
      </w:r>
    </w:p>
  </w:endnote>
  <w:endnote w:type="continuationSeparator" w:id="0">
    <w:p w14:paraId="610698AC" w14:textId="77777777" w:rsidR="00E9029A" w:rsidRDefault="00E9029A"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3ADE0CFC" w14:textId="77777777"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1A195194" w14:textId="0332E829"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7868CD">
          <w:rPr>
            <w:rStyle w:val="BasiccopyslChar"/>
            <w:sz w:val="22"/>
            <w:szCs w:val="22"/>
          </w:rPr>
          <w:t>08/19/2020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1D4F0" w14:textId="77777777" w:rsidR="00E9029A" w:rsidRDefault="00E9029A" w:rsidP="0078549D">
      <w:pPr>
        <w:spacing w:after="0" w:line="240" w:lineRule="auto"/>
      </w:pPr>
      <w:r>
        <w:separator/>
      </w:r>
    </w:p>
  </w:footnote>
  <w:footnote w:type="continuationSeparator" w:id="0">
    <w:p w14:paraId="0F41965D" w14:textId="77777777" w:rsidR="00E9029A" w:rsidRDefault="00E9029A"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F267D" w14:textId="32AE3628" w:rsidR="00F64E56" w:rsidRPr="00102B20" w:rsidRDefault="00102B20" w:rsidP="00102B20">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ab/>
      <w:t xml:space="preserve">            </w:t>
    </w:r>
    <w:r w:rsidR="003D054A">
      <w:rPr>
        <w:i/>
        <w:iCs/>
        <w:sz w:val="22"/>
        <w:szCs w:val="22"/>
      </w:rPr>
      <w:t xml:space="preserve">Plessy v. Ferguson </w:t>
    </w:r>
    <w:r w:rsidRPr="00987C93">
      <w:rPr>
        <w:sz w:val="22"/>
        <w:szCs w:val="22"/>
      </w:rPr>
      <w:t>/</w:t>
    </w:r>
    <w:r>
      <w:rPr>
        <w:sz w:val="22"/>
        <w:szCs w:val="22"/>
      </w:rPr>
      <w:t xml:space="preserve"> Summary of Decision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18760" w14:textId="7241574E"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005C527C">
      <w:rPr>
        <w:sz w:val="22"/>
        <w:szCs w:val="22"/>
      </w:rPr>
      <w:tab/>
      <w:t xml:space="preserve">       </w:t>
    </w:r>
    <w:r w:rsidR="00102B20">
      <w:rPr>
        <w:sz w:val="22"/>
        <w:szCs w:val="22"/>
      </w:rPr>
      <w:t xml:space="preserve">     </w:t>
    </w:r>
    <w:r w:rsidR="007868CD">
      <w:rPr>
        <w:sz w:val="22"/>
        <w:szCs w:val="22"/>
      </w:rPr>
      <w:tab/>
      <w:t xml:space="preserve">   </w:t>
    </w:r>
    <w:r w:rsidR="003D054A">
      <w:rPr>
        <w:i/>
        <w:iCs/>
        <w:sz w:val="22"/>
        <w:szCs w:val="22"/>
      </w:rPr>
      <w:t>Plessy v. Ferguson</w:t>
    </w:r>
    <w:r>
      <w:rPr>
        <w:i/>
        <w:iCs/>
        <w:sz w:val="22"/>
        <w:szCs w:val="22"/>
      </w:rPr>
      <w:t xml:space="preserve"> </w:t>
    </w:r>
    <w:r w:rsidRPr="00987C93">
      <w:rPr>
        <w:sz w:val="22"/>
        <w:szCs w:val="22"/>
      </w:rPr>
      <w:t>/</w:t>
    </w:r>
    <w:r w:rsidR="005C527C">
      <w:rPr>
        <w:sz w:val="22"/>
        <w:szCs w:val="22"/>
      </w:rPr>
      <w:t xml:space="preserve"> Summary of </w:t>
    </w:r>
    <w:r w:rsidR="00667C77">
      <w:rPr>
        <w:sz w:val="22"/>
        <w:szCs w:val="22"/>
      </w:rPr>
      <w:t>Decision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7D48"/>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652A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28219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4"/>
  </w:num>
  <w:num w:numId="5">
    <w:abstractNumId w:val="9"/>
  </w:num>
  <w:num w:numId="6">
    <w:abstractNumId w:val="6"/>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3"/>
  </w:num>
  <w:num w:numId="12">
    <w:abstractNumId w:val="0"/>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8C"/>
    <w:rsid w:val="000356BB"/>
    <w:rsid w:val="000E239D"/>
    <w:rsid w:val="000E363F"/>
    <w:rsid w:val="00102B20"/>
    <w:rsid w:val="001056C3"/>
    <w:rsid w:val="00132F46"/>
    <w:rsid w:val="00170B98"/>
    <w:rsid w:val="001B3E05"/>
    <w:rsid w:val="0021030F"/>
    <w:rsid w:val="0025076D"/>
    <w:rsid w:val="00290061"/>
    <w:rsid w:val="00295B0C"/>
    <w:rsid w:val="002B4D38"/>
    <w:rsid w:val="002C68A3"/>
    <w:rsid w:val="002D2203"/>
    <w:rsid w:val="00317735"/>
    <w:rsid w:val="00343376"/>
    <w:rsid w:val="00375090"/>
    <w:rsid w:val="00396AEB"/>
    <w:rsid w:val="003C6F20"/>
    <w:rsid w:val="003D054A"/>
    <w:rsid w:val="003D1F21"/>
    <w:rsid w:val="00400A63"/>
    <w:rsid w:val="00401612"/>
    <w:rsid w:val="004632BE"/>
    <w:rsid w:val="004B560A"/>
    <w:rsid w:val="004B73F9"/>
    <w:rsid w:val="004E7457"/>
    <w:rsid w:val="004F38D8"/>
    <w:rsid w:val="004F77FB"/>
    <w:rsid w:val="005311FB"/>
    <w:rsid w:val="0057167D"/>
    <w:rsid w:val="00577EC5"/>
    <w:rsid w:val="00580FD1"/>
    <w:rsid w:val="005A0330"/>
    <w:rsid w:val="005A4E3D"/>
    <w:rsid w:val="005C527C"/>
    <w:rsid w:val="005D058C"/>
    <w:rsid w:val="005E66CF"/>
    <w:rsid w:val="006135E5"/>
    <w:rsid w:val="00667C77"/>
    <w:rsid w:val="006C3E71"/>
    <w:rsid w:val="006E09C9"/>
    <w:rsid w:val="006E3717"/>
    <w:rsid w:val="00733BF4"/>
    <w:rsid w:val="007415D6"/>
    <w:rsid w:val="0078549D"/>
    <w:rsid w:val="007868CD"/>
    <w:rsid w:val="007F700D"/>
    <w:rsid w:val="00807F02"/>
    <w:rsid w:val="00815CB0"/>
    <w:rsid w:val="0081706F"/>
    <w:rsid w:val="00927C16"/>
    <w:rsid w:val="00987C93"/>
    <w:rsid w:val="009C50F9"/>
    <w:rsid w:val="009D6B03"/>
    <w:rsid w:val="009E1A5F"/>
    <w:rsid w:val="00A72508"/>
    <w:rsid w:val="00A740A5"/>
    <w:rsid w:val="00A805AE"/>
    <w:rsid w:val="00AE0C77"/>
    <w:rsid w:val="00B535F7"/>
    <w:rsid w:val="00B54370"/>
    <w:rsid w:val="00B62487"/>
    <w:rsid w:val="00B92A79"/>
    <w:rsid w:val="00BC6DEE"/>
    <w:rsid w:val="00C05B0A"/>
    <w:rsid w:val="00C15DAC"/>
    <w:rsid w:val="00C670AB"/>
    <w:rsid w:val="00C87D80"/>
    <w:rsid w:val="00CF4922"/>
    <w:rsid w:val="00D27A5D"/>
    <w:rsid w:val="00D76459"/>
    <w:rsid w:val="00DE3D18"/>
    <w:rsid w:val="00E3555A"/>
    <w:rsid w:val="00E64542"/>
    <w:rsid w:val="00E669C0"/>
    <w:rsid w:val="00E9029A"/>
    <w:rsid w:val="00EA18B0"/>
    <w:rsid w:val="00EB20C0"/>
    <w:rsid w:val="00EF7C97"/>
    <w:rsid w:val="00F64E56"/>
    <w:rsid w:val="00F957BE"/>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3F61D1"/>
  <w15:docId w15:val="{7E554181-5AB6-4DA4-9EC0-767F23C2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A725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77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uffing.SLHQ\Downloads\LMC%20student%20handout%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9082007F-0F78-47FC-887A-BB96BECE78F1}">
  <ds:schemaRefs>
    <ds:schemaRef ds:uri="http://schemas.microsoft.com/office/2006/metadata/properties"/>
    <ds:schemaRef ds:uri="http://schemas.microsoft.com/office/infopath/2007/PartnerControls"/>
    <ds:schemaRef ds:uri="9af227aa-5493-4bfe-a302-9771bcf92926"/>
  </ds:schemaRefs>
</ds:datastoreItem>
</file>

<file path=customXml/itemProps3.xml><?xml version="1.0" encoding="utf-8"?>
<ds:datastoreItem xmlns:ds="http://schemas.openxmlformats.org/officeDocument/2006/customXml" ds:itemID="{E3771C54-032A-411A-8A23-3AC904E37698}"/>
</file>

<file path=docProps/app.xml><?xml version="1.0" encoding="utf-8"?>
<Properties xmlns="http://schemas.openxmlformats.org/officeDocument/2006/extended-properties" xmlns:vt="http://schemas.openxmlformats.org/officeDocument/2006/docPropsVTypes">
  <Template>LMC student handout styles</Template>
  <TotalTime>1</TotalTime>
  <Pages>1</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Ruffing</dc:creator>
  <cp:lastModifiedBy>Allison Hawkins</cp:lastModifiedBy>
  <cp:revision>2</cp:revision>
  <dcterms:created xsi:type="dcterms:W3CDTF">2020-08-19T18:23:00Z</dcterms:created>
  <dcterms:modified xsi:type="dcterms:W3CDTF">2020-08-19T18:23:00Z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