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04141ADE" w:rsidR="005311FB" w:rsidRPr="008B562B" w:rsidRDefault="005D38B4" w:rsidP="00CB6C90">
      <w:pPr>
        <w:pStyle w:val="Title1sl"/>
        <w:pBdr>
          <w:bottom w:val="single" w:sz="12" w:space="1" w:color="auto"/>
        </w:pBdr>
        <w:spacing w:before="240"/>
        <w:rPr>
          <w:sz w:val="40"/>
          <w:szCs w:val="40"/>
        </w:rPr>
      </w:pPr>
      <w:r w:rsidRPr="008B562B">
        <w:rPr>
          <w:i/>
          <w:iCs/>
          <w:sz w:val="40"/>
          <w:szCs w:val="40"/>
        </w:rPr>
        <w:t xml:space="preserve">Plessy v. Ferguson </w:t>
      </w:r>
      <w:r w:rsidR="00F64E56" w:rsidRPr="008B562B">
        <w:rPr>
          <w:sz w:val="40"/>
          <w:szCs w:val="40"/>
        </w:rPr>
        <w:t>/ Background</w:t>
      </w:r>
      <w:r w:rsidR="00987C93" w:rsidRPr="008B562B">
        <w:rPr>
          <w:sz w:val="40"/>
          <w:szCs w:val="40"/>
        </w:rPr>
        <w:t xml:space="preserve"> </w:t>
      </w:r>
      <w:r w:rsidR="00987C93" w:rsidRPr="008B562B">
        <w:rPr>
          <w:b w:val="0"/>
          <w:bCs/>
          <w:sz w:val="40"/>
          <w:szCs w:val="40"/>
        </w:rPr>
        <w:sym w:font="Symbol" w:char="F0B7"/>
      </w:r>
      <w:r w:rsidR="00987C93" w:rsidRPr="008B562B">
        <w:rPr>
          <w:b w:val="0"/>
          <w:bCs/>
          <w:sz w:val="40"/>
          <w:szCs w:val="40"/>
        </w:rPr>
        <w:sym w:font="Symbol" w:char="F0B7"/>
      </w:r>
      <w:r w:rsidR="00987C93" w:rsidRPr="008B562B">
        <w:rPr>
          <w:b w:val="0"/>
          <w:bCs/>
          <w:sz w:val="40"/>
          <w:szCs w:val="40"/>
        </w:rPr>
        <w:sym w:font="Symbol" w:char="F0B7"/>
      </w:r>
    </w:p>
    <w:p w14:paraId="78D7AB0A" w14:textId="2BF03C7B" w:rsidR="00AF6B44" w:rsidRPr="006467CC" w:rsidRDefault="00AF6B44" w:rsidP="008B562B">
      <w:pPr>
        <w:tabs>
          <w:tab w:val="left" w:pos="450"/>
          <w:tab w:val="left" w:pos="8498"/>
        </w:tabs>
        <w:spacing w:after="120"/>
        <w:rPr>
          <w:rFonts w:ascii="Garamond" w:hAnsi="Garamond" w:cs="Arial"/>
          <w:bCs/>
          <w:sz w:val="25"/>
          <w:szCs w:val="25"/>
        </w:rPr>
      </w:pPr>
      <w:r w:rsidRPr="006467CC">
        <w:rPr>
          <w:rFonts w:ascii="Garamond" w:hAnsi="Garamond" w:cs="Arial"/>
          <w:bCs/>
          <w:sz w:val="25"/>
          <w:szCs w:val="25"/>
        </w:rPr>
        <w:t xml:space="preserve">In 1890, Louisiana passed a statute called the Separate Car Act, which stated </w:t>
      </w:r>
      <w:r w:rsidR="001B3758">
        <w:rPr>
          <w:rFonts w:ascii="Garamond" w:hAnsi="Garamond" w:cs="Arial"/>
          <w:bCs/>
          <w:sz w:val="25"/>
          <w:szCs w:val="25"/>
        </w:rPr>
        <w:t>“</w:t>
      </w:r>
      <w:r w:rsidRPr="006467CC">
        <w:rPr>
          <w:rFonts w:ascii="Garamond" w:hAnsi="Garamond" w:cs="Arial"/>
          <w:bCs/>
          <w:sz w:val="25"/>
          <w:szCs w:val="25"/>
        </w:rPr>
        <w:t>all railway companies carrying passengers in their coaches in this state, shall provide equal but separate accommodations for the white, and colored</w:t>
      </w:r>
      <w:r w:rsidR="00AA440B">
        <w:rPr>
          <w:rStyle w:val="FootnoteReference"/>
          <w:rFonts w:ascii="Garamond" w:hAnsi="Garamond" w:cs="Arial"/>
          <w:bCs/>
          <w:sz w:val="25"/>
          <w:szCs w:val="25"/>
        </w:rPr>
        <w:footnoteReference w:id="1"/>
      </w:r>
      <w:r w:rsidRPr="006467CC">
        <w:rPr>
          <w:rFonts w:ascii="Garamond" w:hAnsi="Garamond" w:cs="Arial"/>
          <w:bCs/>
          <w:sz w:val="25"/>
          <w:szCs w:val="25"/>
        </w:rPr>
        <w:t xml:space="preserve"> races, by providing two or more passenger coaches for each passenger train, or by dividing the passenger coaches by a partition so as to secure separate accommodations.</w:t>
      </w:r>
      <w:r w:rsidR="001B3758">
        <w:rPr>
          <w:rFonts w:ascii="Garamond" w:hAnsi="Garamond" w:cs="Arial"/>
          <w:bCs/>
          <w:sz w:val="25"/>
          <w:szCs w:val="25"/>
        </w:rPr>
        <w:t>”</w:t>
      </w:r>
      <w:r w:rsidRPr="006467CC">
        <w:rPr>
          <w:rFonts w:ascii="Garamond" w:hAnsi="Garamond" w:cs="Arial"/>
          <w:bCs/>
          <w:sz w:val="25"/>
          <w:szCs w:val="25"/>
        </w:rPr>
        <w:t xml:space="preserve"> The penalty for sitting in the wrong </w:t>
      </w:r>
      <w:r w:rsidR="006467CC">
        <w:rPr>
          <w:rFonts w:ascii="Garamond" w:hAnsi="Garamond" w:cs="Arial"/>
          <w:bCs/>
          <w:sz w:val="25"/>
          <w:szCs w:val="25"/>
        </w:rPr>
        <w:t>car</w:t>
      </w:r>
      <w:r w:rsidRPr="006467CC">
        <w:rPr>
          <w:rFonts w:ascii="Garamond" w:hAnsi="Garamond" w:cs="Arial"/>
          <w:bCs/>
          <w:sz w:val="25"/>
          <w:szCs w:val="25"/>
        </w:rPr>
        <w:t xml:space="preserve"> was a fine of $25 or 20 days in jail.</w:t>
      </w:r>
    </w:p>
    <w:p w14:paraId="466C2314" w14:textId="4EEE2760" w:rsidR="00AF6B44" w:rsidRPr="006467CC" w:rsidRDefault="00AF6B44" w:rsidP="008B562B">
      <w:pPr>
        <w:tabs>
          <w:tab w:val="left" w:pos="450"/>
          <w:tab w:val="left" w:pos="8498"/>
        </w:tabs>
        <w:spacing w:after="120"/>
        <w:rPr>
          <w:rFonts w:ascii="Garamond" w:hAnsi="Garamond" w:cs="Arial"/>
          <w:bCs/>
          <w:sz w:val="25"/>
          <w:szCs w:val="25"/>
        </w:rPr>
      </w:pPr>
      <w:r w:rsidRPr="006467CC">
        <w:rPr>
          <w:rFonts w:ascii="Garamond" w:hAnsi="Garamond" w:cs="Arial"/>
          <w:bCs/>
          <w:sz w:val="25"/>
          <w:szCs w:val="25"/>
        </w:rPr>
        <w:t>The</w:t>
      </w:r>
      <w:r w:rsidRPr="006467CC">
        <w:rPr>
          <w:rFonts w:ascii="Garamond" w:hAnsi="Garamond" w:cs="Arial"/>
          <w:bCs/>
          <w:i/>
          <w:iCs/>
          <w:sz w:val="25"/>
          <w:szCs w:val="25"/>
        </w:rPr>
        <w:t xml:space="preserve"> Plessy </w:t>
      </w:r>
      <w:r w:rsidRPr="006467CC">
        <w:rPr>
          <w:rFonts w:ascii="Garamond" w:hAnsi="Garamond" w:cs="Arial"/>
          <w:bCs/>
          <w:sz w:val="25"/>
          <w:szCs w:val="25"/>
        </w:rPr>
        <w:t>case was carefully orchestrated by both the Citizens</w:t>
      </w:r>
      <w:r w:rsidR="00C4461E">
        <w:rPr>
          <w:rFonts w:ascii="Garamond" w:hAnsi="Garamond" w:cs="Arial"/>
          <w:bCs/>
          <w:sz w:val="25"/>
          <w:szCs w:val="25"/>
        </w:rPr>
        <w:t>’</w:t>
      </w:r>
      <w:r w:rsidRPr="006467CC">
        <w:rPr>
          <w:rFonts w:ascii="Garamond" w:hAnsi="Garamond" w:cs="Arial"/>
          <w:bCs/>
          <w:sz w:val="25"/>
          <w:szCs w:val="25"/>
        </w:rPr>
        <w:t xml:space="preserve"> Committee to Test the Constitutionality of the Separate Car Act, a group of </w:t>
      </w:r>
      <w:r w:rsidR="006467CC">
        <w:rPr>
          <w:rFonts w:ascii="Garamond" w:hAnsi="Garamond" w:cs="Arial"/>
          <w:bCs/>
          <w:sz w:val="25"/>
          <w:szCs w:val="25"/>
        </w:rPr>
        <w:t>B</w:t>
      </w:r>
      <w:r w:rsidRPr="006467CC">
        <w:rPr>
          <w:rFonts w:ascii="Garamond" w:hAnsi="Garamond" w:cs="Arial"/>
          <w:bCs/>
          <w:sz w:val="25"/>
          <w:szCs w:val="25"/>
        </w:rPr>
        <w:t>lack</w:t>
      </w:r>
      <w:r w:rsidR="006467CC">
        <w:rPr>
          <w:rFonts w:ascii="Garamond" w:hAnsi="Garamond" w:cs="Arial"/>
          <w:bCs/>
          <w:sz w:val="25"/>
          <w:szCs w:val="25"/>
        </w:rPr>
        <w:t xml:space="preserve"> </w:t>
      </w:r>
      <w:r w:rsidR="00B07DF3">
        <w:rPr>
          <w:rFonts w:ascii="Garamond" w:hAnsi="Garamond" w:cs="Arial"/>
          <w:bCs/>
          <w:sz w:val="25"/>
          <w:szCs w:val="25"/>
        </w:rPr>
        <w:t>citizens</w:t>
      </w:r>
      <w:r w:rsidRPr="006467CC">
        <w:rPr>
          <w:rFonts w:ascii="Garamond" w:hAnsi="Garamond" w:cs="Arial"/>
          <w:bCs/>
          <w:sz w:val="25"/>
          <w:szCs w:val="25"/>
        </w:rPr>
        <w:t xml:space="preserve"> who raised $3</w:t>
      </w:r>
      <w:r w:rsidR="00C4461E">
        <w:rPr>
          <w:rFonts w:ascii="Garamond" w:hAnsi="Garamond" w:cs="Arial"/>
          <w:bCs/>
          <w:sz w:val="25"/>
          <w:szCs w:val="25"/>
        </w:rPr>
        <w:t>,</w:t>
      </w:r>
      <w:r w:rsidRPr="006467CC">
        <w:rPr>
          <w:rFonts w:ascii="Garamond" w:hAnsi="Garamond" w:cs="Arial"/>
          <w:bCs/>
          <w:sz w:val="25"/>
          <w:szCs w:val="25"/>
        </w:rPr>
        <w:t xml:space="preserve">000 to challenge the </w:t>
      </w:r>
      <w:r w:rsidR="00A12A9F">
        <w:rPr>
          <w:rFonts w:ascii="Garamond" w:hAnsi="Garamond" w:cs="Arial"/>
          <w:bCs/>
          <w:sz w:val="25"/>
          <w:szCs w:val="25"/>
        </w:rPr>
        <w:t>a</w:t>
      </w:r>
      <w:r w:rsidRPr="006467CC">
        <w:rPr>
          <w:rFonts w:ascii="Garamond" w:hAnsi="Garamond" w:cs="Arial"/>
          <w:bCs/>
          <w:sz w:val="25"/>
          <w:szCs w:val="25"/>
        </w:rPr>
        <w:t xml:space="preserve">ct, and the East Louisiana Railroad Company, which sought to terminate the </w:t>
      </w:r>
      <w:r w:rsidR="00C4461E">
        <w:rPr>
          <w:rFonts w:ascii="Garamond" w:hAnsi="Garamond" w:cs="Arial"/>
          <w:bCs/>
          <w:sz w:val="25"/>
          <w:szCs w:val="25"/>
        </w:rPr>
        <w:t>a</w:t>
      </w:r>
      <w:r w:rsidRPr="006467CC">
        <w:rPr>
          <w:rFonts w:ascii="Garamond" w:hAnsi="Garamond" w:cs="Arial"/>
          <w:bCs/>
          <w:sz w:val="25"/>
          <w:szCs w:val="25"/>
        </w:rPr>
        <w:t xml:space="preserve">ct largely </w:t>
      </w:r>
      <w:r w:rsidR="006467CC">
        <w:rPr>
          <w:rFonts w:ascii="Garamond" w:hAnsi="Garamond" w:cs="Arial"/>
          <w:bCs/>
          <w:sz w:val="25"/>
          <w:szCs w:val="25"/>
        </w:rPr>
        <w:t>because it cost them money</w:t>
      </w:r>
      <w:r w:rsidR="00A12A9F">
        <w:rPr>
          <w:rFonts w:ascii="Garamond" w:hAnsi="Garamond" w:cs="Arial"/>
          <w:bCs/>
          <w:sz w:val="25"/>
          <w:szCs w:val="25"/>
        </w:rPr>
        <w:t xml:space="preserve"> to maintain segregated seating</w:t>
      </w:r>
      <w:r w:rsidR="006467CC">
        <w:rPr>
          <w:rFonts w:ascii="Garamond" w:hAnsi="Garamond" w:cs="Arial"/>
          <w:bCs/>
          <w:sz w:val="25"/>
          <w:szCs w:val="25"/>
        </w:rPr>
        <w:t>.</w:t>
      </w:r>
      <w:r w:rsidRPr="006467CC">
        <w:rPr>
          <w:rFonts w:ascii="Garamond" w:hAnsi="Garamond" w:cs="Arial"/>
          <w:bCs/>
          <w:sz w:val="25"/>
          <w:szCs w:val="25"/>
        </w:rPr>
        <w:t xml:space="preserve"> The</w:t>
      </w:r>
      <w:r w:rsidR="00A12A9F">
        <w:rPr>
          <w:rFonts w:ascii="Garamond" w:hAnsi="Garamond" w:cs="Arial"/>
          <w:bCs/>
          <w:sz w:val="25"/>
          <w:szCs w:val="25"/>
        </w:rPr>
        <w:t xml:space="preserve"> groups</w:t>
      </w:r>
      <w:r w:rsidRPr="006467CC">
        <w:rPr>
          <w:rFonts w:ascii="Garamond" w:hAnsi="Garamond" w:cs="Arial"/>
          <w:bCs/>
          <w:sz w:val="25"/>
          <w:szCs w:val="25"/>
        </w:rPr>
        <w:t xml:space="preserve"> chose a 30-year-old shoemaker named Homer Plessy, a citizen of the United States </w:t>
      </w:r>
      <w:r w:rsidR="00A12A9F" w:rsidRPr="006467CC">
        <w:rPr>
          <w:rFonts w:ascii="Garamond" w:hAnsi="Garamond" w:cs="Arial"/>
          <w:bCs/>
          <w:sz w:val="25"/>
          <w:szCs w:val="25"/>
        </w:rPr>
        <w:t>and a resident of the state of Louisiana</w:t>
      </w:r>
      <w:r w:rsidR="00A12A9F">
        <w:rPr>
          <w:rFonts w:ascii="Garamond" w:hAnsi="Garamond" w:cs="Arial"/>
          <w:bCs/>
          <w:sz w:val="25"/>
          <w:szCs w:val="25"/>
        </w:rPr>
        <w:t xml:space="preserve"> </w:t>
      </w:r>
      <w:r w:rsidRPr="006467CC">
        <w:rPr>
          <w:rFonts w:ascii="Garamond" w:hAnsi="Garamond" w:cs="Arial"/>
          <w:bCs/>
          <w:sz w:val="25"/>
          <w:szCs w:val="25"/>
        </w:rPr>
        <w:t xml:space="preserve">who was one-eighth </w:t>
      </w:r>
      <w:r w:rsidR="006467CC">
        <w:rPr>
          <w:rFonts w:ascii="Garamond" w:hAnsi="Garamond" w:cs="Arial"/>
          <w:bCs/>
          <w:sz w:val="25"/>
          <w:szCs w:val="25"/>
        </w:rPr>
        <w:t>B</w:t>
      </w:r>
      <w:r w:rsidRPr="006467CC">
        <w:rPr>
          <w:rFonts w:ascii="Garamond" w:hAnsi="Garamond" w:cs="Arial"/>
          <w:bCs/>
          <w:sz w:val="25"/>
          <w:szCs w:val="25"/>
        </w:rPr>
        <w:t>lack</w:t>
      </w:r>
      <w:r w:rsidR="00A12A9F">
        <w:rPr>
          <w:rFonts w:ascii="Garamond" w:hAnsi="Garamond" w:cs="Arial"/>
          <w:bCs/>
          <w:sz w:val="25"/>
          <w:szCs w:val="25"/>
        </w:rPr>
        <w:t xml:space="preserve">. </w:t>
      </w:r>
      <w:r w:rsidRPr="006467CC">
        <w:rPr>
          <w:rFonts w:ascii="Garamond" w:hAnsi="Garamond" w:cs="Arial"/>
          <w:bCs/>
          <w:sz w:val="25"/>
          <w:szCs w:val="25"/>
        </w:rPr>
        <w:t>On June 7, 1892, Plessy purchased a first-class passage from New Orleans to Covington, Louisiana</w:t>
      </w:r>
      <w:r w:rsidR="00C4461E">
        <w:rPr>
          <w:rFonts w:ascii="Garamond" w:hAnsi="Garamond" w:cs="Arial"/>
          <w:bCs/>
          <w:sz w:val="25"/>
          <w:szCs w:val="25"/>
        </w:rPr>
        <w:t>,</w:t>
      </w:r>
      <w:r w:rsidRPr="006467CC">
        <w:rPr>
          <w:rFonts w:ascii="Garamond" w:hAnsi="Garamond" w:cs="Arial"/>
          <w:bCs/>
          <w:sz w:val="25"/>
          <w:szCs w:val="25"/>
        </w:rPr>
        <w:t xml:space="preserve"> and sat in the railroad car designated for </w:t>
      </w:r>
      <w:r w:rsidR="006467CC">
        <w:rPr>
          <w:rFonts w:ascii="Garamond" w:hAnsi="Garamond" w:cs="Arial"/>
          <w:bCs/>
          <w:sz w:val="25"/>
          <w:szCs w:val="25"/>
        </w:rPr>
        <w:t>W</w:t>
      </w:r>
      <w:r w:rsidRPr="006467CC">
        <w:rPr>
          <w:rFonts w:ascii="Garamond" w:hAnsi="Garamond" w:cs="Arial"/>
          <w:bCs/>
          <w:sz w:val="25"/>
          <w:szCs w:val="25"/>
        </w:rPr>
        <w:t>hite</w:t>
      </w:r>
      <w:r w:rsidR="002C5C01">
        <w:rPr>
          <w:rFonts w:ascii="Garamond" w:hAnsi="Garamond" w:cs="Arial"/>
          <w:bCs/>
          <w:sz w:val="25"/>
          <w:szCs w:val="25"/>
        </w:rPr>
        <w:t xml:space="preserve"> passengers</w:t>
      </w:r>
      <w:r w:rsidRPr="006467CC">
        <w:rPr>
          <w:rFonts w:ascii="Garamond" w:hAnsi="Garamond" w:cs="Arial"/>
          <w:bCs/>
          <w:sz w:val="25"/>
          <w:szCs w:val="25"/>
        </w:rPr>
        <w:t xml:space="preserve">. The railroad officials, following through on the arrangement, arrested Plessy and charged him with violating the Separate Car Act. Well known advocate for </w:t>
      </w:r>
      <w:r w:rsidR="006467CC">
        <w:rPr>
          <w:rFonts w:ascii="Garamond" w:hAnsi="Garamond" w:cs="Arial"/>
          <w:bCs/>
          <w:sz w:val="25"/>
          <w:szCs w:val="25"/>
        </w:rPr>
        <w:t>B</w:t>
      </w:r>
      <w:r w:rsidRPr="006467CC">
        <w:rPr>
          <w:rFonts w:ascii="Garamond" w:hAnsi="Garamond" w:cs="Arial"/>
          <w:bCs/>
          <w:sz w:val="25"/>
          <w:szCs w:val="25"/>
        </w:rPr>
        <w:t>lack rights</w:t>
      </w:r>
      <w:r w:rsidR="006467CC">
        <w:rPr>
          <w:rFonts w:ascii="Garamond" w:hAnsi="Garamond" w:cs="Arial"/>
          <w:bCs/>
          <w:sz w:val="25"/>
          <w:szCs w:val="25"/>
        </w:rPr>
        <w:t xml:space="preserve">, </w:t>
      </w:r>
      <w:r w:rsidRPr="006467CC">
        <w:rPr>
          <w:rFonts w:ascii="Garamond" w:hAnsi="Garamond" w:cs="Arial"/>
          <w:bCs/>
          <w:sz w:val="25"/>
          <w:szCs w:val="25"/>
        </w:rPr>
        <w:t>Albion Tourgee, agreed to argue the case without compensation.</w:t>
      </w:r>
    </w:p>
    <w:p w14:paraId="0631DFB8" w14:textId="15CAEB65" w:rsidR="00AF6B44" w:rsidRPr="006467CC" w:rsidRDefault="00AF6B44" w:rsidP="008B562B">
      <w:pPr>
        <w:tabs>
          <w:tab w:val="left" w:pos="450"/>
          <w:tab w:val="left" w:pos="8498"/>
        </w:tabs>
        <w:spacing w:after="120"/>
        <w:rPr>
          <w:rFonts w:ascii="Garamond" w:hAnsi="Garamond" w:cs="Arial"/>
          <w:bCs/>
          <w:sz w:val="25"/>
          <w:szCs w:val="25"/>
        </w:rPr>
      </w:pPr>
      <w:r w:rsidRPr="006467CC">
        <w:rPr>
          <w:rFonts w:ascii="Garamond" w:hAnsi="Garamond" w:cs="Arial"/>
          <w:bCs/>
          <w:sz w:val="25"/>
          <w:szCs w:val="25"/>
        </w:rPr>
        <w:t xml:space="preserve">In the criminal </w:t>
      </w:r>
      <w:r w:rsidR="00625A1E">
        <w:rPr>
          <w:rFonts w:ascii="Garamond" w:hAnsi="Garamond" w:cs="Arial"/>
          <w:bCs/>
          <w:sz w:val="25"/>
          <w:szCs w:val="25"/>
        </w:rPr>
        <w:t>D</w:t>
      </w:r>
      <w:r w:rsidRPr="006467CC">
        <w:rPr>
          <w:rFonts w:ascii="Garamond" w:hAnsi="Garamond" w:cs="Arial"/>
          <w:bCs/>
          <w:sz w:val="25"/>
          <w:szCs w:val="25"/>
        </w:rPr>
        <w:t xml:space="preserve">istrict </w:t>
      </w:r>
      <w:r w:rsidR="00625A1E">
        <w:rPr>
          <w:rFonts w:ascii="Garamond" w:hAnsi="Garamond" w:cs="Arial"/>
          <w:bCs/>
          <w:sz w:val="25"/>
          <w:szCs w:val="25"/>
        </w:rPr>
        <w:t>C</w:t>
      </w:r>
      <w:r w:rsidRPr="006467CC">
        <w:rPr>
          <w:rFonts w:ascii="Garamond" w:hAnsi="Garamond" w:cs="Arial"/>
          <w:bCs/>
          <w:sz w:val="25"/>
          <w:szCs w:val="25"/>
        </w:rPr>
        <w:t>ourt for the parish of Orleans, Plessy</w:t>
      </w:r>
      <w:r w:rsidR="00A44C67">
        <w:rPr>
          <w:rFonts w:ascii="Garamond" w:hAnsi="Garamond" w:cs="Arial"/>
          <w:bCs/>
          <w:sz w:val="25"/>
          <w:szCs w:val="25"/>
        </w:rPr>
        <w:t>’s attorney</w:t>
      </w:r>
      <w:r w:rsidRPr="006467CC">
        <w:rPr>
          <w:rFonts w:ascii="Garamond" w:hAnsi="Garamond" w:cs="Arial"/>
          <w:bCs/>
          <w:sz w:val="25"/>
          <w:szCs w:val="25"/>
        </w:rPr>
        <w:t xml:space="preserve"> argued that the Separate Car Act violated the 13</w:t>
      </w:r>
      <w:r w:rsidRPr="00625A1E">
        <w:rPr>
          <w:rFonts w:ascii="Garamond" w:hAnsi="Garamond" w:cs="Arial"/>
          <w:bCs/>
          <w:sz w:val="25"/>
          <w:szCs w:val="25"/>
          <w:vertAlign w:val="superscript"/>
        </w:rPr>
        <w:t>th</w:t>
      </w:r>
      <w:r w:rsidRPr="006467CC">
        <w:rPr>
          <w:rFonts w:ascii="Garamond" w:hAnsi="Garamond" w:cs="Arial"/>
          <w:bCs/>
          <w:sz w:val="25"/>
          <w:szCs w:val="25"/>
        </w:rPr>
        <w:t xml:space="preserve"> and 14</w:t>
      </w:r>
      <w:r w:rsidRPr="00625A1E">
        <w:rPr>
          <w:rFonts w:ascii="Garamond" w:hAnsi="Garamond" w:cs="Arial"/>
          <w:bCs/>
          <w:sz w:val="25"/>
          <w:szCs w:val="25"/>
          <w:vertAlign w:val="superscript"/>
        </w:rPr>
        <w:t>th</w:t>
      </w:r>
      <w:r w:rsidRPr="006467CC">
        <w:rPr>
          <w:rFonts w:ascii="Garamond" w:hAnsi="Garamond" w:cs="Arial"/>
          <w:bCs/>
          <w:sz w:val="25"/>
          <w:szCs w:val="25"/>
        </w:rPr>
        <w:t xml:space="preserve"> Amendments to the </w:t>
      </w:r>
      <w:r w:rsidR="00625A1E">
        <w:rPr>
          <w:rFonts w:ascii="Garamond" w:hAnsi="Garamond" w:cs="Arial"/>
          <w:bCs/>
          <w:sz w:val="25"/>
          <w:szCs w:val="25"/>
        </w:rPr>
        <w:t xml:space="preserve">U.S. </w:t>
      </w:r>
      <w:r w:rsidRPr="006467CC">
        <w:rPr>
          <w:rFonts w:ascii="Garamond" w:hAnsi="Garamond" w:cs="Arial"/>
          <w:bCs/>
          <w:sz w:val="25"/>
          <w:szCs w:val="25"/>
        </w:rPr>
        <w:t>Constitution.</w:t>
      </w:r>
    </w:p>
    <w:p w14:paraId="42604E7D" w14:textId="77777777" w:rsidR="00AF6B44" w:rsidRPr="00625A1E" w:rsidRDefault="00AF6B44" w:rsidP="00625A1E">
      <w:pPr>
        <w:pStyle w:val="Bulletsl"/>
        <w:spacing w:before="240"/>
        <w:rPr>
          <w:b/>
          <w:bCs/>
          <w:sz w:val="25"/>
          <w:szCs w:val="25"/>
        </w:rPr>
      </w:pPr>
      <w:r w:rsidRPr="00625A1E">
        <w:rPr>
          <w:b/>
          <w:bCs/>
          <w:sz w:val="25"/>
          <w:szCs w:val="25"/>
        </w:rPr>
        <w:t>13</w:t>
      </w:r>
      <w:r w:rsidRPr="00625A1E">
        <w:rPr>
          <w:b/>
          <w:bCs/>
          <w:sz w:val="25"/>
          <w:szCs w:val="25"/>
          <w:vertAlign w:val="superscript"/>
        </w:rPr>
        <w:t>th</w:t>
      </w:r>
      <w:r w:rsidRPr="00625A1E">
        <w:rPr>
          <w:b/>
          <w:bCs/>
          <w:sz w:val="25"/>
          <w:szCs w:val="25"/>
        </w:rPr>
        <w:t xml:space="preserve"> Amendment</w:t>
      </w:r>
    </w:p>
    <w:p w14:paraId="03AFF78B" w14:textId="77777777" w:rsidR="00AF6B44" w:rsidRPr="006467CC" w:rsidRDefault="00AF6B44" w:rsidP="00625A1E">
      <w:pPr>
        <w:pStyle w:val="Bulletsl"/>
        <w:numPr>
          <w:ilvl w:val="0"/>
          <w:numId w:val="0"/>
        </w:numPr>
        <w:spacing w:line="276" w:lineRule="auto"/>
        <w:ind w:left="720"/>
        <w:rPr>
          <w:rFonts w:cs="Arial"/>
          <w:bCs/>
          <w:sz w:val="25"/>
          <w:szCs w:val="25"/>
        </w:rPr>
      </w:pPr>
      <w:r w:rsidRPr="00625A1E">
        <w:rPr>
          <w:rFonts w:cs="Arial"/>
          <w:bCs/>
          <w:i/>
          <w:iCs/>
          <w:sz w:val="25"/>
          <w:szCs w:val="25"/>
        </w:rPr>
        <w:t>Section 1.</w:t>
      </w:r>
      <w:r w:rsidRPr="006467CC">
        <w:rPr>
          <w:rFonts w:cs="Arial"/>
          <w:bCs/>
          <w:sz w:val="25"/>
          <w:szCs w:val="25"/>
        </w:rPr>
        <w:t xml:space="preserve"> Neither slavery nor involuntary servitude, except as a punishment for crime whereof the party shall have been duly convicted, shall exist within the United States, or any place subject to their jurisdiction.</w:t>
      </w:r>
    </w:p>
    <w:p w14:paraId="057E5832" w14:textId="77777777" w:rsidR="00AF6B44" w:rsidRPr="00625A1E" w:rsidRDefault="00AF6B44" w:rsidP="00625A1E">
      <w:pPr>
        <w:pStyle w:val="Bulletsl"/>
        <w:spacing w:before="240"/>
        <w:rPr>
          <w:b/>
          <w:bCs/>
          <w:sz w:val="25"/>
          <w:szCs w:val="25"/>
        </w:rPr>
      </w:pPr>
      <w:r w:rsidRPr="00625A1E">
        <w:rPr>
          <w:b/>
          <w:bCs/>
          <w:sz w:val="25"/>
          <w:szCs w:val="25"/>
        </w:rPr>
        <w:t>14</w:t>
      </w:r>
      <w:r w:rsidRPr="00625A1E">
        <w:rPr>
          <w:b/>
          <w:bCs/>
          <w:sz w:val="25"/>
          <w:szCs w:val="25"/>
          <w:vertAlign w:val="superscript"/>
        </w:rPr>
        <w:t>th</w:t>
      </w:r>
      <w:r w:rsidRPr="00625A1E">
        <w:rPr>
          <w:b/>
          <w:bCs/>
          <w:sz w:val="25"/>
          <w:szCs w:val="25"/>
        </w:rPr>
        <w:t xml:space="preserve"> Amendment</w:t>
      </w:r>
    </w:p>
    <w:p w14:paraId="5B0A351A" w14:textId="77777777" w:rsidR="00AF6B44" w:rsidRPr="00625A1E" w:rsidRDefault="00AF6B44" w:rsidP="00C97D15">
      <w:pPr>
        <w:pStyle w:val="Bulletsl"/>
        <w:numPr>
          <w:ilvl w:val="0"/>
          <w:numId w:val="0"/>
        </w:numPr>
        <w:spacing w:after="240" w:line="276" w:lineRule="auto"/>
        <w:ind w:left="720"/>
        <w:rPr>
          <w:rFonts w:cs="Arial"/>
          <w:bCs/>
          <w:i/>
          <w:iCs/>
          <w:sz w:val="25"/>
          <w:szCs w:val="25"/>
        </w:rPr>
      </w:pPr>
      <w:r w:rsidRPr="00625A1E">
        <w:rPr>
          <w:rFonts w:cs="Arial"/>
          <w:bCs/>
          <w:i/>
          <w:iCs/>
          <w:sz w:val="25"/>
          <w:szCs w:val="25"/>
        </w:rPr>
        <w:t xml:space="preserve">Section 1. </w:t>
      </w:r>
      <w:r w:rsidRPr="00625A1E">
        <w:rPr>
          <w:rFonts w:cs="Arial"/>
          <w:bCs/>
          <w:sz w:val="25"/>
          <w:szCs w:val="25"/>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r w:rsidRPr="00625A1E">
        <w:rPr>
          <w:rFonts w:cs="Arial"/>
          <w:bCs/>
          <w:i/>
          <w:iCs/>
          <w:sz w:val="25"/>
          <w:szCs w:val="25"/>
        </w:rPr>
        <w:t xml:space="preserve"> </w:t>
      </w:r>
    </w:p>
    <w:p w14:paraId="08B01AD5" w14:textId="1CD00CBA" w:rsidR="00AF6B44" w:rsidRPr="006467CC" w:rsidRDefault="00AF6B44" w:rsidP="002E40D7">
      <w:pPr>
        <w:tabs>
          <w:tab w:val="left" w:pos="450"/>
          <w:tab w:val="left" w:pos="8498"/>
        </w:tabs>
        <w:spacing w:after="120"/>
        <w:rPr>
          <w:rFonts w:ascii="Garamond" w:hAnsi="Garamond" w:cs="Arial"/>
          <w:bCs/>
          <w:sz w:val="25"/>
          <w:szCs w:val="25"/>
        </w:rPr>
      </w:pPr>
      <w:r w:rsidRPr="006467CC">
        <w:rPr>
          <w:rFonts w:ascii="Garamond" w:hAnsi="Garamond" w:cs="Arial"/>
          <w:bCs/>
          <w:sz w:val="25"/>
          <w:szCs w:val="25"/>
        </w:rPr>
        <w:t>John Howard Ferguson was the judge presiding over Plessy</w:t>
      </w:r>
      <w:r w:rsidR="00C15EB9">
        <w:rPr>
          <w:rFonts w:ascii="Garamond" w:hAnsi="Garamond" w:cs="Arial"/>
          <w:bCs/>
          <w:sz w:val="25"/>
          <w:szCs w:val="25"/>
        </w:rPr>
        <w:t>’</w:t>
      </w:r>
      <w:r w:rsidRPr="006467CC">
        <w:rPr>
          <w:rFonts w:ascii="Garamond" w:hAnsi="Garamond" w:cs="Arial"/>
          <w:bCs/>
          <w:sz w:val="25"/>
          <w:szCs w:val="25"/>
        </w:rPr>
        <w:t xml:space="preserve">s criminal case in the </w:t>
      </w:r>
      <w:r w:rsidR="00C15EB9">
        <w:rPr>
          <w:rFonts w:ascii="Garamond" w:hAnsi="Garamond" w:cs="Arial"/>
          <w:bCs/>
          <w:sz w:val="25"/>
          <w:szCs w:val="25"/>
        </w:rPr>
        <w:t>D</w:t>
      </w:r>
      <w:r w:rsidRPr="006467CC">
        <w:rPr>
          <w:rFonts w:ascii="Garamond" w:hAnsi="Garamond" w:cs="Arial"/>
          <w:bCs/>
          <w:sz w:val="25"/>
          <w:szCs w:val="25"/>
        </w:rPr>
        <w:t xml:space="preserve">istrict </w:t>
      </w:r>
      <w:r w:rsidR="00C15EB9">
        <w:rPr>
          <w:rFonts w:ascii="Garamond" w:hAnsi="Garamond" w:cs="Arial"/>
          <w:bCs/>
          <w:sz w:val="25"/>
          <w:szCs w:val="25"/>
        </w:rPr>
        <w:t>C</w:t>
      </w:r>
      <w:r w:rsidRPr="006467CC">
        <w:rPr>
          <w:rFonts w:ascii="Garamond" w:hAnsi="Garamond" w:cs="Arial"/>
          <w:bCs/>
          <w:sz w:val="25"/>
          <w:szCs w:val="25"/>
        </w:rPr>
        <w:t xml:space="preserve">ourt. He previously declared the Separate Car Act </w:t>
      </w:r>
      <w:r w:rsidR="00543F1F">
        <w:rPr>
          <w:rFonts w:ascii="Garamond" w:hAnsi="Garamond" w:cs="Arial"/>
          <w:bCs/>
          <w:sz w:val="25"/>
          <w:szCs w:val="25"/>
        </w:rPr>
        <w:t>“</w:t>
      </w:r>
      <w:r w:rsidRPr="006467CC">
        <w:rPr>
          <w:rFonts w:ascii="Garamond" w:hAnsi="Garamond" w:cs="Arial"/>
          <w:bCs/>
          <w:sz w:val="25"/>
          <w:szCs w:val="25"/>
        </w:rPr>
        <w:t xml:space="preserve">unconstitutional on trains that traveled through </w:t>
      </w:r>
      <w:r w:rsidRPr="006467CC">
        <w:rPr>
          <w:rFonts w:ascii="Garamond" w:hAnsi="Garamond" w:cs="Arial"/>
          <w:bCs/>
          <w:sz w:val="25"/>
          <w:szCs w:val="25"/>
        </w:rPr>
        <w:lastRenderedPageBreak/>
        <w:t>several states.</w:t>
      </w:r>
      <w:r w:rsidR="00543F1F">
        <w:rPr>
          <w:rFonts w:ascii="Garamond" w:hAnsi="Garamond" w:cs="Arial"/>
          <w:bCs/>
          <w:sz w:val="25"/>
          <w:szCs w:val="25"/>
        </w:rPr>
        <w:t>”</w:t>
      </w:r>
      <w:r w:rsidRPr="006467CC">
        <w:rPr>
          <w:rFonts w:ascii="Garamond" w:hAnsi="Garamond" w:cs="Arial"/>
          <w:bCs/>
          <w:sz w:val="25"/>
          <w:szCs w:val="25"/>
        </w:rPr>
        <w:t xml:space="preserve"> However, in Plessy</w:t>
      </w:r>
      <w:r w:rsidR="00543F1F">
        <w:rPr>
          <w:rFonts w:ascii="Garamond" w:hAnsi="Garamond" w:cs="Arial"/>
          <w:bCs/>
          <w:sz w:val="25"/>
          <w:szCs w:val="25"/>
        </w:rPr>
        <w:t>’</w:t>
      </w:r>
      <w:r w:rsidRPr="006467CC">
        <w:rPr>
          <w:rFonts w:ascii="Garamond" w:hAnsi="Garamond" w:cs="Arial"/>
          <w:bCs/>
          <w:sz w:val="25"/>
          <w:szCs w:val="25"/>
        </w:rPr>
        <w:t>s case he decided that the state could choose to regulate railroad companies that operated solely within the state of Louisiana. Therefore, Ferguson found Plessy guilty and declared the Separate Car Act constitutional.</w:t>
      </w:r>
    </w:p>
    <w:p w14:paraId="2EBB8301" w14:textId="7F87F255" w:rsidR="00AF6B44" w:rsidRPr="006467CC" w:rsidRDefault="00AF6B44" w:rsidP="002E40D7">
      <w:pPr>
        <w:pStyle w:val="Subhead1sl"/>
        <w:spacing w:before="0" w:line="276" w:lineRule="auto"/>
        <w:rPr>
          <w:rFonts w:ascii="Garamond" w:hAnsi="Garamond" w:cs="Arial"/>
          <w:b w:val="0"/>
          <w:sz w:val="25"/>
          <w:szCs w:val="25"/>
        </w:rPr>
      </w:pPr>
      <w:r w:rsidRPr="006467CC">
        <w:rPr>
          <w:rFonts w:ascii="Garamond" w:hAnsi="Garamond" w:cs="Arial"/>
          <w:b w:val="0"/>
          <w:sz w:val="25"/>
          <w:szCs w:val="25"/>
        </w:rPr>
        <w:t>Plessy appealed the case to the Louisiana State Supreme Court, which affirmed the decision that the Louisiana law as constitutional. Plessy petitioned the Supreme Court of the United States. Judge John Howard Ferguson was named in the case brought before the United States Supreme Court (</w:t>
      </w:r>
      <w:r w:rsidRPr="006467CC">
        <w:rPr>
          <w:rFonts w:ascii="Garamond" w:hAnsi="Garamond" w:cs="Arial"/>
          <w:b w:val="0"/>
          <w:i/>
          <w:iCs/>
          <w:sz w:val="25"/>
          <w:szCs w:val="25"/>
        </w:rPr>
        <w:t>Plessy v. Ferguson</w:t>
      </w:r>
      <w:r w:rsidRPr="006467CC">
        <w:rPr>
          <w:rFonts w:ascii="Garamond" w:hAnsi="Garamond" w:cs="Arial"/>
          <w:b w:val="0"/>
          <w:sz w:val="25"/>
          <w:szCs w:val="25"/>
        </w:rPr>
        <w:t>) because he had been named in the petition to the Louisiana Supreme Court</w:t>
      </w:r>
      <w:r w:rsidR="00502C45">
        <w:rPr>
          <w:rFonts w:ascii="Garamond" w:hAnsi="Garamond" w:cs="Arial"/>
          <w:b w:val="0"/>
          <w:sz w:val="25"/>
          <w:szCs w:val="25"/>
        </w:rPr>
        <w:t xml:space="preserve">, </w:t>
      </w:r>
      <w:r w:rsidRPr="006467CC">
        <w:rPr>
          <w:rFonts w:ascii="Garamond" w:hAnsi="Garamond" w:cs="Arial"/>
          <w:b w:val="0"/>
          <w:sz w:val="25"/>
          <w:szCs w:val="25"/>
        </w:rPr>
        <w:t>not because he was a party to the initial lawsuit.</w:t>
      </w:r>
    </w:p>
    <w:p w14:paraId="359BAEE6" w14:textId="774B9FCB" w:rsidR="00087C24" w:rsidRDefault="00087C24" w:rsidP="00AF6B44">
      <w:pPr>
        <w:pStyle w:val="Subhead1sl"/>
      </w:pPr>
      <w:r w:rsidRPr="004D5B39">
        <w:t>Questions to Consider</w:t>
      </w:r>
    </w:p>
    <w:p w14:paraId="208F289F" w14:textId="77777777" w:rsidR="00A40D13" w:rsidRPr="006467CC" w:rsidRDefault="00A40D13" w:rsidP="00C458D0">
      <w:pPr>
        <w:pStyle w:val="ListParagraph"/>
        <w:numPr>
          <w:ilvl w:val="0"/>
          <w:numId w:val="14"/>
        </w:numPr>
        <w:tabs>
          <w:tab w:val="left" w:pos="8498"/>
        </w:tabs>
        <w:spacing w:after="1200"/>
        <w:ind w:left="360"/>
        <w:contextualSpacing w:val="0"/>
        <w:rPr>
          <w:rFonts w:ascii="Garamond" w:hAnsi="Garamond" w:cs="Arial"/>
          <w:bCs/>
          <w:sz w:val="25"/>
          <w:szCs w:val="25"/>
        </w:rPr>
      </w:pPr>
      <w:r w:rsidRPr="006467CC">
        <w:rPr>
          <w:rFonts w:ascii="Garamond" w:hAnsi="Garamond" w:cs="Arial"/>
          <w:bCs/>
          <w:sz w:val="25"/>
          <w:szCs w:val="25"/>
        </w:rPr>
        <w:t xml:space="preserve">What law did Homer Plessy violate? How did Plessy violate this law? </w:t>
      </w:r>
    </w:p>
    <w:p w14:paraId="7FD4407B" w14:textId="77777777" w:rsidR="00A40D13" w:rsidRPr="006467CC" w:rsidRDefault="00A40D13" w:rsidP="00C458D0">
      <w:pPr>
        <w:pStyle w:val="ListParagraph"/>
        <w:numPr>
          <w:ilvl w:val="0"/>
          <w:numId w:val="14"/>
        </w:numPr>
        <w:tabs>
          <w:tab w:val="left" w:pos="8498"/>
        </w:tabs>
        <w:spacing w:after="1200"/>
        <w:ind w:left="360"/>
        <w:contextualSpacing w:val="0"/>
        <w:rPr>
          <w:rFonts w:ascii="Garamond" w:hAnsi="Garamond" w:cs="Arial"/>
          <w:bCs/>
          <w:sz w:val="25"/>
          <w:szCs w:val="25"/>
        </w:rPr>
      </w:pPr>
      <w:r w:rsidRPr="006467CC">
        <w:rPr>
          <w:rFonts w:ascii="Garamond" w:hAnsi="Garamond" w:cs="Arial"/>
          <w:bCs/>
          <w:sz w:val="25"/>
          <w:szCs w:val="25"/>
        </w:rPr>
        <w:t>What rights do the 13</w:t>
      </w:r>
      <w:r w:rsidRPr="00C458D0">
        <w:rPr>
          <w:rFonts w:ascii="Garamond" w:hAnsi="Garamond" w:cs="Arial"/>
          <w:bCs/>
          <w:sz w:val="25"/>
          <w:szCs w:val="25"/>
          <w:vertAlign w:val="superscript"/>
        </w:rPr>
        <w:t>th</w:t>
      </w:r>
      <w:r w:rsidRPr="006467CC">
        <w:rPr>
          <w:rFonts w:ascii="Garamond" w:hAnsi="Garamond" w:cs="Arial"/>
          <w:bCs/>
          <w:sz w:val="25"/>
          <w:szCs w:val="25"/>
        </w:rPr>
        <w:t xml:space="preserve"> and 14</w:t>
      </w:r>
      <w:r w:rsidRPr="00C458D0">
        <w:rPr>
          <w:rFonts w:ascii="Garamond" w:hAnsi="Garamond" w:cs="Arial"/>
          <w:bCs/>
          <w:sz w:val="25"/>
          <w:szCs w:val="25"/>
          <w:vertAlign w:val="superscript"/>
        </w:rPr>
        <w:t>th</w:t>
      </w:r>
      <w:r w:rsidRPr="006467CC">
        <w:rPr>
          <w:rFonts w:ascii="Garamond" w:hAnsi="Garamond" w:cs="Arial"/>
          <w:bCs/>
          <w:sz w:val="25"/>
          <w:szCs w:val="25"/>
        </w:rPr>
        <w:t xml:space="preserve"> Amendments to the Constitution provide? </w:t>
      </w:r>
    </w:p>
    <w:p w14:paraId="6DCBEF21" w14:textId="68A7AEB6" w:rsidR="00A40D13" w:rsidRPr="006467CC" w:rsidRDefault="00A40D13" w:rsidP="00C458D0">
      <w:pPr>
        <w:pStyle w:val="ListParagraph"/>
        <w:numPr>
          <w:ilvl w:val="0"/>
          <w:numId w:val="14"/>
        </w:numPr>
        <w:tabs>
          <w:tab w:val="left" w:pos="8498"/>
        </w:tabs>
        <w:spacing w:after="1200"/>
        <w:ind w:left="360"/>
        <w:contextualSpacing w:val="0"/>
        <w:rPr>
          <w:rFonts w:ascii="Garamond" w:hAnsi="Garamond" w:cs="Arial"/>
          <w:bCs/>
          <w:sz w:val="25"/>
          <w:szCs w:val="25"/>
        </w:rPr>
      </w:pPr>
      <w:r w:rsidRPr="006467CC">
        <w:rPr>
          <w:rFonts w:ascii="Garamond" w:hAnsi="Garamond" w:cs="Arial"/>
          <w:bCs/>
          <w:sz w:val="25"/>
          <w:szCs w:val="25"/>
        </w:rPr>
        <w:t>If you were Plessy</w:t>
      </w:r>
      <w:r w:rsidR="00C458D0">
        <w:rPr>
          <w:rFonts w:ascii="Garamond" w:hAnsi="Garamond" w:cs="Arial"/>
          <w:bCs/>
          <w:sz w:val="25"/>
          <w:szCs w:val="25"/>
        </w:rPr>
        <w:t>’</w:t>
      </w:r>
      <w:r w:rsidRPr="006467CC">
        <w:rPr>
          <w:rFonts w:ascii="Garamond" w:hAnsi="Garamond" w:cs="Arial"/>
          <w:bCs/>
          <w:sz w:val="25"/>
          <w:szCs w:val="25"/>
        </w:rPr>
        <w:t>s lawyer, how would you justify your claim that the Separate Car Act violates the 13</w:t>
      </w:r>
      <w:r w:rsidRPr="00CF65DE">
        <w:rPr>
          <w:rFonts w:ascii="Garamond" w:hAnsi="Garamond" w:cs="Arial"/>
          <w:bCs/>
          <w:sz w:val="25"/>
          <w:szCs w:val="25"/>
          <w:vertAlign w:val="superscript"/>
        </w:rPr>
        <w:t>th</w:t>
      </w:r>
      <w:r w:rsidRPr="006467CC">
        <w:rPr>
          <w:rFonts w:ascii="Garamond" w:hAnsi="Garamond" w:cs="Arial"/>
          <w:bCs/>
          <w:sz w:val="25"/>
          <w:szCs w:val="25"/>
        </w:rPr>
        <w:t xml:space="preserve"> and 14</w:t>
      </w:r>
      <w:r w:rsidRPr="00CF65DE">
        <w:rPr>
          <w:rFonts w:ascii="Garamond" w:hAnsi="Garamond" w:cs="Arial"/>
          <w:bCs/>
          <w:sz w:val="25"/>
          <w:szCs w:val="25"/>
          <w:vertAlign w:val="superscript"/>
        </w:rPr>
        <w:t>th</w:t>
      </w:r>
      <w:r w:rsidRPr="006467CC">
        <w:rPr>
          <w:rFonts w:ascii="Garamond" w:hAnsi="Garamond" w:cs="Arial"/>
          <w:bCs/>
          <w:sz w:val="25"/>
          <w:szCs w:val="25"/>
        </w:rPr>
        <w:t xml:space="preserve"> </w:t>
      </w:r>
      <w:r w:rsidR="00CF65DE">
        <w:rPr>
          <w:rFonts w:ascii="Garamond" w:hAnsi="Garamond" w:cs="Arial"/>
          <w:bCs/>
          <w:sz w:val="25"/>
          <w:szCs w:val="25"/>
        </w:rPr>
        <w:t>A</w:t>
      </w:r>
      <w:r w:rsidRPr="006467CC">
        <w:rPr>
          <w:rFonts w:ascii="Garamond" w:hAnsi="Garamond" w:cs="Arial"/>
          <w:bCs/>
          <w:sz w:val="25"/>
          <w:szCs w:val="25"/>
        </w:rPr>
        <w:t>mendments?</w:t>
      </w:r>
    </w:p>
    <w:p w14:paraId="2B56D12E" w14:textId="4B79BCA3" w:rsidR="00A40D13" w:rsidRPr="006467CC" w:rsidRDefault="00A40D13" w:rsidP="00C458D0">
      <w:pPr>
        <w:pStyle w:val="ListParagraph"/>
        <w:numPr>
          <w:ilvl w:val="0"/>
          <w:numId w:val="14"/>
        </w:numPr>
        <w:tabs>
          <w:tab w:val="left" w:pos="8498"/>
        </w:tabs>
        <w:spacing w:after="1200"/>
        <w:ind w:left="360"/>
        <w:contextualSpacing w:val="0"/>
        <w:rPr>
          <w:rFonts w:ascii="Garamond" w:hAnsi="Garamond" w:cs="Arial"/>
          <w:bCs/>
          <w:sz w:val="25"/>
          <w:szCs w:val="25"/>
        </w:rPr>
      </w:pPr>
      <w:r w:rsidRPr="006467CC">
        <w:rPr>
          <w:rFonts w:ascii="Garamond" w:hAnsi="Garamond" w:cs="Arial"/>
          <w:bCs/>
          <w:sz w:val="25"/>
          <w:szCs w:val="25"/>
        </w:rPr>
        <w:t xml:space="preserve">In </w:t>
      </w:r>
      <w:r w:rsidRPr="00E92221">
        <w:rPr>
          <w:rFonts w:ascii="Garamond" w:hAnsi="Garamond" w:cs="Arial"/>
          <w:bCs/>
          <w:i/>
          <w:iCs/>
          <w:sz w:val="25"/>
          <w:szCs w:val="25"/>
        </w:rPr>
        <w:t>State of Louisiana v. Plessy</w:t>
      </w:r>
      <w:r w:rsidRPr="006467CC">
        <w:rPr>
          <w:rFonts w:ascii="Garamond" w:hAnsi="Garamond" w:cs="Arial"/>
          <w:bCs/>
          <w:sz w:val="25"/>
          <w:szCs w:val="25"/>
        </w:rPr>
        <w:t>, Judge Ferguson decided that the state could choose to regulate railroad companies that operated within the state even though he had previously declared the Separate Car Act unconstitutional on trains that traveled through several states. If an act is declared unconstitutional in one case, shouldn</w:t>
      </w:r>
      <w:r w:rsidR="00CF65DE">
        <w:rPr>
          <w:rFonts w:ascii="Garamond" w:hAnsi="Garamond" w:cs="Arial"/>
          <w:bCs/>
          <w:sz w:val="25"/>
          <w:szCs w:val="25"/>
        </w:rPr>
        <w:t>’</w:t>
      </w:r>
      <w:r w:rsidRPr="006467CC">
        <w:rPr>
          <w:rFonts w:ascii="Garamond" w:hAnsi="Garamond" w:cs="Arial"/>
          <w:bCs/>
          <w:sz w:val="25"/>
          <w:szCs w:val="25"/>
        </w:rPr>
        <w:t>t it be held unconstitutional in all cases? How do you think Judge Ferguson could legally justify making this distinction?</w:t>
      </w:r>
    </w:p>
    <w:p w14:paraId="6AAED7C9" w14:textId="0B0F1871" w:rsidR="00A40D13" w:rsidRPr="006467CC" w:rsidRDefault="00A40D13" w:rsidP="00C458D0">
      <w:pPr>
        <w:pStyle w:val="ListParagraph"/>
        <w:numPr>
          <w:ilvl w:val="0"/>
          <w:numId w:val="14"/>
        </w:numPr>
        <w:tabs>
          <w:tab w:val="left" w:pos="8498"/>
        </w:tabs>
        <w:spacing w:after="1200"/>
        <w:ind w:left="360"/>
        <w:contextualSpacing w:val="0"/>
        <w:rPr>
          <w:rFonts w:ascii="Garamond" w:hAnsi="Garamond" w:cs="Arial"/>
          <w:bCs/>
          <w:sz w:val="25"/>
          <w:szCs w:val="25"/>
        </w:rPr>
      </w:pPr>
      <w:r w:rsidRPr="006467CC">
        <w:rPr>
          <w:rFonts w:ascii="Garamond" w:hAnsi="Garamond" w:cs="Arial"/>
          <w:bCs/>
          <w:sz w:val="25"/>
          <w:szCs w:val="25"/>
        </w:rPr>
        <w:t>Are separation and equality compatible? Why or why not?</w:t>
      </w:r>
    </w:p>
    <w:sectPr w:rsidR="00A40D13" w:rsidRPr="006467CC" w:rsidSect="00987C9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22AE1" w14:textId="77777777" w:rsidR="00E8677A" w:rsidRDefault="00E8677A" w:rsidP="0078549D">
      <w:pPr>
        <w:spacing w:after="0" w:line="240" w:lineRule="auto"/>
      </w:pPr>
      <w:r>
        <w:separator/>
      </w:r>
    </w:p>
  </w:endnote>
  <w:endnote w:type="continuationSeparator" w:id="0">
    <w:p w14:paraId="74101760" w14:textId="77777777" w:rsidR="00E8677A" w:rsidRDefault="00E8677A"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029E5D45"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8B562B">
          <w:rPr>
            <w:rStyle w:val="BasiccopyslChar"/>
            <w:sz w:val="22"/>
            <w:szCs w:val="22"/>
          </w:rPr>
          <w:t>08/19/2020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D1B6E" w14:textId="77777777" w:rsidR="00E8677A" w:rsidRDefault="00E8677A" w:rsidP="0078549D">
      <w:pPr>
        <w:spacing w:after="0" w:line="240" w:lineRule="auto"/>
      </w:pPr>
      <w:r>
        <w:separator/>
      </w:r>
    </w:p>
  </w:footnote>
  <w:footnote w:type="continuationSeparator" w:id="0">
    <w:p w14:paraId="05E7DD8F" w14:textId="77777777" w:rsidR="00E8677A" w:rsidRDefault="00E8677A" w:rsidP="0078549D">
      <w:pPr>
        <w:spacing w:after="0" w:line="240" w:lineRule="auto"/>
      </w:pPr>
      <w:r>
        <w:continuationSeparator/>
      </w:r>
    </w:p>
  </w:footnote>
  <w:footnote w:id="1">
    <w:p w14:paraId="3A4D16D9" w14:textId="5285CA0E" w:rsidR="00AA440B" w:rsidRPr="00F72BCB" w:rsidRDefault="00AA440B">
      <w:pPr>
        <w:pStyle w:val="FootnoteText"/>
        <w:rPr>
          <w:rFonts w:ascii="Garamond" w:hAnsi="Garamond"/>
        </w:rPr>
      </w:pPr>
      <w:r w:rsidRPr="00F72BCB">
        <w:rPr>
          <w:rStyle w:val="FootnoteReference"/>
          <w:rFonts w:ascii="Garamond" w:hAnsi="Garamond"/>
        </w:rPr>
        <w:footnoteRef/>
      </w:r>
      <w:r w:rsidRPr="00F72BCB">
        <w:rPr>
          <w:rFonts w:ascii="Garamond" w:hAnsi="Garamond"/>
        </w:rPr>
        <w:t xml:space="preserve"> </w:t>
      </w:r>
      <w:r w:rsidR="00F72BCB" w:rsidRPr="00F72BCB">
        <w:rPr>
          <w:rFonts w:ascii="Garamond" w:hAnsi="Garamond"/>
        </w:rPr>
        <w:t xml:space="preserve">The Separate Car Act </w:t>
      </w:r>
      <w:r w:rsidR="008B653D" w:rsidRPr="00F72BCB">
        <w:rPr>
          <w:rFonts w:ascii="Garamond" w:hAnsi="Garamond"/>
        </w:rPr>
        <w:t>uses dated race-related term</w:t>
      </w:r>
      <w:r w:rsidR="00F72BCB" w:rsidRPr="00F72BCB">
        <w:rPr>
          <w:rFonts w:ascii="Garamond" w:hAnsi="Garamond"/>
        </w:rPr>
        <w:t>inology</w:t>
      </w:r>
      <w:r w:rsidR="0027221E">
        <w:rPr>
          <w:rFonts w:ascii="Garamond" w:hAnsi="Garamond"/>
        </w:rPr>
        <w:t xml:space="preserve"> that </w:t>
      </w:r>
      <w:r w:rsidR="008B653D" w:rsidRPr="00F72BCB">
        <w:rPr>
          <w:rFonts w:ascii="Garamond" w:hAnsi="Garamond"/>
        </w:rPr>
        <w:t>ha</w:t>
      </w:r>
      <w:r w:rsidR="0027221E">
        <w:rPr>
          <w:rFonts w:ascii="Garamond" w:hAnsi="Garamond"/>
        </w:rPr>
        <w:t xml:space="preserve">s </w:t>
      </w:r>
      <w:r w:rsidR="008B653D" w:rsidRPr="00F72BCB">
        <w:rPr>
          <w:rFonts w:ascii="Garamond" w:hAnsi="Garamond"/>
        </w:rPr>
        <w:t xml:space="preserve">been left intact in quoted material only.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95A9A" w14:textId="362039B7" w:rsidR="00087C24" w:rsidRPr="008B562B" w:rsidRDefault="008B562B" w:rsidP="008B562B">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Plessy v. Ferguson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035AA102"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CB6C90">
      <w:rPr>
        <w:sz w:val="22"/>
        <w:szCs w:val="22"/>
      </w:rPr>
      <w:t xml:space="preserve">        </w:t>
    </w:r>
    <w:r w:rsidR="008B562B">
      <w:rPr>
        <w:sz w:val="22"/>
        <w:szCs w:val="22"/>
      </w:rPr>
      <w:t xml:space="preserve">    </w:t>
    </w:r>
    <w:r w:rsidR="005D38B4">
      <w:rPr>
        <w:i/>
        <w:iCs/>
        <w:sz w:val="22"/>
        <w:szCs w:val="22"/>
      </w:rPr>
      <w:t>Plessy v. Ferguson</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2B0"/>
    <w:multiLevelType w:val="hybridMultilevel"/>
    <w:tmpl w:val="37760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EA660550"/>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D00AB0"/>
    <w:multiLevelType w:val="multilevel"/>
    <w:tmpl w:val="44DA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2"/>
  </w:num>
  <w:num w:numId="4">
    <w:abstractNumId w:val="5"/>
  </w:num>
  <w:num w:numId="5">
    <w:abstractNumId w:val="8"/>
  </w:num>
  <w:num w:numId="6">
    <w:abstractNumId w:val="6"/>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4"/>
  </w:num>
  <w:num w:numId="12">
    <w:abstractNumId w:val="0"/>
  </w:num>
  <w:num w:numId="13">
    <w:abstractNumId w:val="9"/>
  </w:num>
  <w:num w:numId="14">
    <w:abstractNumId w:val="1"/>
  </w:num>
  <w:num w:numId="15">
    <w:abstractNumId w:val="7"/>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81B31"/>
    <w:rsid w:val="00087C24"/>
    <w:rsid w:val="000D7216"/>
    <w:rsid w:val="000E239D"/>
    <w:rsid w:val="001056C3"/>
    <w:rsid w:val="00133C5E"/>
    <w:rsid w:val="001529D2"/>
    <w:rsid w:val="00170B98"/>
    <w:rsid w:val="0019252B"/>
    <w:rsid w:val="001B3758"/>
    <w:rsid w:val="001C629C"/>
    <w:rsid w:val="001F0227"/>
    <w:rsid w:val="0021030F"/>
    <w:rsid w:val="0027221E"/>
    <w:rsid w:val="00290061"/>
    <w:rsid w:val="002B4D38"/>
    <w:rsid w:val="002C5C01"/>
    <w:rsid w:val="002C68A3"/>
    <w:rsid w:val="002D2203"/>
    <w:rsid w:val="002E40D7"/>
    <w:rsid w:val="00317735"/>
    <w:rsid w:val="00375090"/>
    <w:rsid w:val="00392FBD"/>
    <w:rsid w:val="00396AEB"/>
    <w:rsid w:val="003B04E3"/>
    <w:rsid w:val="003C6F20"/>
    <w:rsid w:val="00400A63"/>
    <w:rsid w:val="004632BE"/>
    <w:rsid w:val="00466BCA"/>
    <w:rsid w:val="004A72D6"/>
    <w:rsid w:val="004B560A"/>
    <w:rsid w:val="004B73F9"/>
    <w:rsid w:val="004E7457"/>
    <w:rsid w:val="004F77FB"/>
    <w:rsid w:val="00502C45"/>
    <w:rsid w:val="005311FB"/>
    <w:rsid w:val="00543F1F"/>
    <w:rsid w:val="00561250"/>
    <w:rsid w:val="005A0330"/>
    <w:rsid w:val="005D38B4"/>
    <w:rsid w:val="005D4E9A"/>
    <w:rsid w:val="006135E5"/>
    <w:rsid w:val="00625A1E"/>
    <w:rsid w:val="00644CE5"/>
    <w:rsid w:val="006467CC"/>
    <w:rsid w:val="006518C4"/>
    <w:rsid w:val="00666634"/>
    <w:rsid w:val="00693894"/>
    <w:rsid w:val="00695A5E"/>
    <w:rsid w:val="006C3E71"/>
    <w:rsid w:val="006E09C9"/>
    <w:rsid w:val="006E3717"/>
    <w:rsid w:val="006E3DE1"/>
    <w:rsid w:val="0070044C"/>
    <w:rsid w:val="00751950"/>
    <w:rsid w:val="0078549D"/>
    <w:rsid w:val="007F700D"/>
    <w:rsid w:val="00815CB0"/>
    <w:rsid w:val="0081706F"/>
    <w:rsid w:val="00855DF3"/>
    <w:rsid w:val="008B562B"/>
    <w:rsid w:val="008B653D"/>
    <w:rsid w:val="00914F2D"/>
    <w:rsid w:val="00987C93"/>
    <w:rsid w:val="009A4AF9"/>
    <w:rsid w:val="009C0137"/>
    <w:rsid w:val="009D6B03"/>
    <w:rsid w:val="00A12A9F"/>
    <w:rsid w:val="00A40D13"/>
    <w:rsid w:val="00A44C67"/>
    <w:rsid w:val="00A740A5"/>
    <w:rsid w:val="00AA440B"/>
    <w:rsid w:val="00AE0C77"/>
    <w:rsid w:val="00AE7EEB"/>
    <w:rsid w:val="00AF6B44"/>
    <w:rsid w:val="00B07DF3"/>
    <w:rsid w:val="00B21D96"/>
    <w:rsid w:val="00B3076B"/>
    <w:rsid w:val="00B62487"/>
    <w:rsid w:val="00B6363B"/>
    <w:rsid w:val="00C15DAC"/>
    <w:rsid w:val="00C15EB9"/>
    <w:rsid w:val="00C4461E"/>
    <w:rsid w:val="00C458D0"/>
    <w:rsid w:val="00C97D15"/>
    <w:rsid w:val="00CB6C90"/>
    <w:rsid w:val="00CC10C0"/>
    <w:rsid w:val="00CF65DE"/>
    <w:rsid w:val="00D63B35"/>
    <w:rsid w:val="00DA4150"/>
    <w:rsid w:val="00DC419D"/>
    <w:rsid w:val="00DE3D18"/>
    <w:rsid w:val="00E05349"/>
    <w:rsid w:val="00E3555A"/>
    <w:rsid w:val="00E40268"/>
    <w:rsid w:val="00E57541"/>
    <w:rsid w:val="00E64542"/>
    <w:rsid w:val="00E8677A"/>
    <w:rsid w:val="00E92221"/>
    <w:rsid w:val="00EF7C97"/>
    <w:rsid w:val="00F208CE"/>
    <w:rsid w:val="00F64E56"/>
    <w:rsid w:val="00F7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9C01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C0137"/>
    <w:rPr>
      <w:i/>
      <w:iCs/>
    </w:rPr>
  </w:style>
  <w:style w:type="table" w:styleId="TableGrid">
    <w:name w:val="Table Grid"/>
    <w:basedOn w:val="TableNormal"/>
    <w:uiPriority w:val="59"/>
    <w:rsid w:val="005D4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4E9A"/>
    <w:pPr>
      <w:ind w:left="720"/>
      <w:contextualSpacing/>
    </w:pPr>
  </w:style>
  <w:style w:type="character" w:styleId="UnresolvedMention">
    <w:name w:val="Unresolved Mention"/>
    <w:basedOn w:val="DefaultParagraphFont"/>
    <w:uiPriority w:val="99"/>
    <w:semiHidden/>
    <w:unhideWhenUsed/>
    <w:rsid w:val="00A40D13"/>
    <w:rPr>
      <w:color w:val="605E5C"/>
      <w:shd w:val="clear" w:color="auto" w:fill="E1DFDD"/>
    </w:rPr>
  </w:style>
  <w:style w:type="paragraph" w:styleId="FootnoteText">
    <w:name w:val="footnote text"/>
    <w:basedOn w:val="Normal"/>
    <w:link w:val="FootnoteTextChar"/>
    <w:uiPriority w:val="99"/>
    <w:semiHidden/>
    <w:unhideWhenUsed/>
    <w:rsid w:val="00AA44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440B"/>
    <w:rPr>
      <w:sz w:val="20"/>
      <w:szCs w:val="20"/>
    </w:rPr>
  </w:style>
  <w:style w:type="character" w:styleId="FootnoteReference">
    <w:name w:val="footnote reference"/>
    <w:basedOn w:val="DefaultParagraphFont"/>
    <w:uiPriority w:val="99"/>
    <w:semiHidden/>
    <w:unhideWhenUsed/>
    <w:rsid w:val="00AA44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427408">
      <w:bodyDiv w:val="1"/>
      <w:marLeft w:val="0"/>
      <w:marRight w:val="0"/>
      <w:marTop w:val="0"/>
      <w:marBottom w:val="0"/>
      <w:divBdr>
        <w:top w:val="none" w:sz="0" w:space="0" w:color="auto"/>
        <w:left w:val="none" w:sz="0" w:space="0" w:color="auto"/>
        <w:bottom w:val="none" w:sz="0" w:space="0" w:color="auto"/>
        <w:right w:val="none" w:sz="0" w:space="0" w:color="auto"/>
      </w:divBdr>
    </w:div>
    <w:div w:id="19519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144EB-4AAA-4175-903B-C5863FFBA182}">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520CF527-4B25-42F6-B39B-EB98F5F6CC07}"/>
</file>

<file path=customXml/itemProps4.xml><?xml version="1.0" encoding="utf-8"?>
<ds:datastoreItem xmlns:ds="http://schemas.openxmlformats.org/officeDocument/2006/customXml" ds:itemID="{B546DF6C-13E0-4ED4-AE74-E050B5FE3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2</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5</cp:revision>
  <dcterms:created xsi:type="dcterms:W3CDTF">2020-08-19T17:36:00Z</dcterms:created>
  <dcterms:modified xsi:type="dcterms:W3CDTF">2020-08-19T17:50:00Z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