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1293" w:rsidP="00F64E56" w:rsidRDefault="00171293" w14:paraId="252941A2" w14:textId="0ACCBF7D">
      <w:pPr>
        <w:pStyle w:val="Title1sl"/>
        <w:pBdr>
          <w:bottom w:val="single" w:color="auto" w:sz="12" w:space="1"/>
        </w:pBdr>
      </w:pPr>
      <w:r w:rsidRPr="00171293">
        <w:rPr>
          <w:i/>
          <w:iCs/>
        </w:rPr>
        <w:t>Miranda v. Arizona</w:t>
      </w:r>
      <w:r>
        <w:t xml:space="preserve"> </w:t>
      </w:r>
      <w:r w:rsidR="00F64E56">
        <w:t xml:space="preserve">/ </w:t>
      </w:r>
      <w:r w:rsidR="003C0833">
        <w:t>Beyond</w:t>
      </w:r>
      <w:r w:rsidRPr="003C0833" w:rsidR="003C0833">
        <w:rPr>
          <w:i/>
          <w:iCs/>
        </w:rPr>
        <w:t xml:space="preserve"> Miranda</w:t>
      </w:r>
    </w:p>
    <w:p w:rsidR="009F751A" w:rsidP="009F751A" w:rsidRDefault="009F751A" w14:paraId="4EA801EB" w14:textId="34BF19A5">
      <w:pPr>
        <w:pStyle w:val="Subhead3sl"/>
      </w:pPr>
      <w:r>
        <w:t>Directions:</w:t>
      </w:r>
    </w:p>
    <w:p w:rsidR="009F751A" w:rsidP="009F751A" w:rsidRDefault="009F751A" w14:paraId="22479154" w14:textId="65A1ED98">
      <w:pPr>
        <w:pStyle w:val="NormalWeb"/>
        <w:numPr>
          <w:ilvl w:val="0"/>
          <w:numId w:val="27"/>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Read the </w:t>
      </w:r>
      <w:r w:rsidRPr="009F751A">
        <w:rPr>
          <w:rFonts w:ascii="Garamond" w:hAnsi="Garamond"/>
          <w:b/>
          <w:bCs/>
          <w:color w:val="000000"/>
          <w:sz w:val="25"/>
          <w:szCs w:val="25"/>
        </w:rPr>
        <w:t>Background</w:t>
      </w:r>
      <w:r>
        <w:rPr>
          <w:rFonts w:ascii="Garamond" w:hAnsi="Garamond"/>
          <w:color w:val="000000"/>
          <w:sz w:val="25"/>
          <w:szCs w:val="25"/>
        </w:rPr>
        <w:t xml:space="preserve"> section. </w:t>
      </w:r>
    </w:p>
    <w:p w:rsidR="009F751A" w:rsidP="009F751A" w:rsidRDefault="009F751A" w14:paraId="1024C11B" w14:textId="4E3F4835">
      <w:pPr>
        <w:pStyle w:val="NormalWeb"/>
        <w:numPr>
          <w:ilvl w:val="0"/>
          <w:numId w:val="27"/>
        </w:numPr>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 xml:space="preserve">Read the </w:t>
      </w:r>
      <w:r w:rsidRPr="009F751A">
        <w:rPr>
          <w:rFonts w:ascii="Garamond" w:hAnsi="Garamond"/>
          <w:b/>
          <w:bCs/>
          <w:color w:val="000000"/>
          <w:sz w:val="25"/>
          <w:szCs w:val="25"/>
        </w:rPr>
        <w:t>Post-Miranda Cases</w:t>
      </w:r>
      <w:r>
        <w:rPr>
          <w:rFonts w:ascii="Garamond" w:hAnsi="Garamond"/>
          <w:color w:val="000000"/>
          <w:sz w:val="25"/>
          <w:szCs w:val="25"/>
        </w:rPr>
        <w:t xml:space="preserve"> and answer the questions that follow.  </w:t>
      </w:r>
    </w:p>
    <w:p w:rsidR="009F751A" w:rsidP="009F751A" w:rsidRDefault="009F751A" w14:paraId="57DEF606" w14:textId="370423A1">
      <w:pPr>
        <w:pStyle w:val="NormalWeb"/>
        <w:shd w:val="clear" w:color="auto" w:fill="FFFFFF"/>
        <w:spacing w:before="0" w:beforeAutospacing="0" w:after="0" w:afterAutospacing="0" w:line="276" w:lineRule="auto"/>
        <w:rPr>
          <w:rFonts w:ascii="Garamond" w:hAnsi="Garamond"/>
          <w:color w:val="000000"/>
          <w:sz w:val="25"/>
          <w:szCs w:val="25"/>
        </w:rPr>
      </w:pPr>
      <w:r>
        <w:rPr>
          <w:rFonts w:ascii="Garamond" w:hAnsi="Garamond"/>
          <w:color w:val="000000"/>
          <w:sz w:val="25"/>
          <w:szCs w:val="25"/>
        </w:rPr>
        <w:pict w14:anchorId="34D7A0FE">
          <v:rect id="_x0000_i1027" style="width:0;height:1.5pt" o:hr="t" o:hrstd="t" o:hralign="center" fillcolor="#a0a0a0" stroked="f"/>
        </w:pict>
      </w:r>
    </w:p>
    <w:p w:rsidR="009F751A" w:rsidP="009F751A" w:rsidRDefault="009F751A" w14:paraId="7AADC46E" w14:textId="414A51DA">
      <w:pPr>
        <w:pStyle w:val="Subhead1sl"/>
        <w:spacing w:before="240"/>
      </w:pPr>
      <w:r>
        <w:t>Background</w:t>
      </w:r>
    </w:p>
    <w:p w:rsidRPr="003C0833" w:rsidR="003C0833" w:rsidP="009F751A" w:rsidRDefault="009F751A" w14:paraId="003D8F56" w14:textId="16B81968">
      <w:pPr>
        <w:pStyle w:val="NormalWeb"/>
        <w:shd w:val="clear" w:color="auto" w:fill="FFFFFF"/>
        <w:spacing w:before="0" w:beforeAutospacing="0" w:after="120" w:afterAutospacing="0" w:line="276" w:lineRule="auto"/>
        <w:rPr>
          <w:rFonts w:ascii="Garamond" w:hAnsi="Garamond"/>
          <w:color w:val="000000"/>
          <w:sz w:val="25"/>
          <w:szCs w:val="25"/>
        </w:rPr>
      </w:pPr>
      <w:r>
        <w:rPr>
          <w:rFonts w:ascii="Garamond" w:hAnsi="Garamond"/>
          <w:color w:val="000000"/>
          <w:sz w:val="25"/>
          <w:szCs w:val="25"/>
        </w:rPr>
        <w:t>T</w:t>
      </w:r>
      <w:r w:rsidRPr="003C0833" w:rsidR="003C0833">
        <w:rPr>
          <w:rFonts w:ascii="Garamond" w:hAnsi="Garamond"/>
          <w:color w:val="000000"/>
          <w:sz w:val="25"/>
          <w:szCs w:val="25"/>
        </w:rPr>
        <w:t xml:space="preserve">he </w:t>
      </w:r>
      <w:r>
        <w:rPr>
          <w:rFonts w:ascii="Garamond" w:hAnsi="Garamond"/>
          <w:color w:val="000000"/>
          <w:sz w:val="25"/>
          <w:szCs w:val="25"/>
        </w:rPr>
        <w:t xml:space="preserve">following are the </w:t>
      </w:r>
      <w:r w:rsidRPr="003C0833" w:rsidR="003C0833">
        <w:rPr>
          <w:rFonts w:ascii="Garamond" w:hAnsi="Garamond"/>
          <w:color w:val="000000"/>
          <w:sz w:val="25"/>
          <w:szCs w:val="25"/>
        </w:rPr>
        <w:t>main points of the </w:t>
      </w:r>
      <w:r w:rsidRPr="003C0833" w:rsidR="003C0833">
        <w:rPr>
          <w:rStyle w:val="Emphasis"/>
          <w:rFonts w:ascii="Garamond" w:hAnsi="Garamond"/>
          <w:color w:val="000000"/>
          <w:sz w:val="25"/>
          <w:szCs w:val="25"/>
        </w:rPr>
        <w:t>Miranda</w:t>
      </w:r>
      <w:r w:rsidRPr="003C0833" w:rsidR="003C0833">
        <w:rPr>
          <w:rFonts w:ascii="Garamond" w:hAnsi="Garamond"/>
          <w:color w:val="000000"/>
          <w:sz w:val="25"/>
          <w:szCs w:val="25"/>
        </w:rPr>
        <w:t> decision, written by Chief Justice Earl Warren in 1966:</w:t>
      </w:r>
    </w:p>
    <w:p w:rsidRPr="003C0833" w:rsidR="003C0833" w:rsidP="00D71F77" w:rsidRDefault="003C0833" w14:paraId="54B08825" w14:textId="77777777">
      <w:pPr>
        <w:pStyle w:val="NormalWeb"/>
        <w:shd w:val="clear" w:color="auto" w:fill="FFFFFF"/>
        <w:spacing w:before="0" w:beforeAutospacing="0" w:after="60" w:afterAutospacing="0" w:line="276" w:lineRule="auto"/>
        <w:rPr>
          <w:rFonts w:ascii="Garamond" w:hAnsi="Garamond"/>
          <w:color w:val="000000"/>
          <w:sz w:val="25"/>
          <w:szCs w:val="25"/>
        </w:rPr>
      </w:pPr>
      <w:r w:rsidRPr="003C0833">
        <w:rPr>
          <w:rFonts w:ascii="Garamond" w:hAnsi="Garamond"/>
          <w:color w:val="000000"/>
          <w:sz w:val="25"/>
          <w:szCs w:val="25"/>
        </w:rPr>
        <w:t>Persons in police custody must be warned of their rights before they are questioned, as follows:</w:t>
      </w:r>
    </w:p>
    <w:p w:rsidRPr="003C0833" w:rsidR="003C0833" w:rsidP="00D71F77" w:rsidRDefault="003C0833" w14:paraId="1363CC3C" w14:textId="77777777">
      <w:pPr>
        <w:pStyle w:val="NormalWeb"/>
        <w:numPr>
          <w:ilvl w:val="0"/>
          <w:numId w:val="20"/>
        </w:numPr>
        <w:shd w:val="clear" w:color="auto" w:fill="FFFFFF"/>
        <w:tabs>
          <w:tab w:val="clear" w:pos="720"/>
        </w:tabs>
        <w:spacing w:before="0" w:beforeAutospacing="0" w:after="60" w:afterAutospacing="0" w:line="276" w:lineRule="auto"/>
        <w:rPr>
          <w:rFonts w:ascii="Garamond" w:hAnsi="Garamond"/>
          <w:color w:val="000000"/>
          <w:sz w:val="25"/>
          <w:szCs w:val="25"/>
        </w:rPr>
      </w:pPr>
      <w:r w:rsidRPr="003C0833">
        <w:rPr>
          <w:rFonts w:ascii="Garamond" w:hAnsi="Garamond"/>
          <w:color w:val="000000"/>
          <w:sz w:val="25"/>
          <w:szCs w:val="25"/>
        </w:rPr>
        <w:t>You have the right to remain silent.</w:t>
      </w:r>
    </w:p>
    <w:p w:rsidRPr="003C0833" w:rsidR="003C0833" w:rsidP="00D71F77" w:rsidRDefault="003C0833" w14:paraId="769EE506" w14:textId="77777777">
      <w:pPr>
        <w:pStyle w:val="NormalWeb"/>
        <w:numPr>
          <w:ilvl w:val="0"/>
          <w:numId w:val="20"/>
        </w:numPr>
        <w:shd w:val="clear" w:color="auto" w:fill="FFFFFF"/>
        <w:tabs>
          <w:tab w:val="clear" w:pos="720"/>
        </w:tabs>
        <w:spacing w:before="0" w:beforeAutospacing="0" w:after="60" w:afterAutospacing="0" w:line="276" w:lineRule="auto"/>
        <w:rPr>
          <w:rFonts w:ascii="Garamond" w:hAnsi="Garamond"/>
          <w:color w:val="000000"/>
          <w:sz w:val="25"/>
          <w:szCs w:val="25"/>
        </w:rPr>
      </w:pPr>
      <w:r w:rsidRPr="003C0833">
        <w:rPr>
          <w:rFonts w:ascii="Garamond" w:hAnsi="Garamond"/>
          <w:color w:val="000000"/>
          <w:sz w:val="25"/>
          <w:szCs w:val="25"/>
        </w:rPr>
        <w:t>Anything you say can and will be used against you in a court of law.</w:t>
      </w:r>
    </w:p>
    <w:p w:rsidRPr="003C0833" w:rsidR="003C0833" w:rsidP="00D71F77" w:rsidRDefault="003C0833" w14:paraId="48C4FF1B" w14:textId="77777777">
      <w:pPr>
        <w:pStyle w:val="NormalWeb"/>
        <w:numPr>
          <w:ilvl w:val="0"/>
          <w:numId w:val="20"/>
        </w:numPr>
        <w:shd w:val="clear" w:color="auto" w:fill="FFFFFF"/>
        <w:tabs>
          <w:tab w:val="clear" w:pos="720"/>
        </w:tabs>
        <w:spacing w:before="0" w:beforeAutospacing="0" w:after="60" w:afterAutospacing="0" w:line="276" w:lineRule="auto"/>
        <w:rPr>
          <w:rFonts w:ascii="Garamond" w:hAnsi="Garamond"/>
          <w:color w:val="000000"/>
          <w:sz w:val="25"/>
          <w:szCs w:val="25"/>
        </w:rPr>
      </w:pPr>
      <w:r w:rsidRPr="003C0833">
        <w:rPr>
          <w:rFonts w:ascii="Garamond" w:hAnsi="Garamond"/>
          <w:color w:val="000000"/>
          <w:sz w:val="25"/>
          <w:szCs w:val="25"/>
        </w:rPr>
        <w:t>You have the right to an attorney.</w:t>
      </w:r>
    </w:p>
    <w:p w:rsidRPr="003C0833" w:rsidR="003C0833" w:rsidP="00D71F77" w:rsidRDefault="003C0833" w14:paraId="487B8640" w14:textId="77777777">
      <w:pPr>
        <w:pStyle w:val="NormalWeb"/>
        <w:numPr>
          <w:ilvl w:val="0"/>
          <w:numId w:val="20"/>
        </w:numPr>
        <w:shd w:val="clear" w:color="auto" w:fill="FFFFFF"/>
        <w:tabs>
          <w:tab w:val="clear" w:pos="720"/>
        </w:tabs>
        <w:spacing w:before="0" w:beforeAutospacing="0" w:after="120" w:afterAutospacing="0" w:line="276" w:lineRule="auto"/>
        <w:rPr>
          <w:rFonts w:ascii="Garamond" w:hAnsi="Garamond"/>
          <w:color w:val="000000"/>
          <w:sz w:val="25"/>
          <w:szCs w:val="25"/>
        </w:rPr>
      </w:pPr>
      <w:r w:rsidRPr="003C0833">
        <w:rPr>
          <w:rFonts w:ascii="Garamond" w:hAnsi="Garamond"/>
          <w:color w:val="000000"/>
          <w:sz w:val="25"/>
          <w:szCs w:val="25"/>
        </w:rPr>
        <w:t>If you cannot afford an attorney, one will be appointed for you.</w:t>
      </w:r>
    </w:p>
    <w:p w:rsidRPr="003C0833" w:rsidR="003C0833" w:rsidP="00D71F77" w:rsidRDefault="003C0833" w14:paraId="45DA1E1D" w14:textId="62546128">
      <w:pPr>
        <w:pStyle w:val="NormalWeb"/>
        <w:shd w:val="clear" w:color="auto" w:fill="FFFFFF"/>
        <w:spacing w:before="0" w:beforeAutospacing="0" w:after="0" w:afterAutospacing="0" w:line="276" w:lineRule="auto"/>
        <w:rPr>
          <w:rFonts w:ascii="Garamond" w:hAnsi="Garamond"/>
          <w:color w:val="000000"/>
          <w:sz w:val="25"/>
          <w:szCs w:val="25"/>
        </w:rPr>
      </w:pPr>
      <w:r w:rsidRPr="003C0833">
        <w:rPr>
          <w:rFonts w:ascii="Garamond" w:hAnsi="Garamond"/>
          <w:color w:val="000000"/>
          <w:sz w:val="25"/>
          <w:szCs w:val="25"/>
        </w:rPr>
        <w:t xml:space="preserve">The failure to warn the accused prior to interrogation </w:t>
      </w:r>
      <w:r w:rsidR="0047062F">
        <w:rPr>
          <w:rFonts w:ascii="Garamond" w:hAnsi="Garamond"/>
          <w:color w:val="000000"/>
          <w:sz w:val="25"/>
          <w:szCs w:val="25"/>
        </w:rPr>
        <w:t xml:space="preserve">may </w:t>
      </w:r>
      <w:r w:rsidRPr="003C0833">
        <w:rPr>
          <w:rFonts w:ascii="Garamond" w:hAnsi="Garamond"/>
          <w:color w:val="000000"/>
          <w:sz w:val="25"/>
          <w:szCs w:val="25"/>
        </w:rPr>
        <w:t>lead</w:t>
      </w:r>
      <w:r w:rsidR="0047062F">
        <w:rPr>
          <w:rFonts w:ascii="Garamond" w:hAnsi="Garamond"/>
          <w:color w:val="000000"/>
          <w:sz w:val="25"/>
          <w:szCs w:val="25"/>
        </w:rPr>
        <w:t xml:space="preserve"> to the statement </w:t>
      </w:r>
      <w:r w:rsidRPr="003C0833">
        <w:rPr>
          <w:rFonts w:ascii="Garamond" w:hAnsi="Garamond"/>
          <w:color w:val="000000"/>
          <w:sz w:val="25"/>
          <w:szCs w:val="25"/>
        </w:rPr>
        <w:t>be suppressed because of the Fifth Amendment</w:t>
      </w:r>
      <w:r w:rsidR="009F751A">
        <w:rPr>
          <w:rFonts w:ascii="Garamond" w:hAnsi="Garamond"/>
          <w:color w:val="000000"/>
          <w:sz w:val="25"/>
          <w:szCs w:val="25"/>
        </w:rPr>
        <w:t>’</w:t>
      </w:r>
      <w:r w:rsidRPr="003C0833">
        <w:rPr>
          <w:rFonts w:ascii="Garamond" w:hAnsi="Garamond"/>
          <w:color w:val="000000"/>
          <w:sz w:val="25"/>
          <w:szCs w:val="25"/>
        </w:rPr>
        <w:t xml:space="preserve">s protection against a person being </w:t>
      </w:r>
      <w:r w:rsidR="009F751A">
        <w:rPr>
          <w:rFonts w:ascii="Garamond" w:hAnsi="Garamond"/>
          <w:color w:val="000000"/>
          <w:sz w:val="25"/>
          <w:szCs w:val="25"/>
        </w:rPr>
        <w:t>“</w:t>
      </w:r>
      <w:r w:rsidRPr="003C0833">
        <w:rPr>
          <w:rFonts w:ascii="Garamond" w:hAnsi="Garamond"/>
          <w:color w:val="000000"/>
          <w:sz w:val="25"/>
          <w:szCs w:val="25"/>
        </w:rPr>
        <w:t>compelled in a criminal case to be a witness against himself.</w:t>
      </w:r>
      <w:r w:rsidR="009F751A">
        <w:rPr>
          <w:rFonts w:ascii="Garamond" w:hAnsi="Garamond"/>
          <w:color w:val="000000"/>
          <w:sz w:val="25"/>
          <w:szCs w:val="25"/>
        </w:rPr>
        <w:t>”</w:t>
      </w:r>
    </w:p>
    <w:p w:rsidR="003C0833" w:rsidP="009F751A" w:rsidRDefault="003C0833" w14:paraId="42A0905B" w14:textId="5CF1046F">
      <w:pPr>
        <w:pStyle w:val="Subhead1sl"/>
      </w:pPr>
      <w:r w:rsidRPr="003C0833">
        <w:t>Post-</w:t>
      </w:r>
      <w:r w:rsidRPr="009F751A">
        <w:rPr>
          <w:rStyle w:val="Emphasis"/>
          <w:bCs/>
          <w:i w:val="0"/>
          <w:iCs w:val="0"/>
          <w:color w:val="231F20"/>
          <w:sz w:val="25"/>
          <w:szCs w:val="25"/>
        </w:rPr>
        <w:t>Miranda</w:t>
      </w:r>
      <w:r w:rsidRPr="003C0833">
        <w:rPr>
          <w:rStyle w:val="Emphasis"/>
          <w:bCs/>
          <w:color w:val="231F20"/>
          <w:sz w:val="25"/>
          <w:szCs w:val="25"/>
        </w:rPr>
        <w:t> </w:t>
      </w:r>
      <w:r w:rsidRPr="003C0833">
        <w:t>Cases</w:t>
      </w:r>
    </w:p>
    <w:p w:rsidR="009F751A" w:rsidP="65CA8B0A" w:rsidRDefault="009F751A" w14:paraId="3B24C423" w14:textId="53063D73">
      <w:pPr>
        <w:pStyle w:val="NormalWeb"/>
        <w:shd w:val="clear" w:color="auto" w:fill="FFFFFF" w:themeFill="background1"/>
        <w:spacing w:before="0" w:beforeAutospacing="off" w:after="300" w:afterAutospacing="off" w:line="276" w:lineRule="auto"/>
        <w:rPr>
          <w:rFonts w:ascii="Garamond" w:hAnsi="Garamond"/>
          <w:color w:val="000000"/>
          <w:sz w:val="25"/>
          <w:szCs w:val="25"/>
        </w:rPr>
      </w:pPr>
      <w:r w:rsidRPr="65CA8B0A" w:rsidR="009F751A">
        <w:rPr>
          <w:rFonts w:ascii="Garamond" w:hAnsi="Garamond"/>
          <w:color w:val="000000" w:themeColor="text1" w:themeTint="FF" w:themeShade="FF"/>
          <w:sz w:val="25"/>
          <w:szCs w:val="25"/>
        </w:rPr>
        <w:t>In the time since </w:t>
      </w:r>
      <w:r w:rsidRPr="65CA8B0A" w:rsidR="009F751A">
        <w:rPr>
          <w:rStyle w:val="Emphasis"/>
          <w:rFonts w:ascii="Garamond" w:hAnsi="Garamond"/>
          <w:color w:val="000000" w:themeColor="text1" w:themeTint="FF" w:themeShade="FF"/>
          <w:sz w:val="25"/>
          <w:szCs w:val="25"/>
        </w:rPr>
        <w:t>Miranda</w:t>
      </w:r>
      <w:r w:rsidRPr="65CA8B0A" w:rsidR="009F751A">
        <w:rPr>
          <w:rFonts w:ascii="Garamond" w:hAnsi="Garamond"/>
          <w:color w:val="000000" w:themeColor="text1" w:themeTint="FF" w:themeShade="FF"/>
          <w:sz w:val="25"/>
          <w:szCs w:val="25"/>
        </w:rPr>
        <w:t> </w:t>
      </w:r>
      <w:r w:rsidRPr="65CA8B0A" w:rsidR="009F751A">
        <w:rPr>
          <w:rFonts w:ascii="Garamond" w:hAnsi="Garamond"/>
          <w:color w:val="000000" w:themeColor="text1" w:themeTint="FF" w:themeShade="FF"/>
          <w:sz w:val="25"/>
          <w:szCs w:val="25"/>
        </w:rPr>
        <w:t>was</w:t>
      </w:r>
      <w:r w:rsidRPr="65CA8B0A" w:rsidR="009F751A">
        <w:rPr>
          <w:rFonts w:ascii="Garamond" w:hAnsi="Garamond"/>
          <w:color w:val="000000" w:themeColor="text1" w:themeTint="FF" w:themeShade="FF"/>
          <w:sz w:val="25"/>
          <w:szCs w:val="25"/>
        </w:rPr>
        <w:t xml:space="preserve"> decided in 1966, the Supreme Court of the United States has decided several cases directly related to the issues </w:t>
      </w:r>
      <w:r w:rsidRPr="65CA8B0A" w:rsidR="009F751A">
        <w:rPr>
          <w:rStyle w:val="Emphasis"/>
          <w:rFonts w:ascii="Garamond" w:hAnsi="Garamond"/>
          <w:color w:val="000000" w:themeColor="text1" w:themeTint="FF" w:themeShade="FF"/>
          <w:sz w:val="25"/>
          <w:szCs w:val="25"/>
        </w:rPr>
        <w:t>Miranda</w:t>
      </w:r>
      <w:r w:rsidRPr="65CA8B0A" w:rsidR="009F751A">
        <w:rPr>
          <w:rFonts w:ascii="Garamond" w:hAnsi="Garamond"/>
          <w:color w:val="000000" w:themeColor="text1" w:themeTint="FF" w:themeShade="FF"/>
          <w:sz w:val="25"/>
          <w:szCs w:val="25"/>
        </w:rPr>
        <w:t> </w:t>
      </w:r>
      <w:r w:rsidRPr="65CA8B0A" w:rsidR="009F751A">
        <w:rPr>
          <w:rFonts w:ascii="Garamond" w:hAnsi="Garamond"/>
          <w:color w:val="000000" w:themeColor="text1" w:themeTint="FF" w:themeShade="FF"/>
          <w:sz w:val="25"/>
          <w:szCs w:val="25"/>
        </w:rPr>
        <w:t xml:space="preserve">raised. </w:t>
      </w:r>
      <w:r w:rsidRPr="65CA8B0A" w:rsidR="009F751A">
        <w:rPr>
          <w:rFonts w:ascii="Garamond" w:hAnsi="Garamond"/>
          <w:color w:val="000000" w:themeColor="text1" w:themeTint="FF" w:themeShade="FF"/>
          <w:sz w:val="25"/>
          <w:szCs w:val="25"/>
        </w:rPr>
        <w:t>Below are brief descriptions of the issues presented to the justices in several of these cases. How would you decide these cases if you were a Supreme Court justice? For the purpose of this exercise, you should assume that you cannot overturn the </w:t>
      </w:r>
      <w:r w:rsidRPr="65CA8B0A" w:rsidR="009F751A">
        <w:rPr>
          <w:rStyle w:val="Emphasis"/>
          <w:rFonts w:ascii="Garamond" w:hAnsi="Garamond"/>
          <w:color w:val="000000" w:themeColor="text1" w:themeTint="FF" w:themeShade="FF"/>
          <w:sz w:val="25"/>
          <w:szCs w:val="25"/>
        </w:rPr>
        <w:t>Miranda</w:t>
      </w:r>
      <w:r w:rsidRPr="65CA8B0A" w:rsidR="009F751A">
        <w:rPr>
          <w:rFonts w:ascii="Garamond" w:hAnsi="Garamond"/>
          <w:color w:val="000000" w:themeColor="text1" w:themeTint="FF" w:themeShade="FF"/>
          <w:sz w:val="25"/>
          <w:szCs w:val="25"/>
        </w:rPr>
        <w:t xml:space="preserve"> decision. </w:t>
      </w:r>
    </w:p>
    <w:p w:rsidRPr="003C0833" w:rsidR="003C0833" w:rsidP="009F751A" w:rsidRDefault="003C0833" w14:paraId="24CEBC6A" w14:textId="77777777">
      <w:pPr>
        <w:pStyle w:val="NormalWeb"/>
        <w:numPr>
          <w:ilvl w:val="0"/>
          <w:numId w:val="28"/>
        </w:numPr>
        <w:shd w:val="clear" w:color="auto" w:fill="FFFFFF"/>
        <w:spacing w:before="360" w:beforeAutospacing="0" w:after="120" w:afterAutospacing="0" w:line="276" w:lineRule="auto"/>
        <w:ind w:left="360"/>
        <w:rPr>
          <w:rFonts w:ascii="Garamond" w:hAnsi="Garamond"/>
          <w:color w:val="000000"/>
          <w:sz w:val="25"/>
          <w:szCs w:val="25"/>
        </w:rPr>
      </w:pPr>
      <w:r w:rsidRPr="003C0833">
        <w:rPr>
          <w:rStyle w:val="Strong"/>
          <w:rFonts w:ascii="Garamond" w:hAnsi="Garamond"/>
          <w:i/>
          <w:iCs/>
          <w:color w:val="000000"/>
          <w:sz w:val="25"/>
          <w:szCs w:val="25"/>
        </w:rPr>
        <w:t>Harris v. New York </w:t>
      </w:r>
      <w:r w:rsidRPr="003C0833">
        <w:rPr>
          <w:rStyle w:val="Strong"/>
          <w:rFonts w:ascii="Garamond" w:hAnsi="Garamond"/>
          <w:color w:val="000000"/>
          <w:sz w:val="25"/>
          <w:szCs w:val="25"/>
        </w:rPr>
        <w:t>(1971)</w:t>
      </w:r>
    </w:p>
    <w:p w:rsidRPr="003C0833" w:rsidR="003C0833" w:rsidP="00D90BA4" w:rsidRDefault="003C0833" w14:paraId="2A1F01AE" w14:textId="58E1A2FB">
      <w:pPr>
        <w:pStyle w:val="NormalWeb"/>
        <w:shd w:val="clear" w:color="auto" w:fill="FFFFFF"/>
        <w:spacing w:before="0" w:beforeAutospacing="0" w:after="120" w:afterAutospacing="0" w:line="276" w:lineRule="auto"/>
        <w:ind w:left="360"/>
        <w:rPr>
          <w:rFonts w:ascii="Garamond" w:hAnsi="Garamond"/>
          <w:color w:val="000000"/>
          <w:sz w:val="25"/>
          <w:szCs w:val="25"/>
        </w:rPr>
      </w:pPr>
      <w:r w:rsidRPr="003C0833">
        <w:rPr>
          <w:rFonts w:ascii="Garamond" w:hAnsi="Garamond"/>
          <w:color w:val="000000"/>
          <w:sz w:val="25"/>
          <w:szCs w:val="25"/>
        </w:rPr>
        <w:t>Harris was arrested for selling heroin to an undercover detective. He had not been given his </w:t>
      </w:r>
      <w:r w:rsidRPr="009F751A">
        <w:rPr>
          <w:rStyle w:val="Emphasis"/>
          <w:rFonts w:ascii="Garamond" w:hAnsi="Garamond"/>
          <w:i w:val="0"/>
          <w:iCs w:val="0"/>
          <w:color w:val="000000"/>
          <w:sz w:val="25"/>
          <w:szCs w:val="25"/>
        </w:rPr>
        <w:t>Miranda </w:t>
      </w:r>
      <w:r w:rsidRPr="003C0833">
        <w:rPr>
          <w:rFonts w:ascii="Garamond" w:hAnsi="Garamond"/>
          <w:color w:val="000000"/>
          <w:sz w:val="25"/>
          <w:szCs w:val="25"/>
        </w:rPr>
        <w:t xml:space="preserve">warnings when he </w:t>
      </w:r>
      <w:r w:rsidR="009F751A">
        <w:rPr>
          <w:rFonts w:ascii="Garamond" w:hAnsi="Garamond"/>
          <w:color w:val="000000"/>
          <w:sz w:val="25"/>
          <w:szCs w:val="25"/>
        </w:rPr>
        <w:t xml:space="preserve">told the </w:t>
      </w:r>
      <w:r w:rsidRPr="003C0833">
        <w:rPr>
          <w:rFonts w:ascii="Garamond" w:hAnsi="Garamond"/>
          <w:color w:val="000000"/>
          <w:sz w:val="25"/>
          <w:szCs w:val="25"/>
        </w:rPr>
        <w:t>police that he had made the sales at the request of the undercover officer. At trial, the prosecution did not use the statement the defendant made during their case. However, when he took the stand, he denied making the sales, contradicting what he had previously told the police. The prosecutors then used his initial statement to impeach, or make less credible, his testimony.</w:t>
      </w:r>
    </w:p>
    <w:p w:rsidRPr="00D90BA4" w:rsidR="003C0833" w:rsidP="00D90BA4" w:rsidRDefault="003C0833" w14:paraId="02903B85" w14:textId="3E7151A0">
      <w:pPr>
        <w:pStyle w:val="NormalWeb"/>
        <w:shd w:val="clear" w:color="auto" w:fill="FFFFFF"/>
        <w:spacing w:before="0" w:beforeAutospacing="0" w:after="1200" w:afterAutospacing="0" w:line="276" w:lineRule="auto"/>
        <w:ind w:left="360"/>
        <w:rPr>
          <w:rFonts w:ascii="Garamond" w:hAnsi="Garamond"/>
          <w:b/>
          <w:bCs/>
          <w:color w:val="000000"/>
          <w:sz w:val="25"/>
          <w:szCs w:val="25"/>
        </w:rPr>
      </w:pPr>
      <w:r w:rsidRPr="00D90BA4">
        <w:rPr>
          <w:rFonts w:ascii="Garamond" w:hAnsi="Garamond"/>
          <w:b/>
          <w:bCs/>
          <w:color w:val="000000"/>
          <w:sz w:val="25"/>
          <w:szCs w:val="25"/>
        </w:rPr>
        <w:lastRenderedPageBreak/>
        <w:t>Should the prosecutors have been allowed to use Harris</w:t>
      </w:r>
      <w:r w:rsidRPr="00D90BA4" w:rsidR="00D90BA4">
        <w:rPr>
          <w:rFonts w:ascii="Garamond" w:hAnsi="Garamond"/>
          <w:b/>
          <w:bCs/>
          <w:color w:val="000000"/>
          <w:sz w:val="25"/>
          <w:szCs w:val="25"/>
        </w:rPr>
        <w:t>’</w:t>
      </w:r>
      <w:r w:rsidRPr="00D90BA4">
        <w:rPr>
          <w:rFonts w:ascii="Garamond" w:hAnsi="Garamond"/>
          <w:b/>
          <w:bCs/>
          <w:color w:val="000000"/>
          <w:sz w:val="25"/>
          <w:szCs w:val="25"/>
        </w:rPr>
        <w:t xml:space="preserve"> pre-</w:t>
      </w:r>
      <w:r w:rsidRPr="00D90BA4">
        <w:rPr>
          <w:rStyle w:val="Emphasis"/>
          <w:rFonts w:ascii="Garamond" w:hAnsi="Garamond"/>
          <w:b/>
          <w:bCs/>
          <w:i w:val="0"/>
          <w:iCs w:val="0"/>
          <w:color w:val="000000"/>
          <w:sz w:val="25"/>
          <w:szCs w:val="25"/>
        </w:rPr>
        <w:t>Miranda</w:t>
      </w:r>
      <w:r w:rsidRPr="00D90BA4">
        <w:rPr>
          <w:rStyle w:val="Emphasis"/>
          <w:rFonts w:ascii="Garamond" w:hAnsi="Garamond"/>
          <w:b/>
          <w:bCs/>
          <w:color w:val="000000"/>
          <w:sz w:val="25"/>
          <w:szCs w:val="25"/>
        </w:rPr>
        <w:t> </w:t>
      </w:r>
      <w:r w:rsidR="00D90BA4">
        <w:rPr>
          <w:rStyle w:val="Emphasis"/>
          <w:rFonts w:ascii="Garamond" w:hAnsi="Garamond"/>
          <w:b/>
          <w:bCs/>
          <w:i w:val="0"/>
          <w:iCs w:val="0"/>
          <w:color w:val="000000"/>
          <w:sz w:val="25"/>
          <w:szCs w:val="25"/>
        </w:rPr>
        <w:t xml:space="preserve">warnings </w:t>
      </w:r>
      <w:r w:rsidRPr="00D90BA4">
        <w:rPr>
          <w:rFonts w:ascii="Garamond" w:hAnsi="Garamond"/>
          <w:b/>
          <w:bCs/>
          <w:color w:val="000000"/>
          <w:sz w:val="25"/>
          <w:szCs w:val="25"/>
        </w:rPr>
        <w:t>statement at trial, or did its use violate his constitutional rights?</w:t>
      </w:r>
    </w:p>
    <w:p w:rsidRPr="00D90BA4" w:rsidR="003C0833" w:rsidP="00D90BA4" w:rsidRDefault="003C0833" w14:paraId="7247FF7B" w14:textId="48078CFF">
      <w:pPr>
        <w:pStyle w:val="NormalWeb"/>
        <w:numPr>
          <w:ilvl w:val="0"/>
          <w:numId w:val="28"/>
        </w:numPr>
        <w:shd w:val="clear" w:color="auto" w:fill="FFFFFF"/>
        <w:spacing w:before="360" w:beforeAutospacing="0" w:after="120" w:afterAutospacing="0" w:line="276" w:lineRule="auto"/>
        <w:ind w:left="360"/>
        <w:rPr>
          <w:rStyle w:val="Strong"/>
          <w:i/>
          <w:iCs/>
        </w:rPr>
      </w:pPr>
      <w:r w:rsidRPr="003C0833">
        <w:rPr>
          <w:rStyle w:val="Strong"/>
          <w:rFonts w:ascii="Garamond" w:hAnsi="Garamond"/>
          <w:i/>
          <w:iCs/>
          <w:color w:val="000000"/>
          <w:sz w:val="25"/>
          <w:szCs w:val="25"/>
        </w:rPr>
        <w:t>Michigan v. Tucker </w:t>
      </w:r>
      <w:r w:rsidRPr="00D90BA4">
        <w:rPr>
          <w:rStyle w:val="Strong"/>
          <w:rFonts w:ascii="Garamond" w:hAnsi="Garamond"/>
          <w:color w:val="000000"/>
          <w:sz w:val="25"/>
          <w:szCs w:val="25"/>
        </w:rPr>
        <w:t>(1974)</w:t>
      </w:r>
    </w:p>
    <w:p w:rsidRPr="00D90BA4" w:rsidR="003C0833" w:rsidP="00D90BA4" w:rsidRDefault="003C0833" w14:paraId="4F210B4B" w14:textId="5927BCC4">
      <w:pPr>
        <w:pStyle w:val="NormalWeb"/>
        <w:shd w:val="clear" w:color="auto" w:fill="FFFFFF"/>
        <w:spacing w:before="0" w:beforeAutospacing="0" w:after="120" w:afterAutospacing="0" w:line="276" w:lineRule="auto"/>
        <w:ind w:left="360"/>
        <w:rPr>
          <w:rFonts w:ascii="Garamond" w:hAnsi="Garamond"/>
          <w:color w:val="000000"/>
          <w:sz w:val="25"/>
          <w:szCs w:val="25"/>
        </w:rPr>
      </w:pPr>
      <w:r w:rsidRPr="00D90BA4">
        <w:rPr>
          <w:rFonts w:ascii="Garamond" w:hAnsi="Garamond"/>
          <w:color w:val="000000"/>
          <w:sz w:val="25"/>
          <w:szCs w:val="25"/>
        </w:rPr>
        <w:t>In this case, the accused was warned of his right against self-incrimination, but not of his right to a lawyer. In the defendant</w:t>
      </w:r>
      <w:r w:rsidR="00D90BA4">
        <w:rPr>
          <w:rFonts w:ascii="Garamond" w:hAnsi="Garamond"/>
          <w:color w:val="000000"/>
          <w:sz w:val="25"/>
          <w:szCs w:val="25"/>
        </w:rPr>
        <w:t>’</w:t>
      </w:r>
      <w:r w:rsidRPr="00D90BA4">
        <w:rPr>
          <w:rFonts w:ascii="Garamond" w:hAnsi="Garamond"/>
          <w:color w:val="000000"/>
          <w:sz w:val="25"/>
          <w:szCs w:val="25"/>
        </w:rPr>
        <w:t>s statement, a person was identified as a potential witness. The defendant</w:t>
      </w:r>
      <w:r w:rsidR="00D90BA4">
        <w:rPr>
          <w:rFonts w:ascii="Garamond" w:hAnsi="Garamond"/>
          <w:color w:val="000000"/>
          <w:sz w:val="25"/>
          <w:szCs w:val="25"/>
        </w:rPr>
        <w:t>’</w:t>
      </w:r>
      <w:r w:rsidRPr="00D90BA4">
        <w:rPr>
          <w:rFonts w:ascii="Garamond" w:hAnsi="Garamond"/>
          <w:color w:val="000000"/>
          <w:sz w:val="25"/>
          <w:szCs w:val="25"/>
        </w:rPr>
        <w:t xml:space="preserve">s lawyer argued that the witness could not testify, since the witness would be </w:t>
      </w:r>
      <w:r w:rsidR="00D90BA4">
        <w:rPr>
          <w:rFonts w:ascii="Garamond" w:hAnsi="Garamond"/>
          <w:color w:val="000000"/>
          <w:sz w:val="25"/>
          <w:szCs w:val="25"/>
        </w:rPr>
        <w:t>“</w:t>
      </w:r>
      <w:r w:rsidRPr="00D90BA4">
        <w:rPr>
          <w:rFonts w:ascii="Garamond" w:hAnsi="Garamond"/>
          <w:color w:val="000000"/>
          <w:sz w:val="25"/>
          <w:szCs w:val="25"/>
        </w:rPr>
        <w:t>derivative evidence</w:t>
      </w:r>
      <w:r w:rsidR="00D90BA4">
        <w:rPr>
          <w:rFonts w:ascii="Garamond" w:hAnsi="Garamond"/>
          <w:color w:val="000000"/>
          <w:sz w:val="25"/>
          <w:szCs w:val="25"/>
        </w:rPr>
        <w:t>”</w:t>
      </w:r>
      <w:r w:rsidRPr="00D90BA4">
        <w:rPr>
          <w:rFonts w:ascii="Garamond" w:hAnsi="Garamond"/>
          <w:color w:val="000000"/>
          <w:sz w:val="25"/>
          <w:szCs w:val="25"/>
        </w:rPr>
        <w:t xml:space="preserve"> arising from the defendant</w:t>
      </w:r>
      <w:r w:rsidR="00D90BA4">
        <w:rPr>
          <w:rFonts w:ascii="Garamond" w:hAnsi="Garamond"/>
          <w:color w:val="000000"/>
          <w:sz w:val="25"/>
          <w:szCs w:val="25"/>
        </w:rPr>
        <w:t>’</w:t>
      </w:r>
      <w:r w:rsidRPr="00D90BA4">
        <w:rPr>
          <w:rFonts w:ascii="Garamond" w:hAnsi="Garamond"/>
          <w:color w:val="000000"/>
          <w:sz w:val="25"/>
          <w:szCs w:val="25"/>
        </w:rPr>
        <w:t>s statement, which was not allowed in court because of the violation of </w:t>
      </w:r>
      <w:r w:rsidRPr="00D90BA4">
        <w:rPr>
          <w:rFonts w:ascii="Garamond" w:hAnsi="Garamond"/>
          <w:i/>
          <w:iCs/>
          <w:sz w:val="25"/>
          <w:szCs w:val="25"/>
        </w:rPr>
        <w:t>Miranda</w:t>
      </w:r>
      <w:r w:rsidRPr="00D90BA4">
        <w:rPr>
          <w:rFonts w:ascii="Garamond" w:hAnsi="Garamond"/>
          <w:color w:val="000000"/>
          <w:sz w:val="25"/>
          <w:szCs w:val="25"/>
        </w:rPr>
        <w:t>.</w:t>
      </w:r>
    </w:p>
    <w:p w:rsidRPr="00D90BA4" w:rsidR="003C0833" w:rsidP="00D90BA4" w:rsidRDefault="003C0833" w14:paraId="41BB2585" w14:textId="77777777">
      <w:pPr>
        <w:pStyle w:val="NormalWeb"/>
        <w:shd w:val="clear" w:color="auto" w:fill="FFFFFF"/>
        <w:spacing w:before="0" w:beforeAutospacing="0" w:after="1200" w:afterAutospacing="0" w:line="276" w:lineRule="auto"/>
        <w:ind w:left="360"/>
        <w:rPr>
          <w:rFonts w:ascii="Garamond" w:hAnsi="Garamond"/>
          <w:b/>
          <w:bCs/>
          <w:color w:val="000000"/>
          <w:sz w:val="25"/>
          <w:szCs w:val="25"/>
        </w:rPr>
      </w:pPr>
      <w:r w:rsidRPr="00D90BA4">
        <w:rPr>
          <w:rFonts w:ascii="Garamond" w:hAnsi="Garamond"/>
          <w:b/>
          <w:bCs/>
          <w:color w:val="000000"/>
          <w:sz w:val="25"/>
          <w:szCs w:val="25"/>
        </w:rPr>
        <w:t>Since the statement itself could not be used in court against the defendant, could the witness still testify, even though the witness would never have been found if not for the statement?</w:t>
      </w:r>
    </w:p>
    <w:p w:rsidRPr="00D90BA4" w:rsidR="003C0833" w:rsidP="00D90BA4" w:rsidRDefault="003C0833" w14:paraId="439B4106" w14:textId="77777777">
      <w:pPr>
        <w:pStyle w:val="NormalWeb"/>
        <w:numPr>
          <w:ilvl w:val="0"/>
          <w:numId w:val="28"/>
        </w:numPr>
        <w:shd w:val="clear" w:color="auto" w:fill="FFFFFF"/>
        <w:spacing w:before="360" w:beforeAutospacing="0" w:after="120" w:afterAutospacing="0" w:line="276" w:lineRule="auto"/>
        <w:ind w:left="360"/>
        <w:rPr>
          <w:rStyle w:val="Strong"/>
          <w:i/>
          <w:iCs/>
        </w:rPr>
      </w:pPr>
      <w:bookmarkStart w:name="ny" w:id="0"/>
      <w:bookmarkEnd w:id="0"/>
      <w:r w:rsidRPr="003C0833">
        <w:rPr>
          <w:rStyle w:val="Strong"/>
          <w:rFonts w:ascii="Garamond" w:hAnsi="Garamond"/>
          <w:i/>
          <w:iCs/>
          <w:color w:val="000000"/>
          <w:sz w:val="25"/>
          <w:szCs w:val="25"/>
        </w:rPr>
        <w:t>New York v. Quarles </w:t>
      </w:r>
      <w:r w:rsidRPr="00D90BA4">
        <w:rPr>
          <w:rStyle w:val="Strong"/>
          <w:rFonts w:ascii="Garamond" w:hAnsi="Garamond"/>
          <w:i/>
          <w:iCs/>
          <w:color w:val="000000"/>
          <w:sz w:val="25"/>
          <w:szCs w:val="25"/>
        </w:rPr>
        <w:t>(1984)</w:t>
      </w:r>
    </w:p>
    <w:p w:rsidRPr="003C0833" w:rsidR="003C0833" w:rsidP="00D90BA4" w:rsidRDefault="003C0833" w14:paraId="361A57A0" w14:textId="1B096C5E">
      <w:pPr>
        <w:pStyle w:val="NormalWeb"/>
        <w:shd w:val="clear" w:color="auto" w:fill="FFFFFF"/>
        <w:spacing w:before="0" w:beforeAutospacing="0" w:after="120" w:afterAutospacing="0" w:line="276" w:lineRule="auto"/>
        <w:ind w:left="360"/>
        <w:rPr>
          <w:rFonts w:ascii="Garamond" w:hAnsi="Garamond"/>
          <w:color w:val="000000"/>
          <w:sz w:val="25"/>
          <w:szCs w:val="25"/>
        </w:rPr>
      </w:pPr>
      <w:r w:rsidRPr="00D90BA4">
        <w:rPr>
          <w:rFonts w:ascii="Garamond" w:hAnsi="Garamond"/>
          <w:color w:val="000000"/>
          <w:sz w:val="25"/>
          <w:szCs w:val="25"/>
        </w:rPr>
        <w:t xml:space="preserve">A woman told two police officers that she had been raped at gunpoint. She gave them a description of the suspect and told them he had gone into a nearby supermarket. </w:t>
      </w:r>
      <w:r w:rsidRPr="00D90BA4" w:rsidR="00D90BA4">
        <w:rPr>
          <w:rFonts w:ascii="Garamond" w:hAnsi="Garamond"/>
          <w:color w:val="000000"/>
          <w:sz w:val="25"/>
          <w:szCs w:val="25"/>
        </w:rPr>
        <w:t>In the store o</w:t>
      </w:r>
      <w:r w:rsidRPr="00D90BA4">
        <w:rPr>
          <w:rFonts w:ascii="Garamond" w:hAnsi="Garamond"/>
          <w:color w:val="000000"/>
          <w:sz w:val="25"/>
          <w:szCs w:val="25"/>
        </w:rPr>
        <w:t>ne of the officers apprehended Quarles, the suspect, searched him and found that he was wearing an empty holster. The officer asked Quarles where his gun was</w:t>
      </w:r>
      <w:r w:rsidR="00D90BA4">
        <w:rPr>
          <w:rFonts w:ascii="Garamond" w:hAnsi="Garamond"/>
          <w:color w:val="000000"/>
          <w:sz w:val="25"/>
          <w:szCs w:val="25"/>
        </w:rPr>
        <w:t>,</w:t>
      </w:r>
      <w:r w:rsidRPr="00D90BA4">
        <w:rPr>
          <w:rFonts w:ascii="Garamond" w:hAnsi="Garamond"/>
          <w:color w:val="000000"/>
          <w:sz w:val="25"/>
          <w:szCs w:val="25"/>
        </w:rPr>
        <w:t xml:space="preserve"> and he told him. The officer arrested Quarles and read him his </w:t>
      </w:r>
      <w:r w:rsidRPr="00D90BA4">
        <w:rPr>
          <w:rFonts w:ascii="Garamond" w:hAnsi="Garamond"/>
          <w:sz w:val="25"/>
          <w:szCs w:val="25"/>
        </w:rPr>
        <w:t>Miranda </w:t>
      </w:r>
      <w:r w:rsidRPr="00D90BA4">
        <w:rPr>
          <w:rFonts w:ascii="Garamond" w:hAnsi="Garamond"/>
          <w:color w:val="000000"/>
          <w:sz w:val="25"/>
          <w:szCs w:val="25"/>
        </w:rPr>
        <w:t>rights</w:t>
      </w:r>
      <w:r w:rsidRPr="003C0833">
        <w:rPr>
          <w:rFonts w:ascii="Garamond" w:hAnsi="Garamond"/>
          <w:color w:val="000000"/>
          <w:sz w:val="25"/>
          <w:szCs w:val="25"/>
        </w:rPr>
        <w:t>.</w:t>
      </w:r>
    </w:p>
    <w:p w:rsidRPr="00D90BA4" w:rsidR="003C0833" w:rsidP="00D90BA4" w:rsidRDefault="003C0833" w14:paraId="2BA063CD" w14:textId="1AA4273C">
      <w:pPr>
        <w:pStyle w:val="NormalWeb"/>
        <w:shd w:val="clear" w:color="auto" w:fill="FFFFFF"/>
        <w:spacing w:before="0" w:beforeAutospacing="0" w:after="1200" w:afterAutospacing="0" w:line="276" w:lineRule="auto"/>
        <w:ind w:left="360"/>
        <w:rPr>
          <w:rFonts w:ascii="Garamond" w:hAnsi="Garamond"/>
          <w:b/>
          <w:bCs/>
          <w:color w:val="000000"/>
          <w:sz w:val="25"/>
          <w:szCs w:val="25"/>
        </w:rPr>
      </w:pPr>
      <w:r w:rsidRPr="00D90BA4">
        <w:rPr>
          <w:rFonts w:ascii="Garamond" w:hAnsi="Garamond"/>
          <w:b/>
          <w:bCs/>
          <w:color w:val="000000"/>
          <w:sz w:val="25"/>
          <w:szCs w:val="25"/>
        </w:rPr>
        <w:t>Should the suspect</w:t>
      </w:r>
      <w:r w:rsidRPr="00D90BA4" w:rsidR="00D90BA4">
        <w:rPr>
          <w:rFonts w:ascii="Garamond" w:hAnsi="Garamond"/>
          <w:b/>
          <w:bCs/>
          <w:color w:val="000000"/>
          <w:sz w:val="25"/>
          <w:szCs w:val="25"/>
        </w:rPr>
        <w:t>’</w:t>
      </w:r>
      <w:r w:rsidRPr="00D90BA4">
        <w:rPr>
          <w:rFonts w:ascii="Garamond" w:hAnsi="Garamond"/>
          <w:b/>
          <w:bCs/>
          <w:color w:val="000000"/>
          <w:sz w:val="25"/>
          <w:szCs w:val="25"/>
        </w:rPr>
        <w:t>s statement about the gun be suppressed at trial, since it was made before the </w:t>
      </w:r>
      <w:r w:rsidRPr="00D90BA4">
        <w:rPr>
          <w:rFonts w:ascii="Garamond" w:hAnsi="Garamond"/>
          <w:b/>
          <w:bCs/>
          <w:sz w:val="25"/>
          <w:szCs w:val="25"/>
        </w:rPr>
        <w:t>Miranda</w:t>
      </w:r>
      <w:r w:rsidRPr="00D90BA4">
        <w:rPr>
          <w:rFonts w:ascii="Garamond" w:hAnsi="Garamond"/>
          <w:b/>
          <w:bCs/>
          <w:i/>
          <w:iCs/>
          <w:sz w:val="25"/>
          <w:szCs w:val="25"/>
        </w:rPr>
        <w:t> </w:t>
      </w:r>
      <w:r w:rsidRPr="00D90BA4">
        <w:rPr>
          <w:rFonts w:ascii="Garamond" w:hAnsi="Garamond"/>
          <w:b/>
          <w:bCs/>
          <w:color w:val="000000"/>
          <w:sz w:val="25"/>
          <w:szCs w:val="25"/>
        </w:rPr>
        <w:t>warnings were given?</w:t>
      </w:r>
    </w:p>
    <w:p w:rsidRPr="00D90BA4" w:rsidR="003C0833" w:rsidP="00D90BA4" w:rsidRDefault="003C0833" w14:paraId="43217EAC" w14:textId="77777777">
      <w:pPr>
        <w:pStyle w:val="NormalWeb"/>
        <w:numPr>
          <w:ilvl w:val="0"/>
          <w:numId w:val="28"/>
        </w:numPr>
        <w:shd w:val="clear" w:color="auto" w:fill="FFFFFF"/>
        <w:spacing w:before="360" w:beforeAutospacing="0" w:after="120" w:afterAutospacing="0" w:line="276" w:lineRule="auto"/>
        <w:ind w:left="360"/>
        <w:rPr>
          <w:rStyle w:val="Strong"/>
          <w:i/>
          <w:iCs/>
        </w:rPr>
      </w:pPr>
      <w:bookmarkStart w:name="oregon" w:id="1"/>
      <w:bookmarkEnd w:id="1"/>
      <w:r w:rsidRPr="003C0833">
        <w:rPr>
          <w:rStyle w:val="Strong"/>
          <w:rFonts w:ascii="Garamond" w:hAnsi="Garamond"/>
          <w:i/>
          <w:iCs/>
          <w:color w:val="000000"/>
          <w:sz w:val="25"/>
          <w:szCs w:val="25"/>
        </w:rPr>
        <w:t xml:space="preserve">Oregon v. </w:t>
      </w:r>
      <w:proofErr w:type="spellStart"/>
      <w:r w:rsidRPr="003C0833">
        <w:rPr>
          <w:rStyle w:val="Strong"/>
          <w:rFonts w:ascii="Garamond" w:hAnsi="Garamond"/>
          <w:i/>
          <w:iCs/>
          <w:color w:val="000000"/>
          <w:sz w:val="25"/>
          <w:szCs w:val="25"/>
        </w:rPr>
        <w:t>Elstad</w:t>
      </w:r>
      <w:proofErr w:type="spellEnd"/>
      <w:r w:rsidRPr="003C0833">
        <w:rPr>
          <w:rStyle w:val="Strong"/>
          <w:rFonts w:ascii="Garamond" w:hAnsi="Garamond"/>
          <w:i/>
          <w:iCs/>
          <w:color w:val="000000"/>
          <w:sz w:val="25"/>
          <w:szCs w:val="25"/>
        </w:rPr>
        <w:t> </w:t>
      </w:r>
      <w:r w:rsidRPr="00D90BA4">
        <w:rPr>
          <w:rStyle w:val="Strong"/>
          <w:rFonts w:ascii="Garamond" w:hAnsi="Garamond"/>
          <w:i/>
          <w:iCs/>
          <w:color w:val="000000"/>
          <w:sz w:val="25"/>
          <w:szCs w:val="25"/>
        </w:rPr>
        <w:t>(1985)</w:t>
      </w:r>
    </w:p>
    <w:p w:rsidRPr="00D71F77" w:rsidR="003C0833" w:rsidP="00D90BA4" w:rsidRDefault="003C0833" w14:paraId="77056618" w14:textId="61BC87C3">
      <w:pPr>
        <w:pStyle w:val="NormalWeb"/>
        <w:shd w:val="clear" w:color="auto" w:fill="FFFFFF"/>
        <w:spacing w:before="0" w:beforeAutospacing="0" w:after="120" w:afterAutospacing="0" w:line="276" w:lineRule="auto"/>
        <w:ind w:left="360"/>
        <w:rPr>
          <w:rFonts w:ascii="Garamond" w:hAnsi="Garamond"/>
          <w:color w:val="000000"/>
          <w:sz w:val="25"/>
          <w:szCs w:val="25"/>
        </w:rPr>
      </w:pPr>
      <w:proofErr w:type="spellStart"/>
      <w:r w:rsidRPr="00D71F77">
        <w:rPr>
          <w:rFonts w:ascii="Garamond" w:hAnsi="Garamond"/>
          <w:color w:val="000000"/>
          <w:sz w:val="25"/>
          <w:szCs w:val="25"/>
        </w:rPr>
        <w:t>Elstad</w:t>
      </w:r>
      <w:proofErr w:type="spellEnd"/>
      <w:r w:rsidRPr="00D71F77">
        <w:rPr>
          <w:rFonts w:ascii="Garamond" w:hAnsi="Garamond"/>
          <w:color w:val="000000"/>
          <w:sz w:val="25"/>
          <w:szCs w:val="25"/>
        </w:rPr>
        <w:t xml:space="preserve"> was suspected of committing burglary. He was arrested in his home, and he made an incriminating statement before being read his </w:t>
      </w:r>
      <w:r w:rsidRPr="00D71F77">
        <w:rPr>
          <w:rFonts w:ascii="Garamond" w:hAnsi="Garamond"/>
          <w:sz w:val="25"/>
          <w:szCs w:val="25"/>
        </w:rPr>
        <w:t>Miranda</w:t>
      </w:r>
      <w:r w:rsidRPr="00D71F77">
        <w:rPr>
          <w:rFonts w:ascii="Garamond" w:hAnsi="Garamond"/>
          <w:i/>
          <w:iCs/>
          <w:sz w:val="25"/>
          <w:szCs w:val="25"/>
        </w:rPr>
        <w:t> </w:t>
      </w:r>
      <w:r w:rsidRPr="00D71F77">
        <w:rPr>
          <w:rFonts w:ascii="Garamond" w:hAnsi="Garamond"/>
          <w:color w:val="000000"/>
          <w:sz w:val="25"/>
          <w:szCs w:val="25"/>
        </w:rPr>
        <w:t>warnings. He was then taken to the police station where the police read him his </w:t>
      </w:r>
      <w:r w:rsidRPr="00D71F77">
        <w:rPr>
          <w:rFonts w:ascii="Garamond" w:hAnsi="Garamond"/>
          <w:sz w:val="25"/>
          <w:szCs w:val="25"/>
        </w:rPr>
        <w:t>Miranda</w:t>
      </w:r>
      <w:r w:rsidRPr="00D71F77">
        <w:rPr>
          <w:rFonts w:ascii="Garamond" w:hAnsi="Garamond"/>
          <w:i/>
          <w:iCs/>
          <w:sz w:val="25"/>
          <w:szCs w:val="25"/>
        </w:rPr>
        <w:t> </w:t>
      </w:r>
      <w:r w:rsidRPr="00D71F77">
        <w:rPr>
          <w:rFonts w:ascii="Garamond" w:hAnsi="Garamond"/>
          <w:color w:val="000000"/>
          <w:sz w:val="25"/>
          <w:szCs w:val="25"/>
        </w:rPr>
        <w:t>rights. He waived his </w:t>
      </w:r>
      <w:r w:rsidRPr="00D71F77">
        <w:rPr>
          <w:rFonts w:ascii="Garamond" w:hAnsi="Garamond"/>
          <w:sz w:val="25"/>
          <w:szCs w:val="25"/>
        </w:rPr>
        <w:t>Miranda</w:t>
      </w:r>
      <w:r w:rsidRPr="00D71F77">
        <w:rPr>
          <w:rFonts w:ascii="Garamond" w:hAnsi="Garamond"/>
          <w:i/>
          <w:iCs/>
          <w:sz w:val="25"/>
          <w:szCs w:val="25"/>
        </w:rPr>
        <w:t> </w:t>
      </w:r>
      <w:r w:rsidRPr="00D71F77">
        <w:rPr>
          <w:rFonts w:ascii="Garamond" w:hAnsi="Garamond"/>
          <w:color w:val="000000"/>
          <w:sz w:val="25"/>
          <w:szCs w:val="25"/>
        </w:rPr>
        <w:t>rights and the police questioned him</w:t>
      </w:r>
      <w:r w:rsidRPr="00D71F77" w:rsidR="00D71F77">
        <w:rPr>
          <w:rFonts w:ascii="Garamond" w:hAnsi="Garamond"/>
          <w:color w:val="000000"/>
          <w:sz w:val="25"/>
          <w:szCs w:val="25"/>
        </w:rPr>
        <w:t>. D</w:t>
      </w:r>
      <w:r w:rsidRPr="00D71F77">
        <w:rPr>
          <w:rFonts w:ascii="Garamond" w:hAnsi="Garamond"/>
          <w:color w:val="000000"/>
          <w:sz w:val="25"/>
          <w:szCs w:val="25"/>
        </w:rPr>
        <w:t xml:space="preserve">uring the questioning, he confessed to the crime and signed a written confession. </w:t>
      </w:r>
      <w:proofErr w:type="spellStart"/>
      <w:r w:rsidRPr="00D71F77">
        <w:rPr>
          <w:rFonts w:ascii="Garamond" w:hAnsi="Garamond"/>
          <w:color w:val="000000"/>
          <w:sz w:val="25"/>
          <w:szCs w:val="25"/>
        </w:rPr>
        <w:t>Elstad</w:t>
      </w:r>
      <w:r w:rsidRPr="00D71F77" w:rsidR="00D71F77">
        <w:rPr>
          <w:rFonts w:ascii="Garamond" w:hAnsi="Garamond"/>
          <w:color w:val="000000"/>
          <w:sz w:val="25"/>
          <w:szCs w:val="25"/>
        </w:rPr>
        <w:t>’</w:t>
      </w:r>
      <w:r w:rsidRPr="00D71F77">
        <w:rPr>
          <w:rFonts w:ascii="Garamond" w:hAnsi="Garamond"/>
          <w:color w:val="000000"/>
          <w:sz w:val="25"/>
          <w:szCs w:val="25"/>
        </w:rPr>
        <w:t>s</w:t>
      </w:r>
      <w:proofErr w:type="spellEnd"/>
      <w:r w:rsidRPr="00D71F77">
        <w:rPr>
          <w:rFonts w:ascii="Garamond" w:hAnsi="Garamond"/>
          <w:color w:val="000000"/>
          <w:sz w:val="25"/>
          <w:szCs w:val="25"/>
        </w:rPr>
        <w:t xml:space="preserve"> first statement that he was involved in the crime was suppressed at trial, but his second statement was used against him and he was convicted.</w:t>
      </w:r>
    </w:p>
    <w:p w:rsidRPr="00D71F77" w:rsidR="003C0833" w:rsidP="00D71F77" w:rsidRDefault="003C0833" w14:paraId="252AB037" w14:textId="77777777">
      <w:pPr>
        <w:pStyle w:val="NormalWeb"/>
        <w:shd w:val="clear" w:color="auto" w:fill="FFFFFF"/>
        <w:spacing w:before="0" w:beforeAutospacing="0" w:after="1200" w:afterAutospacing="0" w:line="276" w:lineRule="auto"/>
        <w:ind w:left="360"/>
        <w:rPr>
          <w:rFonts w:ascii="Garamond" w:hAnsi="Garamond"/>
          <w:b/>
          <w:bCs/>
          <w:color w:val="000000"/>
          <w:sz w:val="25"/>
          <w:szCs w:val="25"/>
        </w:rPr>
      </w:pPr>
      <w:r w:rsidRPr="00D71F77">
        <w:rPr>
          <w:rFonts w:ascii="Garamond" w:hAnsi="Garamond"/>
          <w:b/>
          <w:bCs/>
          <w:color w:val="000000"/>
          <w:sz w:val="25"/>
          <w:szCs w:val="25"/>
        </w:rPr>
        <w:lastRenderedPageBreak/>
        <w:t>Should the second statement also be suppressed at trial?</w:t>
      </w:r>
    </w:p>
    <w:p w:rsidRPr="00D71F77" w:rsidR="003C0833" w:rsidP="00D71F77" w:rsidRDefault="003C0833" w14:paraId="71B6ED71" w14:textId="77777777">
      <w:pPr>
        <w:pStyle w:val="NormalWeb"/>
        <w:numPr>
          <w:ilvl w:val="0"/>
          <w:numId w:val="28"/>
        </w:numPr>
        <w:shd w:val="clear" w:color="auto" w:fill="FFFFFF"/>
        <w:spacing w:before="360" w:beforeAutospacing="0" w:after="120" w:afterAutospacing="0" w:line="276" w:lineRule="auto"/>
        <w:ind w:left="360"/>
        <w:rPr>
          <w:rStyle w:val="Strong"/>
          <w:i/>
          <w:iCs/>
        </w:rPr>
      </w:pPr>
      <w:r w:rsidRPr="003C0833">
        <w:rPr>
          <w:rStyle w:val="Strong"/>
          <w:rFonts w:ascii="Garamond" w:hAnsi="Garamond"/>
          <w:i/>
          <w:iCs/>
          <w:color w:val="000000"/>
          <w:sz w:val="25"/>
          <w:szCs w:val="25"/>
        </w:rPr>
        <w:t>Illinois v. Perkins </w:t>
      </w:r>
      <w:r w:rsidRPr="00D71F77">
        <w:rPr>
          <w:rStyle w:val="Strong"/>
          <w:rFonts w:ascii="Garamond" w:hAnsi="Garamond"/>
          <w:color w:val="000000"/>
          <w:sz w:val="25"/>
          <w:szCs w:val="25"/>
        </w:rPr>
        <w:t>(1990)</w:t>
      </w:r>
    </w:p>
    <w:p w:rsidRPr="003C0833" w:rsidR="003C0833" w:rsidP="00D71F77" w:rsidRDefault="003C0833" w14:paraId="11C0027D" w14:textId="18AD2C22">
      <w:pPr>
        <w:pStyle w:val="NormalWeb"/>
        <w:shd w:val="clear" w:color="auto" w:fill="FFFFFF"/>
        <w:spacing w:before="0" w:beforeAutospacing="0" w:after="120" w:afterAutospacing="0" w:line="276" w:lineRule="auto"/>
        <w:ind w:left="360"/>
        <w:rPr>
          <w:rFonts w:ascii="Garamond" w:hAnsi="Garamond"/>
          <w:color w:val="000000"/>
          <w:sz w:val="25"/>
          <w:szCs w:val="25"/>
        </w:rPr>
      </w:pPr>
      <w:r w:rsidRPr="003C0833">
        <w:rPr>
          <w:rFonts w:ascii="Garamond" w:hAnsi="Garamond"/>
          <w:color w:val="000000"/>
          <w:sz w:val="25"/>
          <w:szCs w:val="25"/>
        </w:rPr>
        <w:t>In this case, police informants posed as prisoners in order to obtain evidence of Perkins</w:t>
      </w:r>
      <w:r w:rsidR="00D71F77">
        <w:rPr>
          <w:rFonts w:ascii="Garamond" w:hAnsi="Garamond"/>
          <w:color w:val="000000"/>
          <w:sz w:val="25"/>
          <w:szCs w:val="25"/>
        </w:rPr>
        <w:t>’</w:t>
      </w:r>
      <w:r w:rsidRPr="003C0833">
        <w:rPr>
          <w:rFonts w:ascii="Garamond" w:hAnsi="Garamond"/>
          <w:color w:val="000000"/>
          <w:sz w:val="25"/>
          <w:szCs w:val="25"/>
        </w:rPr>
        <w:t xml:space="preserve"> involvement in a murder. Perkins made statements to the one of the </w:t>
      </w:r>
      <w:r w:rsidR="00D71F77">
        <w:rPr>
          <w:rFonts w:ascii="Garamond" w:hAnsi="Garamond"/>
          <w:color w:val="000000"/>
          <w:sz w:val="25"/>
          <w:szCs w:val="25"/>
        </w:rPr>
        <w:t>“</w:t>
      </w:r>
      <w:r w:rsidRPr="003C0833">
        <w:rPr>
          <w:rFonts w:ascii="Garamond" w:hAnsi="Garamond"/>
          <w:color w:val="000000"/>
          <w:sz w:val="25"/>
          <w:szCs w:val="25"/>
        </w:rPr>
        <w:t>prisoners</w:t>
      </w:r>
      <w:r w:rsidR="00D71F77">
        <w:rPr>
          <w:rFonts w:ascii="Garamond" w:hAnsi="Garamond"/>
          <w:color w:val="000000"/>
          <w:sz w:val="25"/>
          <w:szCs w:val="25"/>
        </w:rPr>
        <w:t>”</w:t>
      </w:r>
      <w:r w:rsidRPr="003C0833">
        <w:rPr>
          <w:rFonts w:ascii="Garamond" w:hAnsi="Garamond"/>
          <w:color w:val="000000"/>
          <w:sz w:val="25"/>
          <w:szCs w:val="25"/>
        </w:rPr>
        <w:t xml:space="preserve"> implicating himself. This information was subsequently used at trial and Perkins was convicted. There had been no </w:t>
      </w:r>
      <w:r w:rsidRPr="00D71F77">
        <w:rPr>
          <w:rStyle w:val="Emphasis"/>
          <w:rFonts w:ascii="Garamond" w:hAnsi="Garamond"/>
          <w:i w:val="0"/>
          <w:iCs w:val="0"/>
          <w:color w:val="000000"/>
          <w:sz w:val="25"/>
          <w:szCs w:val="25"/>
        </w:rPr>
        <w:t>Miranda</w:t>
      </w:r>
      <w:r w:rsidRPr="003C0833">
        <w:rPr>
          <w:rStyle w:val="Emphasis"/>
          <w:rFonts w:ascii="Garamond" w:hAnsi="Garamond"/>
          <w:color w:val="000000"/>
          <w:sz w:val="25"/>
          <w:szCs w:val="25"/>
        </w:rPr>
        <w:t> </w:t>
      </w:r>
      <w:r w:rsidRPr="003C0833">
        <w:rPr>
          <w:rFonts w:ascii="Garamond" w:hAnsi="Garamond"/>
          <w:color w:val="000000"/>
          <w:sz w:val="25"/>
          <w:szCs w:val="25"/>
        </w:rPr>
        <w:t>warning, since the defendant did not know he was speaking to someone acting on behalf of the police.</w:t>
      </w:r>
    </w:p>
    <w:p w:rsidRPr="00D71F77" w:rsidR="003C0833" w:rsidP="00D71F77" w:rsidRDefault="003C0833" w14:paraId="0E2C2165" w14:textId="1A336B4C">
      <w:pPr>
        <w:pStyle w:val="NormalWeb"/>
        <w:shd w:val="clear" w:color="auto" w:fill="FFFFFF"/>
        <w:spacing w:before="0" w:beforeAutospacing="0" w:after="1200" w:afterAutospacing="0" w:line="276" w:lineRule="auto"/>
        <w:ind w:left="360"/>
        <w:rPr>
          <w:rFonts w:ascii="Garamond" w:hAnsi="Garamond"/>
          <w:b/>
          <w:bCs/>
          <w:color w:val="000000"/>
          <w:sz w:val="25"/>
          <w:szCs w:val="25"/>
        </w:rPr>
      </w:pPr>
      <w:r w:rsidRPr="00D71F77">
        <w:rPr>
          <w:rFonts w:ascii="Garamond" w:hAnsi="Garamond"/>
          <w:b/>
          <w:bCs/>
          <w:color w:val="000000"/>
          <w:sz w:val="25"/>
          <w:szCs w:val="25"/>
        </w:rPr>
        <w:t>Should the defendant</w:t>
      </w:r>
      <w:r w:rsidRPr="00D71F77" w:rsidR="00D71F77">
        <w:rPr>
          <w:rFonts w:ascii="Garamond" w:hAnsi="Garamond"/>
          <w:b/>
          <w:bCs/>
          <w:color w:val="000000"/>
          <w:sz w:val="25"/>
          <w:szCs w:val="25"/>
        </w:rPr>
        <w:t>’</w:t>
      </w:r>
      <w:r w:rsidRPr="00D71F77">
        <w:rPr>
          <w:rFonts w:ascii="Garamond" w:hAnsi="Garamond"/>
          <w:b/>
          <w:bCs/>
          <w:color w:val="000000"/>
          <w:sz w:val="25"/>
          <w:szCs w:val="25"/>
        </w:rPr>
        <w:t>s incriminating statements have been allowed at trial, considering that they were made without the defendant being warned of his rights?</w:t>
      </w:r>
    </w:p>
    <w:p w:rsidRPr="00D71F77" w:rsidR="00CE1F4B" w:rsidP="00D71F77" w:rsidRDefault="00525FEB" w14:paraId="087F0586" w14:textId="51AA18B8">
      <w:pPr>
        <w:pStyle w:val="NormalWeb"/>
        <w:numPr>
          <w:ilvl w:val="0"/>
          <w:numId w:val="28"/>
        </w:numPr>
        <w:shd w:val="clear" w:color="auto" w:fill="FFFFFF"/>
        <w:spacing w:before="360" w:beforeAutospacing="0" w:after="120" w:afterAutospacing="0" w:line="276" w:lineRule="auto"/>
        <w:ind w:left="360"/>
        <w:rPr>
          <w:rStyle w:val="Strong"/>
          <w:rFonts w:ascii="Garamond" w:hAnsi="Garamond"/>
          <w:i/>
          <w:iCs/>
          <w:color w:val="000000"/>
          <w:sz w:val="25"/>
          <w:szCs w:val="25"/>
        </w:rPr>
      </w:pPr>
      <w:r w:rsidRPr="00D71F77">
        <w:rPr>
          <w:rStyle w:val="Strong"/>
          <w:rFonts w:ascii="Garamond" w:hAnsi="Garamond"/>
          <w:i/>
          <w:iCs/>
          <w:color w:val="000000"/>
          <w:sz w:val="25"/>
          <w:szCs w:val="25"/>
        </w:rPr>
        <w:t xml:space="preserve">Berghuis v. Thompkins </w:t>
      </w:r>
      <w:r w:rsidRPr="00D71F77">
        <w:rPr>
          <w:rStyle w:val="Strong"/>
          <w:rFonts w:ascii="Garamond" w:hAnsi="Garamond"/>
          <w:color w:val="000000"/>
          <w:sz w:val="25"/>
          <w:szCs w:val="25"/>
        </w:rPr>
        <w:t>(2010)</w:t>
      </w:r>
    </w:p>
    <w:p w:rsidRPr="00D71F77" w:rsidR="00525FEB" w:rsidP="00D71F77" w:rsidRDefault="00525FEB" w14:paraId="05831F24" w14:textId="17B656A8">
      <w:pPr>
        <w:pStyle w:val="NormalWeb"/>
        <w:shd w:val="clear" w:color="auto" w:fill="FFFFFF"/>
        <w:spacing w:before="0" w:beforeAutospacing="0" w:after="120" w:afterAutospacing="0" w:line="276" w:lineRule="auto"/>
        <w:ind w:left="360"/>
        <w:rPr>
          <w:rFonts w:ascii="Garamond" w:hAnsi="Garamond"/>
          <w:color w:val="000000"/>
          <w:sz w:val="25"/>
          <w:szCs w:val="25"/>
        </w:rPr>
      </w:pPr>
      <w:r w:rsidRPr="00D71F77">
        <w:rPr>
          <w:rFonts w:ascii="Garamond" w:hAnsi="Garamond"/>
          <w:color w:val="000000"/>
          <w:sz w:val="25"/>
          <w:szCs w:val="25"/>
        </w:rPr>
        <w:t>In this case</w:t>
      </w:r>
      <w:r w:rsidR="00D71F77">
        <w:rPr>
          <w:rFonts w:ascii="Garamond" w:hAnsi="Garamond"/>
          <w:color w:val="000000"/>
          <w:sz w:val="25"/>
          <w:szCs w:val="25"/>
        </w:rPr>
        <w:t>,</w:t>
      </w:r>
      <w:r w:rsidRPr="00D71F77">
        <w:rPr>
          <w:rFonts w:ascii="Garamond" w:hAnsi="Garamond"/>
          <w:color w:val="000000"/>
          <w:sz w:val="25"/>
          <w:szCs w:val="25"/>
        </w:rPr>
        <w:t xml:space="preserve"> </w:t>
      </w:r>
      <w:r w:rsidRPr="00D71F77" w:rsidR="0073099F">
        <w:rPr>
          <w:rFonts w:ascii="Garamond" w:hAnsi="Garamond"/>
          <w:color w:val="000000"/>
          <w:sz w:val="25"/>
          <w:szCs w:val="25"/>
        </w:rPr>
        <w:t xml:space="preserve">Berghuis was interrogated for a murder after being read his Miranda rights. Berghuis </w:t>
      </w:r>
      <w:r w:rsidRPr="00D71F77">
        <w:rPr>
          <w:rFonts w:ascii="Garamond" w:hAnsi="Garamond"/>
          <w:color w:val="000000"/>
          <w:sz w:val="25"/>
          <w:szCs w:val="25"/>
        </w:rPr>
        <w:t>never stated clearly that he wished to</w:t>
      </w:r>
      <w:r w:rsidRPr="00D71F77" w:rsidR="0049314B">
        <w:rPr>
          <w:rFonts w:ascii="Garamond" w:hAnsi="Garamond"/>
          <w:color w:val="000000"/>
          <w:sz w:val="25"/>
          <w:szCs w:val="25"/>
        </w:rPr>
        <w:t xml:space="preserve"> invoke his right to</w:t>
      </w:r>
      <w:r w:rsidRPr="00D71F77">
        <w:rPr>
          <w:rFonts w:ascii="Garamond" w:hAnsi="Garamond"/>
          <w:color w:val="000000"/>
          <w:sz w:val="25"/>
          <w:szCs w:val="25"/>
        </w:rPr>
        <w:t xml:space="preserve"> remain silent, but for three hours he was</w:t>
      </w:r>
      <w:r w:rsidRPr="00D71F77" w:rsidR="0073099F">
        <w:rPr>
          <w:rFonts w:ascii="Garamond" w:hAnsi="Garamond"/>
          <w:color w:val="000000"/>
          <w:sz w:val="25"/>
          <w:szCs w:val="25"/>
        </w:rPr>
        <w:t xml:space="preserve"> almost completely </w:t>
      </w:r>
      <w:r w:rsidRPr="00D71F77">
        <w:rPr>
          <w:rFonts w:ascii="Garamond" w:hAnsi="Garamond"/>
          <w:color w:val="000000"/>
          <w:sz w:val="25"/>
          <w:szCs w:val="25"/>
        </w:rPr>
        <w:t>silent</w:t>
      </w:r>
      <w:r w:rsidRPr="00D71F77" w:rsidR="0073099F">
        <w:rPr>
          <w:rFonts w:ascii="Garamond" w:hAnsi="Garamond"/>
          <w:color w:val="000000"/>
          <w:sz w:val="25"/>
          <w:szCs w:val="25"/>
        </w:rPr>
        <w:t xml:space="preserve">. The few times he </w:t>
      </w:r>
      <w:r w:rsidRPr="00D71F77">
        <w:rPr>
          <w:rFonts w:ascii="Garamond" w:hAnsi="Garamond"/>
          <w:color w:val="000000"/>
          <w:sz w:val="25"/>
          <w:szCs w:val="25"/>
        </w:rPr>
        <w:t>spoke</w:t>
      </w:r>
      <w:r w:rsidRPr="00D71F77" w:rsidR="0073099F">
        <w:rPr>
          <w:rFonts w:ascii="Garamond" w:hAnsi="Garamond"/>
          <w:color w:val="000000"/>
          <w:sz w:val="25"/>
          <w:szCs w:val="25"/>
        </w:rPr>
        <w:t xml:space="preserve"> it was about</w:t>
      </w:r>
      <w:r w:rsidRPr="00D71F77">
        <w:rPr>
          <w:rFonts w:ascii="Garamond" w:hAnsi="Garamond"/>
          <w:color w:val="000000"/>
          <w:sz w:val="25"/>
          <w:szCs w:val="25"/>
        </w:rPr>
        <w:t xml:space="preserve"> things not related to the trial. He did not sign a waiver saying he understood his rights and wished to speak. Eventually the police asked him if he prayed to God to forgive him for shooting the victim, to which he replied, “yes.”</w:t>
      </w:r>
      <w:r w:rsidRPr="00D71F77" w:rsidR="0049314B">
        <w:rPr>
          <w:rFonts w:ascii="Garamond" w:hAnsi="Garamond"/>
          <w:color w:val="000000"/>
          <w:sz w:val="25"/>
          <w:szCs w:val="25"/>
        </w:rPr>
        <w:t xml:space="preserve"> This confession was used to convict him of murder.</w:t>
      </w:r>
    </w:p>
    <w:p w:rsidRPr="00D71F77" w:rsidR="0049314B" w:rsidP="00D71F77" w:rsidRDefault="0049314B" w14:paraId="5A19BDAD" w14:textId="5DDC0A26">
      <w:pPr>
        <w:pStyle w:val="NormalWeb"/>
        <w:shd w:val="clear" w:color="auto" w:fill="FFFFFF"/>
        <w:spacing w:before="0" w:beforeAutospacing="0" w:after="1200" w:afterAutospacing="0" w:line="276" w:lineRule="auto"/>
        <w:ind w:left="360"/>
        <w:rPr>
          <w:rFonts w:ascii="Garamond" w:hAnsi="Garamond"/>
          <w:b/>
          <w:bCs/>
          <w:color w:val="000000"/>
          <w:sz w:val="25"/>
          <w:szCs w:val="25"/>
        </w:rPr>
      </w:pPr>
      <w:r w:rsidRPr="00D71F77">
        <w:rPr>
          <w:rFonts w:ascii="Garamond" w:hAnsi="Garamond"/>
          <w:b/>
          <w:bCs/>
          <w:color w:val="000000"/>
          <w:sz w:val="25"/>
          <w:szCs w:val="25"/>
        </w:rPr>
        <w:t>Does the defendant’s silence during the interrogation invoke his right to remain silent? Or did he waive his right when he voluntarily made a statement to the police?</w:t>
      </w:r>
    </w:p>
    <w:p w:rsidRPr="00525FEB" w:rsidR="0049314B" w:rsidP="003C0833" w:rsidRDefault="0049314B" w14:paraId="7E70414D" w14:textId="5D7E47B8">
      <w:pPr>
        <w:pStyle w:val="NormalWeb"/>
        <w:shd w:val="clear" w:color="auto" w:fill="FFFFFF"/>
        <w:spacing w:before="0" w:beforeAutospacing="0" w:after="300" w:afterAutospacing="0" w:line="276" w:lineRule="auto"/>
        <w:rPr>
          <w:rFonts w:ascii="Garamond" w:hAnsi="Garamond"/>
          <w:color w:val="000000"/>
          <w:sz w:val="25"/>
          <w:szCs w:val="25"/>
        </w:rPr>
      </w:pPr>
    </w:p>
    <w:sectPr w:rsidRPr="00525FEB" w:rsidR="0049314B" w:rsidSect="009F751A">
      <w:headerReference w:type="default" r:id="rId10"/>
      <w:footerReference w:type="default" r:id="rId11"/>
      <w:headerReference w:type="first" r:id="rId12"/>
      <w:footerReference w:type="first" r:id="rId13"/>
      <w:pgSz w:w="12240" w:h="15840" w:orient="portrait"/>
      <w:pgMar w:top="1440" w:right="18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E5770" w:rsidP="0078549D" w:rsidRDefault="00CE5770" w14:paraId="6CB9A43D" w14:textId="77777777">
      <w:pPr>
        <w:spacing w:after="0" w:line="240" w:lineRule="auto"/>
      </w:pPr>
      <w:r>
        <w:separator/>
      </w:r>
    </w:p>
  </w:endnote>
  <w:endnote w:type="continuationSeparator" w:id="0">
    <w:p w:rsidR="00CE5770" w:rsidP="0078549D" w:rsidRDefault="00CE5770" w14:paraId="7ED5CD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rsidRPr="00987C93" w:rsidR="0078549D" w:rsidRDefault="0078549D" w14:paraId="6348B40C" w14:textId="7A9A7F39">
        <w:pPr>
          <w:pStyle w:val="Footer"/>
          <w:rPr>
            <w:rStyle w:val="BasiccopyslChar"/>
            <w:sz w:val="22"/>
            <w:szCs w:val="22"/>
          </w:rPr>
        </w:pPr>
        <w:r w:rsidRPr="00987C93">
          <w:rPr>
            <w:rStyle w:val="BasiccopyslChar"/>
            <w:sz w:val="22"/>
            <w:szCs w:val="22"/>
          </w:rPr>
          <w:t>© 20</w:t>
        </w:r>
        <w:r w:rsidRPr="00987C93" w:rsidR="002D220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Pr="00987C93" w:rsidR="00987C93">
          <w:rPr>
            <w:rStyle w:val="BasiccopyslChar"/>
            <w:sz w:val="22"/>
            <w:szCs w:val="22"/>
          </w:rPr>
          <w:t xml:space="preserve"> </w:t>
        </w:r>
        <w:r w:rsidRPr="00E64542" w:rsidR="00E64542">
          <w:rPr>
            <w:rStyle w:val="BasiccopyslChar"/>
            <w:sz w:val="22"/>
            <w:szCs w:val="22"/>
          </w:rPr>
          <w:fldChar w:fldCharType="begin"/>
        </w:r>
        <w:r w:rsidRPr="00E64542" w:rsidR="00E64542">
          <w:rPr>
            <w:rStyle w:val="BasiccopyslChar"/>
            <w:sz w:val="22"/>
            <w:szCs w:val="22"/>
          </w:rPr>
          <w:instrText xml:space="preserve"> PAGE   \* MERGEFORMAT </w:instrText>
        </w:r>
        <w:r w:rsidRPr="00E64542" w:rsidR="00E64542">
          <w:rPr>
            <w:rStyle w:val="BasiccopyslChar"/>
            <w:sz w:val="22"/>
            <w:szCs w:val="22"/>
          </w:rPr>
          <w:fldChar w:fldCharType="separate"/>
        </w:r>
        <w:r w:rsidRPr="00E64542" w:rsidR="00E64542">
          <w:rPr>
            <w:rStyle w:val="BasiccopyslChar"/>
            <w:noProof/>
            <w:sz w:val="22"/>
            <w:szCs w:val="22"/>
          </w:rPr>
          <w:t>1</w:t>
        </w:r>
        <w:r w:rsidRPr="00E64542" w:rsid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rsidRPr="00E64542" w:rsidR="00987C93" w:rsidRDefault="00E64542" w14:paraId="51507E42" w14:textId="65B0E49D">
        <w:pPr>
          <w:pStyle w:val="Footer"/>
          <w:rPr>
            <w:rFonts w:ascii="Garamond" w:hAnsi="Garamond" w:eastAsia="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r>
        <w:r w:rsidRPr="00987C93">
          <w:rPr>
            <w:rStyle w:val="BasiccopyslChar"/>
            <w:sz w:val="22"/>
            <w:szCs w:val="22"/>
          </w:rPr>
          <w:t xml:space="preserve"> Last updated: </w:t>
        </w:r>
        <w:r w:rsidR="00D71F77">
          <w:rPr>
            <w:rStyle w:val="BasiccopyslChar"/>
            <w:sz w:val="22"/>
            <w:szCs w:val="22"/>
          </w:rPr>
          <w:t>08/03/2020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E5770" w:rsidP="0078549D" w:rsidRDefault="00CE5770" w14:paraId="1B2A7603" w14:textId="77777777">
      <w:pPr>
        <w:spacing w:after="0" w:line="240" w:lineRule="auto"/>
      </w:pPr>
      <w:r>
        <w:separator/>
      </w:r>
    </w:p>
  </w:footnote>
  <w:footnote w:type="continuationSeparator" w:id="0">
    <w:p w:rsidR="00CE5770" w:rsidP="0078549D" w:rsidRDefault="00CE5770" w14:paraId="1E1851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71F77" w:rsidR="00F64E56" w:rsidP="00D71F77" w:rsidRDefault="00D71F77" w14:paraId="4D2C6AC8" w14:textId="7658EC48">
    <w:pPr>
      <w:pStyle w:val="Basiccopysl"/>
      <w:spacing w:after="0"/>
      <w:rPr>
        <w:sz w:val="22"/>
        <w:szCs w:val="22"/>
        <w:lang w:val="es-419"/>
      </w:rPr>
    </w:pPr>
    <w:r w:rsidRPr="00D71F77">
      <w:rPr>
        <w:sz w:val="22"/>
        <w:szCs w:val="22"/>
        <w:lang w:val="es-419"/>
      </w:rPr>
      <w:t>LandmarkCases.org</w:t>
    </w:r>
    <w:r w:rsidRPr="00D71F77">
      <w:rPr>
        <w:sz w:val="22"/>
        <w:szCs w:val="22"/>
        <w:lang w:val="es-419"/>
      </w:rPr>
      <w:tab/>
    </w:r>
    <w:r w:rsidRPr="00D71F77">
      <w:rPr>
        <w:sz w:val="22"/>
        <w:szCs w:val="22"/>
        <w:lang w:val="es-419"/>
      </w:rPr>
      <w:tab/>
    </w:r>
    <w:r w:rsidRPr="00D71F77">
      <w:rPr>
        <w:sz w:val="22"/>
        <w:szCs w:val="22"/>
        <w:lang w:val="es-419"/>
      </w:rPr>
      <w:tab/>
    </w:r>
    <w:r w:rsidRPr="00D71F77">
      <w:rPr>
        <w:sz w:val="22"/>
        <w:szCs w:val="22"/>
        <w:lang w:val="es-419"/>
      </w:rPr>
      <w:tab/>
    </w:r>
    <w:r w:rsidRPr="00D71F77">
      <w:rPr>
        <w:sz w:val="22"/>
        <w:szCs w:val="22"/>
        <w:lang w:val="es-419"/>
      </w:rPr>
      <w:tab/>
    </w:r>
    <w:r w:rsidRPr="00D71F77">
      <w:rPr>
        <w:sz w:val="22"/>
        <w:szCs w:val="22"/>
        <w:lang w:val="es-419"/>
      </w:rPr>
      <w:tab/>
    </w:r>
    <w:r w:rsidRPr="00D71F77">
      <w:rPr>
        <w:sz w:val="22"/>
        <w:szCs w:val="22"/>
        <w:lang w:val="es-419"/>
      </w:rPr>
      <w:t xml:space="preserve"> </w:t>
    </w:r>
    <w:r w:rsidRPr="00D71F77">
      <w:rPr>
        <w:i/>
        <w:iCs/>
        <w:sz w:val="22"/>
        <w:szCs w:val="22"/>
        <w:lang w:val="es-419"/>
      </w:rPr>
      <w:t xml:space="preserve">Miranda v. Arizona </w:t>
    </w:r>
    <w:r w:rsidRPr="00D71F77">
      <w:rPr>
        <w:sz w:val="22"/>
        <w:szCs w:val="22"/>
        <w:lang w:val="es-419"/>
      </w:rPr>
      <w:t xml:space="preserve">/ </w:t>
    </w:r>
    <w:proofErr w:type="spellStart"/>
    <w:r w:rsidRPr="00D71F77">
      <w:rPr>
        <w:sz w:val="22"/>
        <w:szCs w:val="22"/>
        <w:lang w:val="es-419"/>
      </w:rPr>
      <w:t>Beyond</w:t>
    </w:r>
    <w:proofErr w:type="spellEnd"/>
    <w:r w:rsidRPr="00D71F77">
      <w:rPr>
        <w:sz w:val="22"/>
        <w:szCs w:val="22"/>
        <w:lang w:val="es-419"/>
      </w:rPr>
      <w:t xml:space="preserve"> </w:t>
    </w:r>
    <w:r w:rsidRPr="00D71F77">
      <w:rPr>
        <w:i/>
        <w:iCs/>
        <w:sz w:val="22"/>
        <w:szCs w:val="22"/>
        <w:lang w:val="es-419"/>
      </w:rPr>
      <w:t>Miranda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D71F77" w:rsidR="00987C93" w:rsidP="00D71F77" w:rsidRDefault="00987C93" w14:paraId="08E4C6F0" w14:textId="47CD9BD0">
    <w:pPr>
      <w:pStyle w:val="Basiccopysl"/>
      <w:spacing w:after="0"/>
      <w:rPr>
        <w:sz w:val="22"/>
        <w:szCs w:val="22"/>
        <w:lang w:val="es-419"/>
      </w:rPr>
    </w:pPr>
    <w:r w:rsidRPr="00D71F77">
      <w:rPr>
        <w:sz w:val="22"/>
        <w:szCs w:val="22"/>
        <w:lang w:val="es-419"/>
      </w:rPr>
      <w:t>LandmarkCases.org</w:t>
    </w:r>
    <w:r w:rsidRPr="00D71F77">
      <w:rPr>
        <w:sz w:val="22"/>
        <w:szCs w:val="22"/>
        <w:lang w:val="es-419"/>
      </w:rPr>
      <w:tab/>
    </w:r>
    <w:r w:rsidRPr="00D71F77">
      <w:rPr>
        <w:sz w:val="22"/>
        <w:szCs w:val="22"/>
        <w:lang w:val="es-419"/>
      </w:rPr>
      <w:tab/>
    </w:r>
    <w:r w:rsidRPr="00D71F77">
      <w:rPr>
        <w:sz w:val="22"/>
        <w:szCs w:val="22"/>
        <w:lang w:val="es-419"/>
      </w:rPr>
      <w:tab/>
    </w:r>
    <w:r w:rsidRPr="00D71F77">
      <w:rPr>
        <w:sz w:val="22"/>
        <w:szCs w:val="22"/>
        <w:lang w:val="es-419"/>
      </w:rPr>
      <w:tab/>
    </w:r>
    <w:r w:rsidRPr="00D71F77">
      <w:rPr>
        <w:sz w:val="22"/>
        <w:szCs w:val="22"/>
        <w:lang w:val="es-419"/>
      </w:rPr>
      <w:tab/>
    </w:r>
    <w:r w:rsidRPr="00D71F77">
      <w:rPr>
        <w:sz w:val="22"/>
        <w:szCs w:val="22"/>
        <w:lang w:val="es-419"/>
      </w:rPr>
      <w:tab/>
    </w:r>
    <w:r w:rsidRPr="00D71F77">
      <w:rPr>
        <w:sz w:val="22"/>
        <w:szCs w:val="22"/>
        <w:lang w:val="es-419"/>
      </w:rPr>
      <w:t xml:space="preserve"> </w:t>
    </w:r>
    <w:r w:rsidRPr="00D71F77" w:rsidR="00171293">
      <w:rPr>
        <w:i/>
        <w:iCs/>
        <w:sz w:val="22"/>
        <w:szCs w:val="22"/>
        <w:lang w:val="es-419"/>
      </w:rPr>
      <w:t>Miranda v. Arizona</w:t>
    </w:r>
    <w:r w:rsidRPr="00D71F77" w:rsidR="00D71F77">
      <w:rPr>
        <w:i/>
        <w:iCs/>
        <w:sz w:val="22"/>
        <w:szCs w:val="22"/>
        <w:lang w:val="es-419"/>
      </w:rPr>
      <w:t xml:space="preserve"> </w:t>
    </w:r>
    <w:r w:rsidRPr="00D71F77" w:rsidR="00D71F77">
      <w:rPr>
        <w:sz w:val="22"/>
        <w:szCs w:val="22"/>
        <w:lang w:val="es-419"/>
      </w:rPr>
      <w:t xml:space="preserve">/ </w:t>
    </w:r>
    <w:proofErr w:type="spellStart"/>
    <w:r w:rsidRPr="00D71F77" w:rsidR="00D71F77">
      <w:rPr>
        <w:sz w:val="22"/>
        <w:szCs w:val="22"/>
        <w:lang w:val="es-419"/>
      </w:rPr>
      <w:t>Beyond</w:t>
    </w:r>
    <w:proofErr w:type="spellEnd"/>
    <w:r w:rsidRPr="00D71F77" w:rsidR="00D71F77">
      <w:rPr>
        <w:sz w:val="22"/>
        <w:szCs w:val="22"/>
        <w:lang w:val="es-419"/>
      </w:rPr>
      <w:t xml:space="preserve"> </w:t>
    </w:r>
    <w:r w:rsidRPr="00D71F77" w:rsidR="00D71F77">
      <w:rPr>
        <w:i/>
        <w:iCs/>
        <w:sz w:val="22"/>
        <w:szCs w:val="22"/>
        <w:lang w:val="es-419"/>
      </w:rPr>
      <w:t>Miranda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6455"/>
    <w:multiLevelType w:val="multilevel"/>
    <w:tmpl w:val="BD1A0F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D16266"/>
    <w:multiLevelType w:val="hybridMultilevel"/>
    <w:tmpl w:val="6AA0D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9A00CD"/>
    <w:multiLevelType w:val="hybridMultilevel"/>
    <w:tmpl w:val="CF7E927A"/>
    <w:lvl w:ilvl="0" w:tplc="CFD849B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AD64E9"/>
    <w:multiLevelType w:val="hybrid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hint="default" w:ascii="Symbol" w:hAnsi="Symbol"/>
      </w:rPr>
    </w:lvl>
    <w:lvl w:ilvl="1" w:tplc="9142027A">
      <w:start w:val="1"/>
      <w:numFmt w:val="bullet"/>
      <w:pStyle w:val="Sub-bulletsl"/>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EA960BF"/>
    <w:multiLevelType w:val="hybridMultilevel"/>
    <w:tmpl w:val="A06AA4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1095B"/>
    <w:multiLevelType w:val="hybridMultilevel"/>
    <w:tmpl w:val="29B2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096E1E"/>
    <w:multiLevelType w:val="hybridMultilevel"/>
    <w:tmpl w:val="628891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1640D0D"/>
    <w:multiLevelType w:val="hybridMultilevel"/>
    <w:tmpl w:val="13E223A2"/>
    <w:lvl w:ilvl="0" w:tplc="4D8674A2">
      <w:start w:val="1"/>
      <w:numFmt w:val="bullet"/>
      <w:pStyle w:val="Bulletsl"/>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48D5183"/>
    <w:multiLevelType w:val="multilevel"/>
    <w:tmpl w:val="16DE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35CC0"/>
    <w:multiLevelType w:val="multilevel"/>
    <w:tmpl w:val="E9CA8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5E534FF"/>
    <w:multiLevelType w:val="multilevel"/>
    <w:tmpl w:val="ED30F5B4"/>
    <w:lvl w:ilvl="0" w:tplc="AF76CEA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708AA"/>
    <w:multiLevelType w:val="multilevel"/>
    <w:tmpl w:val="0EB206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F72ACA"/>
    <w:multiLevelType w:val="multilevel"/>
    <w:tmpl w:val="655A9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400F5"/>
    <w:multiLevelType w:val="multilevel"/>
    <w:tmpl w:val="AAF2A7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BA42ED8"/>
    <w:multiLevelType w:val="multilevel"/>
    <w:tmpl w:val="A396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705589"/>
    <w:multiLevelType w:val="hybridMultilevel"/>
    <w:tmpl w:val="54EC31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31A7BD7"/>
    <w:multiLevelType w:val="multilevel"/>
    <w:tmpl w:val="8A42A6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59B14F7"/>
    <w:multiLevelType w:val="multilevel"/>
    <w:tmpl w:val="B198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83370"/>
    <w:multiLevelType w:val="multilevel"/>
    <w:tmpl w:val="FBA2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3E54D4"/>
    <w:multiLevelType w:val="multilevel"/>
    <w:tmpl w:val="3C64524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10"/>
  </w:num>
  <w:num w:numId="2">
    <w:abstractNumId w:val="3"/>
  </w:num>
  <w:num w:numId="3">
    <w:abstractNumId w:val="2"/>
  </w:num>
  <w:num w:numId="4">
    <w:abstractNumId w:val="5"/>
  </w:num>
  <w:num w:numId="5">
    <w:abstractNumId w:val="12"/>
  </w:num>
  <w:num w:numId="6">
    <w:abstractNumId w:val="7"/>
  </w:num>
  <w:num w:numId="7">
    <w:abstractNumId w:val="12"/>
    <w:lvlOverride w:ilvl="0">
      <w:startOverride w:val="1"/>
    </w:lvlOverride>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4"/>
  </w:num>
  <w:num w:numId="12">
    <w:abstractNumId w:val="21"/>
  </w:num>
  <w:num w:numId="13">
    <w:abstractNumId w:val="18"/>
  </w:num>
  <w:num w:numId="14">
    <w:abstractNumId w:val="22"/>
  </w:num>
  <w:num w:numId="15">
    <w:abstractNumId w:val="16"/>
  </w:num>
  <w:num w:numId="16">
    <w:abstractNumId w:val="17"/>
  </w:num>
  <w:num w:numId="17">
    <w:abstractNumId w:val="8"/>
  </w:num>
  <w:num w:numId="18">
    <w:abstractNumId w:val="9"/>
  </w:num>
  <w:num w:numId="19">
    <w:abstractNumId w:val="23"/>
  </w:num>
  <w:num w:numId="20">
    <w:abstractNumId w:val="0"/>
  </w:num>
  <w:num w:numId="21">
    <w:abstractNumId w:val="19"/>
  </w:num>
  <w:num w:numId="22">
    <w:abstractNumId w:val="6"/>
  </w:num>
  <w:num w:numId="23">
    <w:abstractNumId w:val="1"/>
  </w:num>
  <w:num w:numId="24">
    <w:abstractNumId w:val="13"/>
  </w:num>
  <w:num w:numId="25">
    <w:abstractNumId w:val="20"/>
  </w:num>
  <w:num w:numId="26">
    <w:abstractNumId w:val="15"/>
  </w:num>
  <w:num w:numId="27">
    <w:abstractNumId w:val="11"/>
  </w:num>
  <w:num w:numId="2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val="bestFit" w:percent="178"/>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94CC6"/>
    <w:rsid w:val="000E239D"/>
    <w:rsid w:val="001056C3"/>
    <w:rsid w:val="00116A1D"/>
    <w:rsid w:val="00170B98"/>
    <w:rsid w:val="00171293"/>
    <w:rsid w:val="001876A9"/>
    <w:rsid w:val="001B3E05"/>
    <w:rsid w:val="00201528"/>
    <w:rsid w:val="0021030F"/>
    <w:rsid w:val="0025076D"/>
    <w:rsid w:val="00290061"/>
    <w:rsid w:val="00291B50"/>
    <w:rsid w:val="002B4D38"/>
    <w:rsid w:val="002C68A3"/>
    <w:rsid w:val="002D2203"/>
    <w:rsid w:val="002D7EA0"/>
    <w:rsid w:val="002E34AE"/>
    <w:rsid w:val="00317735"/>
    <w:rsid w:val="00332BD9"/>
    <w:rsid w:val="0035621A"/>
    <w:rsid w:val="00375090"/>
    <w:rsid w:val="00396AEB"/>
    <w:rsid w:val="003C0833"/>
    <w:rsid w:val="003C6F20"/>
    <w:rsid w:val="00400A63"/>
    <w:rsid w:val="00431128"/>
    <w:rsid w:val="0044621A"/>
    <w:rsid w:val="004632BE"/>
    <w:rsid w:val="0047062F"/>
    <w:rsid w:val="0049314B"/>
    <w:rsid w:val="004B2EAD"/>
    <w:rsid w:val="004B560A"/>
    <w:rsid w:val="004B73F9"/>
    <w:rsid w:val="004C327D"/>
    <w:rsid w:val="004E7457"/>
    <w:rsid w:val="004F77FB"/>
    <w:rsid w:val="00501AE1"/>
    <w:rsid w:val="00525FEB"/>
    <w:rsid w:val="005311FB"/>
    <w:rsid w:val="00572315"/>
    <w:rsid w:val="005A0330"/>
    <w:rsid w:val="005A4E3D"/>
    <w:rsid w:val="006135E5"/>
    <w:rsid w:val="006C3E71"/>
    <w:rsid w:val="006E09C9"/>
    <w:rsid w:val="006E3717"/>
    <w:rsid w:val="007058F6"/>
    <w:rsid w:val="007074E8"/>
    <w:rsid w:val="0073099F"/>
    <w:rsid w:val="00782455"/>
    <w:rsid w:val="0078549D"/>
    <w:rsid w:val="007B6F07"/>
    <w:rsid w:val="007E4354"/>
    <w:rsid w:val="007F700D"/>
    <w:rsid w:val="00815CB0"/>
    <w:rsid w:val="0081706F"/>
    <w:rsid w:val="00824C79"/>
    <w:rsid w:val="00987813"/>
    <w:rsid w:val="00987C93"/>
    <w:rsid w:val="009D6B03"/>
    <w:rsid w:val="009E0FC2"/>
    <w:rsid w:val="009F751A"/>
    <w:rsid w:val="00A740A5"/>
    <w:rsid w:val="00AE0C77"/>
    <w:rsid w:val="00AF07E9"/>
    <w:rsid w:val="00AF7333"/>
    <w:rsid w:val="00B351DB"/>
    <w:rsid w:val="00B535F7"/>
    <w:rsid w:val="00B62487"/>
    <w:rsid w:val="00B70633"/>
    <w:rsid w:val="00B92AF2"/>
    <w:rsid w:val="00C05B0A"/>
    <w:rsid w:val="00C15DAC"/>
    <w:rsid w:val="00C613A9"/>
    <w:rsid w:val="00CD5480"/>
    <w:rsid w:val="00CE1F4B"/>
    <w:rsid w:val="00CE5770"/>
    <w:rsid w:val="00D1723F"/>
    <w:rsid w:val="00D51529"/>
    <w:rsid w:val="00D71F77"/>
    <w:rsid w:val="00D82C47"/>
    <w:rsid w:val="00D90BA4"/>
    <w:rsid w:val="00D918B9"/>
    <w:rsid w:val="00DE3D18"/>
    <w:rsid w:val="00E34832"/>
    <w:rsid w:val="00E3555A"/>
    <w:rsid w:val="00E50F82"/>
    <w:rsid w:val="00E6118A"/>
    <w:rsid w:val="00E64542"/>
    <w:rsid w:val="00E74097"/>
    <w:rsid w:val="00EB20C0"/>
    <w:rsid w:val="00EF7C97"/>
    <w:rsid w:val="00F64E56"/>
    <w:rsid w:val="00FC7E4B"/>
    <w:rsid w:val="65CA8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E34832"/>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34832"/>
    <w:pPr>
      <w:keepNext/>
      <w:keepLines/>
      <w:spacing w:before="40" w:after="0"/>
      <w:outlineLvl w:val="4"/>
    </w:pPr>
    <w:rPr>
      <w:rFonts w:asciiTheme="majorHAnsi" w:hAnsiTheme="majorHAnsi" w:eastAsiaTheme="majorEastAsia" w:cstheme="majorBidi"/>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96AEB"/>
    <w:rPr>
      <w:rFonts w:asciiTheme="majorHAnsi" w:hAnsiTheme="majorHAnsi" w:eastAsiaTheme="majorEastAsia" w:cstheme="majorBidi"/>
      <w:b/>
      <w:bCs/>
      <w:color w:val="365F91" w:themeColor="accent1" w:themeShade="BF"/>
      <w:sz w:val="28"/>
      <w:szCs w:val="28"/>
    </w:rPr>
  </w:style>
  <w:style w:type="paragraph" w:styleId="Title1sl" w:customStyle="1">
    <w:name w:val="Title 1_sl"/>
    <w:basedOn w:val="Normal"/>
    <w:link w:val="Title1slChar"/>
    <w:qFormat/>
    <w:rsid w:val="00375090"/>
    <w:pPr>
      <w:spacing w:before="360" w:after="240" w:line="240" w:lineRule="auto"/>
    </w:pPr>
    <w:rPr>
      <w:rFonts w:ascii="Gill Sans MT" w:hAnsi="Gill Sans MT"/>
      <w:b/>
      <w:sz w:val="48"/>
      <w:szCs w:val="48"/>
    </w:rPr>
  </w:style>
  <w:style w:type="paragraph" w:styleId="Title2sl" w:customStyle="1">
    <w:name w:val="Title 2_sl"/>
    <w:basedOn w:val="Normal"/>
    <w:link w:val="Title2slChar"/>
    <w:qFormat/>
    <w:rsid w:val="00375090"/>
    <w:pPr>
      <w:spacing w:before="360" w:after="240" w:line="240" w:lineRule="auto"/>
    </w:pPr>
    <w:rPr>
      <w:rFonts w:ascii="Gill Sans MT" w:hAnsi="Gill Sans MT"/>
      <w:b/>
      <w:sz w:val="36"/>
      <w:szCs w:val="36"/>
    </w:rPr>
  </w:style>
  <w:style w:type="character" w:styleId="Title1slChar" w:customStyle="1">
    <w:name w:val="Title 1_sl Char"/>
    <w:basedOn w:val="DefaultParagraphFont"/>
    <w:link w:val="Title1sl"/>
    <w:rsid w:val="00375090"/>
    <w:rPr>
      <w:rFonts w:ascii="Gill Sans MT" w:hAnsi="Gill Sans MT"/>
      <w:b/>
      <w:sz w:val="48"/>
      <w:szCs w:val="48"/>
    </w:rPr>
  </w:style>
  <w:style w:type="paragraph" w:styleId="Subhead1sl" w:customStyle="1">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styleId="Title2slChar" w:customStyle="1">
    <w:name w:val="Title 2_sl Char"/>
    <w:basedOn w:val="DefaultParagraphFont"/>
    <w:link w:val="Title2sl"/>
    <w:rsid w:val="00375090"/>
    <w:rPr>
      <w:rFonts w:ascii="Gill Sans MT" w:hAnsi="Gill Sans MT"/>
      <w:b/>
      <w:sz w:val="36"/>
      <w:szCs w:val="36"/>
    </w:rPr>
  </w:style>
  <w:style w:type="paragraph" w:styleId="Subhead2sl" w:customStyle="1">
    <w:name w:val="Subhead 2_sl"/>
    <w:basedOn w:val="Normal"/>
    <w:link w:val="Subhead2slChar"/>
    <w:qFormat/>
    <w:rsid w:val="00375090"/>
    <w:pPr>
      <w:spacing w:before="240" w:after="120" w:line="240" w:lineRule="auto"/>
    </w:pPr>
    <w:rPr>
      <w:rFonts w:ascii="Gill Sans MT" w:hAnsi="Gill Sans MT"/>
      <w:b/>
      <w:i/>
      <w:sz w:val="24"/>
      <w:szCs w:val="24"/>
    </w:rPr>
  </w:style>
  <w:style w:type="character" w:styleId="Subhead1slChar" w:customStyle="1">
    <w:name w:val="Subhead 1_sl Char"/>
    <w:basedOn w:val="DefaultParagraphFont"/>
    <w:link w:val="Subhead1sl"/>
    <w:rsid w:val="00987C93"/>
    <w:rPr>
      <w:rFonts w:ascii="Gill Sans MT" w:hAnsi="Gill Sans MT"/>
      <w:b/>
      <w:sz w:val="28"/>
      <w:szCs w:val="28"/>
    </w:rPr>
  </w:style>
  <w:style w:type="paragraph" w:styleId="Basiccopysl" w:customStyle="1">
    <w:name w:val="Basic copy_sl"/>
    <w:basedOn w:val="Normal"/>
    <w:link w:val="BasiccopyslChar"/>
    <w:qFormat/>
    <w:rsid w:val="00987C93"/>
    <w:pPr>
      <w:spacing w:after="120"/>
    </w:pPr>
    <w:rPr>
      <w:rFonts w:ascii="Garamond" w:hAnsi="Garamond" w:eastAsia="Garamond" w:cs="Garamond"/>
      <w:sz w:val="25"/>
      <w:szCs w:val="25"/>
    </w:rPr>
  </w:style>
  <w:style w:type="character" w:styleId="Subhead2slChar" w:customStyle="1">
    <w:name w:val="Subhead 2_sl Char"/>
    <w:basedOn w:val="DefaultParagraphFont"/>
    <w:link w:val="Subhead2sl"/>
    <w:rsid w:val="00375090"/>
    <w:rPr>
      <w:rFonts w:ascii="Gill Sans MT" w:hAnsi="Gill Sans MT"/>
      <w:b/>
      <w:i/>
      <w:sz w:val="24"/>
      <w:szCs w:val="24"/>
    </w:rPr>
  </w:style>
  <w:style w:type="paragraph" w:styleId="Bulletsl" w:customStyle="1">
    <w:name w:val="Bullet_sl"/>
    <w:basedOn w:val="Normal"/>
    <w:link w:val="BulletslChar"/>
    <w:qFormat/>
    <w:rsid w:val="00317735"/>
    <w:pPr>
      <w:numPr>
        <w:numId w:val="1"/>
      </w:numPr>
      <w:spacing w:after="120" w:line="240" w:lineRule="auto"/>
    </w:pPr>
    <w:rPr>
      <w:rFonts w:ascii="Garamond" w:hAnsi="Garamond"/>
      <w:sz w:val="24"/>
      <w:szCs w:val="24"/>
    </w:rPr>
  </w:style>
  <w:style w:type="character" w:styleId="BasiccopyslChar" w:customStyle="1">
    <w:name w:val="Basic copy_sl Char"/>
    <w:basedOn w:val="DefaultParagraphFont"/>
    <w:link w:val="Basiccopysl"/>
    <w:rsid w:val="00987C93"/>
    <w:rPr>
      <w:rFonts w:ascii="Garamond" w:hAnsi="Garamond" w:eastAsia="Garamond" w:cs="Garamond"/>
      <w:sz w:val="25"/>
      <w:szCs w:val="25"/>
    </w:rPr>
  </w:style>
  <w:style w:type="paragraph" w:styleId="Numberedlistsl" w:customStyle="1">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styleId="BulletslChar" w:customStyle="1">
    <w:name w:val="Bullet_sl Char"/>
    <w:basedOn w:val="DefaultParagraphFont"/>
    <w:link w:val="Bulletsl"/>
    <w:rsid w:val="00317735"/>
    <w:rPr>
      <w:rFonts w:ascii="Garamond" w:hAnsi="Garamond"/>
      <w:sz w:val="24"/>
      <w:szCs w:val="24"/>
    </w:rPr>
  </w:style>
  <w:style w:type="paragraph" w:styleId="Sub-bulletsl" w:customStyle="1">
    <w:name w:val="Sub-bullet_sl"/>
    <w:basedOn w:val="Bulletsl"/>
    <w:link w:val="Sub-bulletslChar"/>
    <w:qFormat/>
    <w:rsid w:val="00317735"/>
    <w:pPr>
      <w:numPr>
        <w:ilvl w:val="1"/>
        <w:numId w:val="4"/>
      </w:numPr>
    </w:pPr>
  </w:style>
  <w:style w:type="character" w:styleId="NumberedlistslChar" w:customStyle="1">
    <w:name w:val="Numbered list_sl Char"/>
    <w:basedOn w:val="DefaultParagraphFont"/>
    <w:link w:val="Numberedlistsl"/>
    <w:rsid w:val="00317735"/>
    <w:rPr>
      <w:rFonts w:ascii="Garamond" w:hAnsi="Garamond"/>
      <w:sz w:val="24"/>
      <w:szCs w:val="24"/>
    </w:rPr>
  </w:style>
  <w:style w:type="character" w:styleId="Sub-bulletslChar" w:customStyle="1">
    <w:name w:val="Sub-bullet_sl Char"/>
    <w:basedOn w:val="BulletslChar"/>
    <w:link w:val="Sub-bulletsl"/>
    <w:rsid w:val="00317735"/>
    <w:rPr>
      <w:rFonts w:ascii="Garamond" w:hAnsi="Garamond"/>
      <w:sz w:val="24"/>
      <w:szCs w:val="24"/>
    </w:rPr>
  </w:style>
  <w:style w:type="paragraph" w:styleId="Outlinelevel2" w:customStyle="1">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styleId="Outlinelevel3" w:customStyle="1">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styleId="Outlinelevel2Char" w:customStyle="1">
    <w:name w:val="Outline level 2 Char"/>
    <w:basedOn w:val="DefaultParagraphFont"/>
    <w:link w:val="Outlinelevel2"/>
    <w:rsid w:val="00317735"/>
    <w:rPr>
      <w:rFonts w:ascii="Garamond" w:hAnsi="Garamond"/>
      <w:sz w:val="24"/>
      <w:szCs w:val="24"/>
    </w:rPr>
  </w:style>
  <w:style w:type="paragraph" w:styleId="Outlinelevel4" w:customStyle="1">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styleId="Outlinelevel3Char" w:customStyle="1">
    <w:name w:val="Outline level 3 Char"/>
    <w:basedOn w:val="DefaultParagraphFont"/>
    <w:link w:val="Outlinelevel3"/>
    <w:rsid w:val="00317735"/>
    <w:rPr>
      <w:rFonts w:ascii="Garamond" w:hAnsi="Garamond"/>
      <w:sz w:val="24"/>
      <w:szCs w:val="24"/>
    </w:rPr>
  </w:style>
  <w:style w:type="paragraph" w:styleId="Outlinelevel1" w:customStyle="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styleId="Outlinelevel4Char" w:customStyle="1">
    <w:name w:val="Outline level 4 Char"/>
    <w:basedOn w:val="DefaultParagraphFont"/>
    <w:link w:val="Outlinelevel4"/>
    <w:rsid w:val="002C68A3"/>
    <w:rPr>
      <w:rFonts w:ascii="Garamond" w:hAnsi="Garamond"/>
      <w:sz w:val="24"/>
      <w:szCs w:val="24"/>
    </w:rPr>
  </w:style>
  <w:style w:type="character" w:styleId="Outlinelevel1Char" w:customStyle="1">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styleId="Hyperlinksl" w:customStyle="1">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styleId="HyperlinkslChar" w:customStyle="1">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styleId="HeaderChar" w:customStyle="1">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styleId="FooterChar" w:customStyle="1">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8549D"/>
    <w:rPr>
      <w:rFonts w:ascii="Tahoma" w:hAnsi="Tahoma" w:cs="Tahoma"/>
      <w:sz w:val="16"/>
      <w:szCs w:val="16"/>
    </w:rPr>
  </w:style>
  <w:style w:type="paragraph" w:styleId="Title3sl" w:customStyle="1">
    <w:name w:val="Title 3_sl"/>
    <w:basedOn w:val="Subhead1sl"/>
    <w:link w:val="Title3slChar"/>
    <w:qFormat/>
    <w:rsid w:val="00375090"/>
    <w:pPr>
      <w:spacing w:after="240"/>
    </w:pPr>
    <w:rPr>
      <w:rFonts w:ascii="Garamond" w:hAnsi="Garamond"/>
      <w:sz w:val="36"/>
      <w:szCs w:val="36"/>
    </w:rPr>
  </w:style>
  <w:style w:type="paragraph" w:styleId="Subhead3sl" w:customStyle="1">
    <w:name w:val="Subhead 3_sl"/>
    <w:basedOn w:val="Basiccopysl"/>
    <w:link w:val="Subhead3slChar"/>
    <w:qFormat/>
    <w:rsid w:val="00375090"/>
    <w:pPr>
      <w:spacing w:before="360"/>
    </w:pPr>
    <w:rPr>
      <w:b/>
    </w:rPr>
  </w:style>
  <w:style w:type="character" w:styleId="Title3slChar" w:customStyle="1">
    <w:name w:val="Title 3_sl Char"/>
    <w:basedOn w:val="Subhead1slChar"/>
    <w:link w:val="Title3sl"/>
    <w:rsid w:val="00375090"/>
    <w:rPr>
      <w:rFonts w:ascii="Garamond" w:hAnsi="Garamond"/>
      <w:b/>
      <w:sz w:val="36"/>
      <w:szCs w:val="36"/>
    </w:rPr>
  </w:style>
  <w:style w:type="character" w:styleId="Subhead3slChar" w:customStyle="1">
    <w:name w:val="Subhead 3_sl Char"/>
    <w:basedOn w:val="BasiccopyslChar"/>
    <w:link w:val="Subhead3sl"/>
    <w:rsid w:val="00375090"/>
    <w:rPr>
      <w:rFonts w:ascii="Garamond" w:hAnsi="Garamond" w:eastAsia="Garamond" w:cs="Garamond"/>
      <w:b/>
      <w:sz w:val="24"/>
      <w:szCs w:val="24"/>
    </w:rPr>
  </w:style>
  <w:style w:type="paragraph" w:styleId="Numberedlistwroomforanswerssl" w:customStyle="1">
    <w:name w:val="Numbered list w/ room for answers_sl"/>
    <w:basedOn w:val="Numberedlistsl"/>
    <w:qFormat/>
    <w:rsid w:val="002E34AE"/>
    <w:pPr>
      <w:spacing w:after="1680"/>
      <w:ind w:left="36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styleId="CommentTextChar" w:customStyle="1">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styleId="CommentSubjectChar" w:customStyle="1">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ListParagraph">
    <w:name w:val="List Paragraph"/>
    <w:basedOn w:val="Normal"/>
    <w:uiPriority w:val="34"/>
    <w:qFormat/>
    <w:rsid w:val="002E34AE"/>
    <w:pPr>
      <w:spacing w:after="0" w:line="240" w:lineRule="auto"/>
      <w:ind w:left="720"/>
      <w:contextualSpacing/>
    </w:pPr>
    <w:rPr>
      <w:rFonts w:ascii="Calibri" w:hAnsi="Calibri" w:cs="Calibri"/>
    </w:rPr>
  </w:style>
  <w:style w:type="character" w:styleId="Heading4Char" w:customStyle="1">
    <w:name w:val="Heading 4 Char"/>
    <w:basedOn w:val="DefaultParagraphFont"/>
    <w:link w:val="Heading4"/>
    <w:uiPriority w:val="9"/>
    <w:semiHidden/>
    <w:rsid w:val="00E34832"/>
    <w:rPr>
      <w:rFonts w:asciiTheme="majorHAnsi" w:hAnsiTheme="majorHAnsi"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E34832"/>
    <w:rPr>
      <w:rFonts w:asciiTheme="majorHAnsi" w:hAnsiTheme="majorHAnsi" w:eastAsiaTheme="majorEastAsia" w:cstheme="majorBidi"/>
      <w:color w:val="365F91" w:themeColor="accent1" w:themeShade="BF"/>
    </w:rPr>
  </w:style>
  <w:style w:type="paragraph" w:styleId="NormalWeb">
    <w:name w:val="Normal (Web)"/>
    <w:basedOn w:val="Normal"/>
    <w:uiPriority w:val="99"/>
    <w:unhideWhenUsed/>
    <w:rsid w:val="00E34832"/>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E34832"/>
    <w:rPr>
      <w:i/>
      <w:iCs/>
    </w:rPr>
  </w:style>
  <w:style w:type="character" w:styleId="Strong">
    <w:name w:val="Strong"/>
    <w:basedOn w:val="DefaultParagraphFont"/>
    <w:uiPriority w:val="22"/>
    <w:qFormat/>
    <w:rsid w:val="00E34832"/>
    <w:rPr>
      <w:b/>
      <w:bCs/>
    </w:rPr>
  </w:style>
  <w:style w:type="character" w:styleId="contentsubtitle" w:customStyle="1">
    <w:name w:val="contentsubtitle"/>
    <w:basedOn w:val="DefaultParagraphFont"/>
    <w:rsid w:val="002D7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837482">
      <w:bodyDiv w:val="1"/>
      <w:marLeft w:val="0"/>
      <w:marRight w:val="0"/>
      <w:marTop w:val="0"/>
      <w:marBottom w:val="0"/>
      <w:divBdr>
        <w:top w:val="none" w:sz="0" w:space="0" w:color="auto"/>
        <w:left w:val="none" w:sz="0" w:space="0" w:color="auto"/>
        <w:bottom w:val="none" w:sz="0" w:space="0" w:color="auto"/>
        <w:right w:val="none" w:sz="0" w:space="0" w:color="auto"/>
      </w:divBdr>
    </w:div>
    <w:div w:id="637805520">
      <w:bodyDiv w:val="1"/>
      <w:marLeft w:val="0"/>
      <w:marRight w:val="0"/>
      <w:marTop w:val="0"/>
      <w:marBottom w:val="0"/>
      <w:divBdr>
        <w:top w:val="none" w:sz="0" w:space="0" w:color="auto"/>
        <w:left w:val="none" w:sz="0" w:space="0" w:color="auto"/>
        <w:bottom w:val="none" w:sz="0" w:space="0" w:color="auto"/>
        <w:right w:val="none" w:sz="0" w:space="0" w:color="auto"/>
      </w:divBdr>
    </w:div>
    <w:div w:id="747967797">
      <w:bodyDiv w:val="1"/>
      <w:marLeft w:val="0"/>
      <w:marRight w:val="0"/>
      <w:marTop w:val="0"/>
      <w:marBottom w:val="0"/>
      <w:divBdr>
        <w:top w:val="none" w:sz="0" w:space="0" w:color="auto"/>
        <w:left w:val="none" w:sz="0" w:space="0" w:color="auto"/>
        <w:bottom w:val="none" w:sz="0" w:space="0" w:color="auto"/>
        <w:right w:val="none" w:sz="0" w:space="0" w:color="auto"/>
      </w:divBdr>
    </w:div>
    <w:div w:id="811100427">
      <w:bodyDiv w:val="1"/>
      <w:marLeft w:val="0"/>
      <w:marRight w:val="0"/>
      <w:marTop w:val="0"/>
      <w:marBottom w:val="0"/>
      <w:divBdr>
        <w:top w:val="none" w:sz="0" w:space="0" w:color="auto"/>
        <w:left w:val="none" w:sz="0" w:space="0" w:color="auto"/>
        <w:bottom w:val="none" w:sz="0" w:space="0" w:color="auto"/>
        <w:right w:val="none" w:sz="0" w:space="0" w:color="auto"/>
      </w:divBdr>
    </w:div>
    <w:div w:id="1136869657">
      <w:bodyDiv w:val="1"/>
      <w:marLeft w:val="0"/>
      <w:marRight w:val="0"/>
      <w:marTop w:val="0"/>
      <w:marBottom w:val="0"/>
      <w:divBdr>
        <w:top w:val="none" w:sz="0" w:space="0" w:color="auto"/>
        <w:left w:val="none" w:sz="0" w:space="0" w:color="auto"/>
        <w:bottom w:val="none" w:sz="0" w:space="0" w:color="auto"/>
        <w:right w:val="none" w:sz="0" w:space="0" w:color="auto"/>
      </w:divBdr>
    </w:div>
    <w:div w:id="154706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glossaryDocument" Target="/word/glossary/document.xml" Id="Rf62d8ab499ec405b"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f878eec-3f9c-4109-971d-9f9de5068089}"/>
      </w:docPartPr>
      <w:docPartBody>
        <w:p w14:paraId="7ABC0D7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85C39-20BA-49AD-AEB3-B28E63FBF6EA}">
  <ds:schemaRefs>
    <ds:schemaRef ds:uri="http://schemas.microsoft.com/office/2006/metadata/properties"/>
    <ds:schemaRef ds:uri="http://schemas.microsoft.com/office/infopath/2007/PartnerControls"/>
    <ds:schemaRef ds:uri="9af227aa-5493-4bfe-a302-9771bcf92926"/>
  </ds:schemaRefs>
</ds:datastoreItem>
</file>

<file path=customXml/itemProps2.xml><?xml version="1.0" encoding="utf-8"?>
<ds:datastoreItem xmlns:ds="http://schemas.openxmlformats.org/officeDocument/2006/customXml" ds:itemID="{5AC8FF13-3B7B-418A-BCC8-0AD5CCB5F394}"/>
</file>

<file path=customXml/itemProps3.xml><?xml version="1.0" encoding="utf-8"?>
<ds:datastoreItem xmlns:ds="http://schemas.openxmlformats.org/officeDocument/2006/customXml" ds:itemID="{A573E5A9-CBFE-4D5D-B300-BE7DD726CEC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with copyright + page number</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3</cp:revision>
  <dcterms:created xsi:type="dcterms:W3CDTF">2020-08-04T03:50:00Z</dcterms:created>
  <dcterms:modified xsi:type="dcterms:W3CDTF">2020-10-08T19:40:14Z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