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03CE7BD" w:rsidR="005311FB" w:rsidRPr="007F5169" w:rsidRDefault="003C45D8" w:rsidP="007F5169">
      <w:pPr>
        <w:pStyle w:val="Title1sl"/>
        <w:pBdr>
          <w:bottom w:val="single" w:sz="12" w:space="1" w:color="auto"/>
        </w:pBdr>
        <w:spacing w:before="240"/>
        <w:rPr>
          <w:sz w:val="40"/>
          <w:szCs w:val="40"/>
        </w:rPr>
      </w:pPr>
      <w:r w:rsidRPr="007F5169">
        <w:rPr>
          <w:i/>
          <w:iCs/>
          <w:sz w:val="40"/>
          <w:szCs w:val="40"/>
        </w:rPr>
        <w:t>Marbury v. Madison</w:t>
      </w:r>
      <w:r w:rsidRPr="007F5169">
        <w:rPr>
          <w:sz w:val="40"/>
          <w:szCs w:val="40"/>
        </w:rPr>
        <w:t xml:space="preserve"> </w:t>
      </w:r>
      <w:r w:rsidR="00F64E56" w:rsidRPr="007F5169">
        <w:rPr>
          <w:sz w:val="40"/>
          <w:szCs w:val="40"/>
        </w:rPr>
        <w:t>/ Background</w:t>
      </w:r>
      <w:r w:rsidR="00987C93" w:rsidRPr="007F5169">
        <w:rPr>
          <w:sz w:val="40"/>
          <w:szCs w:val="40"/>
        </w:rPr>
        <w:t xml:space="preserve"> </w:t>
      </w:r>
      <w:r w:rsidR="00987C93" w:rsidRPr="007F5169">
        <w:rPr>
          <w:b w:val="0"/>
          <w:bCs/>
          <w:sz w:val="40"/>
          <w:szCs w:val="40"/>
        </w:rPr>
        <w:sym w:font="Symbol" w:char="F0B7"/>
      </w:r>
      <w:r w:rsidR="00987C93" w:rsidRPr="007F5169">
        <w:rPr>
          <w:b w:val="0"/>
          <w:bCs/>
          <w:sz w:val="40"/>
          <w:szCs w:val="40"/>
        </w:rPr>
        <w:sym w:font="Symbol" w:char="F0B7"/>
      </w:r>
    </w:p>
    <w:p w14:paraId="49BA025B" w14:textId="56772F46" w:rsidR="0098032C" w:rsidRPr="0098032C" w:rsidRDefault="0098032C" w:rsidP="007F5169">
      <w:pPr>
        <w:pStyle w:val="Basiccopysl"/>
      </w:pPr>
      <w:r w:rsidRPr="0098032C">
        <w:t xml:space="preserve">Thomas Jefferson, a member of the </w:t>
      </w:r>
      <w:r w:rsidR="00544058">
        <w:t>Democratic-</w:t>
      </w:r>
      <w:r w:rsidRPr="0098032C">
        <w:t xml:space="preserve">Republican Party, won the </w:t>
      </w:r>
      <w:r w:rsidR="007F5169">
        <w:t xml:space="preserve">presidential </w:t>
      </w:r>
      <w:r w:rsidRPr="0098032C">
        <w:t xml:space="preserve">election of 1800. Before Jefferson took office, John Adams, the outgoing </w:t>
      </w:r>
      <w:r w:rsidR="007F5169">
        <w:t>p</w:t>
      </w:r>
      <w:r w:rsidRPr="0098032C">
        <w:t>resident who was a Federalist, quickly appointed 58 members of his own party to fill government jobs created by Congress. He did this because he wanted people from his political party in office.</w:t>
      </w:r>
    </w:p>
    <w:p w14:paraId="7FF92762" w14:textId="237190BD" w:rsidR="0098032C" w:rsidRPr="0098032C" w:rsidRDefault="0098032C" w:rsidP="007F5169">
      <w:pPr>
        <w:pStyle w:val="Basiccopysl"/>
      </w:pPr>
      <w:r w:rsidRPr="0098032C">
        <w:t xml:space="preserve">It was the responsibility of </w:t>
      </w:r>
      <w:r w:rsidR="007F5169">
        <w:t xml:space="preserve">President </w:t>
      </w:r>
      <w:r w:rsidRPr="0098032C">
        <w:t>Adams</w:t>
      </w:r>
      <w:r w:rsidR="007F5169">
        <w:t>’</w:t>
      </w:r>
      <w:r w:rsidRPr="0098032C">
        <w:t xml:space="preserve"> </w:t>
      </w:r>
      <w:r w:rsidR="007F5169">
        <w:t>s</w:t>
      </w:r>
      <w:r w:rsidRPr="0098032C">
        <w:t xml:space="preserve">ecretary of </w:t>
      </w:r>
      <w:r w:rsidR="007F5169">
        <w:t>s</w:t>
      </w:r>
      <w:r w:rsidRPr="0098032C">
        <w:t>tate, John Marshall, to finish the paperwork and give it to each of the newly appointed officials. Although Marshall signed and sealed all of the papers, he failed to deliver 17 of them to the appointees. Marshall thought his successor would finish the job. But when</w:t>
      </w:r>
      <w:r w:rsidR="007F5169">
        <w:t xml:space="preserve"> Thomas</w:t>
      </w:r>
      <w:r w:rsidRPr="0098032C">
        <w:t xml:space="preserve"> Jefferson became </w:t>
      </w:r>
      <w:r w:rsidR="007F5169">
        <w:t>p</w:t>
      </w:r>
      <w:r w:rsidRPr="0098032C">
        <w:t xml:space="preserve">resident, he told his new </w:t>
      </w:r>
      <w:r w:rsidR="007F5169">
        <w:t>s</w:t>
      </w:r>
      <w:r w:rsidRPr="0098032C">
        <w:t xml:space="preserve">ecretary of </w:t>
      </w:r>
      <w:r w:rsidR="007F5169">
        <w:t>s</w:t>
      </w:r>
      <w:r w:rsidRPr="0098032C">
        <w:t xml:space="preserve">tate, James Madison, not to deliver some of the papers. Those </w:t>
      </w:r>
      <w:r w:rsidR="00E56A26">
        <w:t>people</w:t>
      </w:r>
      <w:r w:rsidRPr="0098032C">
        <w:t xml:space="preserve"> could</w:t>
      </w:r>
      <w:r w:rsidR="00AC6758">
        <w:t xml:space="preserve"> not</w:t>
      </w:r>
      <w:r w:rsidRPr="0098032C">
        <w:t xml:space="preserve"> take office until they actually had their papers in hand.</w:t>
      </w:r>
    </w:p>
    <w:p w14:paraId="1468E200" w14:textId="2957CCD5" w:rsidR="0098032C" w:rsidRPr="0098032C" w:rsidRDefault="007F5169" w:rsidP="007F5169">
      <w:pPr>
        <w:pStyle w:val="Basiccopysl"/>
      </w:pPr>
      <w:r>
        <w:t xml:space="preserve">President </w:t>
      </w:r>
      <w:r w:rsidR="0098032C" w:rsidRPr="0098032C">
        <w:t xml:space="preserve">Adams had appointed William Marbury to be justice of the peace of the District of Columbia. Marbury was one of the last-minute appointees who did not receive his papers. He sued </w:t>
      </w:r>
      <w:r>
        <w:t xml:space="preserve">President </w:t>
      </w:r>
      <w:r w:rsidR="0098032C" w:rsidRPr="0098032C">
        <w:t>Jefferson</w:t>
      </w:r>
      <w:r>
        <w:t>’</w:t>
      </w:r>
      <w:r w:rsidR="0098032C" w:rsidRPr="0098032C">
        <w:t xml:space="preserve">s </w:t>
      </w:r>
      <w:r>
        <w:t>s</w:t>
      </w:r>
      <w:r w:rsidR="0098032C" w:rsidRPr="0098032C">
        <w:t xml:space="preserve">ecretary of </w:t>
      </w:r>
      <w:r>
        <w:t>s</w:t>
      </w:r>
      <w:r w:rsidR="0098032C" w:rsidRPr="0098032C">
        <w:t>tate, James Madison, and asked the Supreme Court of the United States to issue a court order</w:t>
      </w:r>
      <w:r w:rsidR="00AC6758">
        <w:t>, called a writ,</w:t>
      </w:r>
      <w:r w:rsidR="0098032C" w:rsidRPr="0098032C">
        <w:t xml:space="preserve"> requiring that Madison deliver his papers.</w:t>
      </w:r>
    </w:p>
    <w:p w14:paraId="16B2D62C" w14:textId="121E40EB" w:rsidR="0098032C" w:rsidRPr="0098032C" w:rsidRDefault="0098032C" w:rsidP="007F5169">
      <w:pPr>
        <w:pStyle w:val="Basiccopysl"/>
      </w:pPr>
      <w:r w:rsidRPr="0098032C">
        <w:t>Marbury argued that he was entitled to the job and that the Judiciary Act of 1789 gave the Supreme Court of the United States original jurisdiction to issue a </w:t>
      </w:r>
      <w:r w:rsidRPr="0098032C">
        <w:rPr>
          <w:rStyle w:val="Emphasis"/>
          <w:color w:val="000000"/>
        </w:rPr>
        <w:t>writ of mandamus</w:t>
      </w:r>
      <w:r w:rsidRPr="0098032C">
        <w:t xml:space="preserve">, which is the type of court order he needed. When the case came before the Court, John Marshall—the person who had failed to deliver the commission in the first place—was the new </w:t>
      </w:r>
      <w:r w:rsidR="007F5169">
        <w:t>c</w:t>
      </w:r>
      <w:r w:rsidRPr="0098032C">
        <w:t xml:space="preserve">hief </w:t>
      </w:r>
      <w:r w:rsidR="007F5169">
        <w:t>j</w:t>
      </w:r>
      <w:r w:rsidRPr="0098032C">
        <w:t xml:space="preserve">ustice. </w:t>
      </w:r>
      <w:bookmarkStart w:id="0" w:name="_Hlk46772276"/>
      <w:r w:rsidRPr="0098032C">
        <w:t xml:space="preserve">The Court had to decide whether Marbury was entitled to his job, and if so, whether the Judiciary Act of 1789 gave the Court the authority it needed to force the </w:t>
      </w:r>
      <w:r w:rsidR="007F5169">
        <w:t>s</w:t>
      </w:r>
      <w:r w:rsidRPr="0098032C">
        <w:t xml:space="preserve">ecretary of </w:t>
      </w:r>
      <w:r w:rsidR="007F5169">
        <w:t>s</w:t>
      </w:r>
      <w:r w:rsidRPr="0098032C">
        <w:t>tate to appoint Marbury to his position.</w:t>
      </w:r>
      <w:bookmarkEnd w:id="0"/>
    </w:p>
    <w:p w14:paraId="0DDE32D8" w14:textId="77777777" w:rsidR="00D2286C" w:rsidRPr="004D5B39" w:rsidRDefault="00D2286C" w:rsidP="00C7204F">
      <w:pPr>
        <w:pStyle w:val="Subhead1sl"/>
      </w:pPr>
      <w:r w:rsidRPr="004D5B39">
        <w:t>Questions to Consider</w:t>
      </w:r>
    </w:p>
    <w:p w14:paraId="08F21704" w14:textId="55BF0DC9" w:rsidR="00854A71" w:rsidRPr="00854A71" w:rsidRDefault="00854A71" w:rsidP="007F5169">
      <w:pPr>
        <w:numPr>
          <w:ilvl w:val="0"/>
          <w:numId w:val="14"/>
        </w:numPr>
        <w:shd w:val="clear" w:color="auto" w:fill="FFFFFF"/>
        <w:tabs>
          <w:tab w:val="clear" w:pos="720"/>
          <w:tab w:val="num" w:pos="360"/>
        </w:tabs>
        <w:spacing w:after="1320" w:line="300" w:lineRule="atLeast"/>
        <w:ind w:left="360"/>
        <w:rPr>
          <w:rFonts w:ascii="Garamond" w:eastAsia="Times New Roman" w:hAnsi="Garamond" w:cs="Times New Roman"/>
          <w:color w:val="000000"/>
          <w:sz w:val="24"/>
          <w:szCs w:val="24"/>
        </w:rPr>
      </w:pPr>
      <w:r w:rsidRPr="00854A71">
        <w:rPr>
          <w:rFonts w:ascii="Garamond" w:eastAsia="Times New Roman" w:hAnsi="Garamond" w:cs="Times New Roman"/>
          <w:color w:val="000000"/>
          <w:sz w:val="24"/>
          <w:szCs w:val="24"/>
        </w:rPr>
        <w:t xml:space="preserve">Keeping in mind his role in the original appointments, who </w:t>
      </w:r>
      <w:r w:rsidR="00AC6758">
        <w:rPr>
          <w:rFonts w:ascii="Garamond" w:eastAsia="Times New Roman" w:hAnsi="Garamond" w:cs="Times New Roman"/>
          <w:color w:val="000000"/>
          <w:sz w:val="24"/>
          <w:szCs w:val="24"/>
        </w:rPr>
        <w:t>might</w:t>
      </w:r>
      <w:r w:rsidRPr="00854A71">
        <w:rPr>
          <w:rFonts w:ascii="Garamond" w:eastAsia="Times New Roman" w:hAnsi="Garamond" w:cs="Times New Roman"/>
          <w:color w:val="000000"/>
          <w:sz w:val="24"/>
          <w:szCs w:val="24"/>
        </w:rPr>
        <w:t xml:space="preserve"> Chief Justice Marshall </w:t>
      </w:r>
      <w:r w:rsidR="00AC6758">
        <w:rPr>
          <w:rFonts w:ascii="Garamond" w:eastAsia="Times New Roman" w:hAnsi="Garamond" w:cs="Times New Roman"/>
          <w:color w:val="000000"/>
          <w:sz w:val="24"/>
          <w:szCs w:val="24"/>
        </w:rPr>
        <w:t xml:space="preserve">be more </w:t>
      </w:r>
      <w:r w:rsidRPr="00854A71">
        <w:rPr>
          <w:rFonts w:ascii="Garamond" w:eastAsia="Times New Roman" w:hAnsi="Garamond" w:cs="Times New Roman"/>
          <w:color w:val="000000"/>
          <w:sz w:val="24"/>
          <w:szCs w:val="24"/>
        </w:rPr>
        <w:t>likely to side with, Marbury or Madison? Why? </w:t>
      </w:r>
    </w:p>
    <w:p w14:paraId="4795E25F" w14:textId="77777777" w:rsidR="00AC6758" w:rsidRDefault="00854A71" w:rsidP="007F5169">
      <w:pPr>
        <w:numPr>
          <w:ilvl w:val="0"/>
          <w:numId w:val="14"/>
        </w:numPr>
        <w:shd w:val="clear" w:color="auto" w:fill="FFFFFF"/>
        <w:tabs>
          <w:tab w:val="clear" w:pos="720"/>
          <w:tab w:val="num" w:pos="360"/>
        </w:tabs>
        <w:spacing w:after="1320" w:line="300" w:lineRule="atLeast"/>
        <w:ind w:left="360"/>
        <w:rPr>
          <w:rFonts w:ascii="Garamond" w:eastAsia="Times New Roman" w:hAnsi="Garamond" w:cs="Times New Roman"/>
          <w:color w:val="000000"/>
          <w:sz w:val="24"/>
          <w:szCs w:val="24"/>
        </w:rPr>
      </w:pPr>
      <w:r w:rsidRPr="00854A71">
        <w:rPr>
          <w:rFonts w:ascii="Garamond" w:eastAsia="Times New Roman" w:hAnsi="Garamond" w:cs="Times New Roman"/>
          <w:color w:val="000000"/>
          <w:sz w:val="24"/>
          <w:szCs w:val="24"/>
        </w:rPr>
        <w:t xml:space="preserve">If the Court decided that Marbury was entitled to his job, how could it be sure that the executive branch would deliver it? Does the Court have the power to </w:t>
      </w:r>
      <w:r w:rsidR="00AC6758">
        <w:rPr>
          <w:rFonts w:ascii="Garamond" w:eastAsia="Times New Roman" w:hAnsi="Garamond" w:cs="Times New Roman"/>
          <w:color w:val="000000"/>
          <w:sz w:val="24"/>
          <w:szCs w:val="24"/>
        </w:rPr>
        <w:t xml:space="preserve">enforce its decisions and </w:t>
      </w:r>
      <w:r w:rsidRPr="00854A71">
        <w:rPr>
          <w:rFonts w:ascii="Garamond" w:eastAsia="Times New Roman" w:hAnsi="Garamond" w:cs="Times New Roman"/>
          <w:color w:val="000000"/>
          <w:sz w:val="24"/>
          <w:szCs w:val="24"/>
        </w:rPr>
        <w:t xml:space="preserve">force compliance? </w:t>
      </w:r>
    </w:p>
    <w:p w14:paraId="4A6996FF" w14:textId="05C09161" w:rsidR="00854A71" w:rsidRPr="00854A71" w:rsidRDefault="00854A71" w:rsidP="007F5169">
      <w:pPr>
        <w:numPr>
          <w:ilvl w:val="0"/>
          <w:numId w:val="14"/>
        </w:numPr>
        <w:shd w:val="clear" w:color="auto" w:fill="FFFFFF"/>
        <w:tabs>
          <w:tab w:val="clear" w:pos="720"/>
          <w:tab w:val="num" w:pos="360"/>
        </w:tabs>
        <w:spacing w:after="1320" w:line="300" w:lineRule="atLeast"/>
        <w:ind w:left="360"/>
        <w:rPr>
          <w:rFonts w:ascii="Garamond" w:eastAsia="Times New Roman" w:hAnsi="Garamond" w:cs="Times New Roman"/>
          <w:color w:val="000000"/>
          <w:sz w:val="24"/>
          <w:szCs w:val="24"/>
        </w:rPr>
      </w:pPr>
      <w:r w:rsidRPr="00854A71">
        <w:rPr>
          <w:rFonts w:ascii="Garamond" w:eastAsia="Times New Roman" w:hAnsi="Garamond" w:cs="Times New Roman"/>
          <w:color w:val="000000"/>
          <w:sz w:val="24"/>
          <w:szCs w:val="24"/>
        </w:rPr>
        <w:lastRenderedPageBreak/>
        <w:t xml:space="preserve">What </w:t>
      </w:r>
      <w:r w:rsidR="00AC6758">
        <w:rPr>
          <w:rFonts w:ascii="Garamond" w:eastAsia="Times New Roman" w:hAnsi="Garamond" w:cs="Times New Roman"/>
          <w:color w:val="000000"/>
          <w:sz w:val="24"/>
          <w:szCs w:val="24"/>
        </w:rPr>
        <w:t>might</w:t>
      </w:r>
      <w:r w:rsidRPr="00854A71">
        <w:rPr>
          <w:rFonts w:ascii="Garamond" w:eastAsia="Times New Roman" w:hAnsi="Garamond" w:cs="Times New Roman"/>
          <w:color w:val="000000"/>
          <w:sz w:val="24"/>
          <w:szCs w:val="24"/>
        </w:rPr>
        <w:t xml:space="preserve"> happen if the Court issued the writ, but the executive branch refused to comply? </w:t>
      </w:r>
    </w:p>
    <w:p w14:paraId="4FD2845C" w14:textId="0C50A5AB" w:rsidR="00854A71" w:rsidRDefault="00854A71" w:rsidP="007F5169">
      <w:pPr>
        <w:numPr>
          <w:ilvl w:val="0"/>
          <w:numId w:val="14"/>
        </w:numPr>
        <w:shd w:val="clear" w:color="auto" w:fill="FFFFFF"/>
        <w:tabs>
          <w:tab w:val="clear" w:pos="720"/>
          <w:tab w:val="num" w:pos="360"/>
        </w:tabs>
        <w:spacing w:after="240" w:line="300" w:lineRule="atLeast"/>
        <w:ind w:left="360"/>
        <w:rPr>
          <w:rFonts w:ascii="Garamond" w:eastAsia="Times New Roman" w:hAnsi="Garamond" w:cs="Times New Roman"/>
          <w:color w:val="000000"/>
          <w:sz w:val="24"/>
          <w:szCs w:val="24"/>
        </w:rPr>
      </w:pPr>
      <w:r w:rsidRPr="00854A71">
        <w:rPr>
          <w:rFonts w:ascii="Garamond" w:eastAsia="Times New Roman" w:hAnsi="Garamond" w:cs="Times New Roman"/>
          <w:color w:val="000000"/>
          <w:sz w:val="24"/>
          <w:szCs w:val="24"/>
        </w:rPr>
        <w:t xml:space="preserve">According to Article </w:t>
      </w:r>
      <w:r w:rsidR="007F5169">
        <w:rPr>
          <w:rFonts w:ascii="Garamond" w:eastAsia="Times New Roman" w:hAnsi="Garamond" w:cs="Times New Roman"/>
          <w:color w:val="000000"/>
          <w:sz w:val="24"/>
          <w:szCs w:val="24"/>
        </w:rPr>
        <w:t>III</w:t>
      </w:r>
      <w:r w:rsidRPr="00854A71">
        <w:rPr>
          <w:rFonts w:ascii="Garamond" w:eastAsia="Times New Roman" w:hAnsi="Garamond" w:cs="Times New Roman"/>
          <w:color w:val="000000"/>
          <w:sz w:val="24"/>
          <w:szCs w:val="24"/>
        </w:rPr>
        <w:t>, Section 2 of the Constitution</w:t>
      </w:r>
      <w:r w:rsidR="00544058">
        <w:rPr>
          <w:rFonts w:ascii="Garamond" w:eastAsia="Times New Roman" w:hAnsi="Garamond" w:cs="Times New Roman"/>
          <w:color w:val="000000"/>
          <w:sz w:val="24"/>
          <w:szCs w:val="24"/>
        </w:rPr>
        <w:t xml:space="preserve"> (see below)</w:t>
      </w:r>
      <w:r w:rsidRPr="00854A71">
        <w:rPr>
          <w:rFonts w:ascii="Garamond" w:eastAsia="Times New Roman" w:hAnsi="Garamond" w:cs="Times New Roman"/>
          <w:color w:val="000000"/>
          <w:sz w:val="24"/>
          <w:szCs w:val="24"/>
        </w:rPr>
        <w:t>, in what types of cases does the Supreme Court of the United States have original jurisdiction? Does Congress have the authority to change the Court</w:t>
      </w:r>
      <w:r w:rsidR="007F5169">
        <w:rPr>
          <w:rFonts w:ascii="Garamond" w:eastAsia="Times New Roman" w:hAnsi="Garamond" w:cs="Times New Roman"/>
          <w:color w:val="000000"/>
          <w:sz w:val="24"/>
          <w:szCs w:val="24"/>
        </w:rPr>
        <w:t>’</w:t>
      </w:r>
      <w:r w:rsidRPr="00854A71">
        <w:rPr>
          <w:rFonts w:ascii="Garamond" w:eastAsia="Times New Roman" w:hAnsi="Garamond" w:cs="Times New Roman"/>
          <w:color w:val="000000"/>
          <w:sz w:val="24"/>
          <w:szCs w:val="24"/>
        </w:rPr>
        <w:t>s jurisdiction?</w:t>
      </w:r>
    </w:p>
    <w:tbl>
      <w:tblPr>
        <w:tblStyle w:val="TableGrid"/>
        <w:tblW w:w="4000" w:type="pct"/>
        <w:jc w:val="center"/>
        <w:tblLook w:val="04A0" w:firstRow="1" w:lastRow="0" w:firstColumn="1" w:lastColumn="0" w:noHBand="0" w:noVBand="1"/>
      </w:tblPr>
      <w:tblGrid>
        <w:gridCol w:w="7480"/>
      </w:tblGrid>
      <w:tr w:rsidR="007F5169" w14:paraId="60A166EE" w14:textId="77777777" w:rsidTr="007F5169">
        <w:trPr>
          <w:jc w:val="center"/>
        </w:trPr>
        <w:tc>
          <w:tcPr>
            <w:tcW w:w="7480" w:type="dxa"/>
            <w:shd w:val="clear" w:color="auto" w:fill="F2F2F2" w:themeFill="background1" w:themeFillShade="F2"/>
          </w:tcPr>
          <w:p w14:paraId="3BCEA145" w14:textId="77777777" w:rsidR="007F5169" w:rsidRPr="005D4E9A" w:rsidRDefault="007F5169" w:rsidP="0027109A">
            <w:pPr>
              <w:tabs>
                <w:tab w:val="left" w:pos="8640"/>
              </w:tabs>
              <w:spacing w:before="120" w:after="120"/>
              <w:ind w:left="160" w:right="720"/>
              <w:rPr>
                <w:rFonts w:ascii="Garamond" w:hAnsi="Garamond"/>
                <w:b/>
                <w:bCs/>
                <w:sz w:val="24"/>
                <w:szCs w:val="24"/>
              </w:rPr>
            </w:pPr>
            <w:bookmarkStart w:id="1" w:name="section2"/>
            <w:r w:rsidRPr="005D4E9A">
              <w:rPr>
                <w:rFonts w:ascii="Garamond" w:hAnsi="Garamond"/>
                <w:b/>
                <w:bCs/>
                <w:sz w:val="24"/>
                <w:szCs w:val="24"/>
              </w:rPr>
              <w:t>Article III, Section 2</w:t>
            </w:r>
            <w:bookmarkEnd w:id="1"/>
            <w:r w:rsidRPr="005D4E9A">
              <w:rPr>
                <w:rFonts w:ascii="Garamond" w:hAnsi="Garamond"/>
                <w:b/>
                <w:bCs/>
                <w:sz w:val="24"/>
                <w:szCs w:val="24"/>
              </w:rPr>
              <w:t xml:space="preserve"> of the U.S. Constitution </w:t>
            </w:r>
          </w:p>
          <w:p w14:paraId="010DA5E4" w14:textId="77777777" w:rsidR="007F5169" w:rsidRPr="005D4E9A" w:rsidRDefault="007F5169" w:rsidP="0027109A">
            <w:pPr>
              <w:tabs>
                <w:tab w:val="left" w:pos="8640"/>
              </w:tabs>
              <w:spacing w:after="120"/>
              <w:ind w:left="160" w:right="720"/>
              <w:rPr>
                <w:rFonts w:ascii="Garamond" w:hAnsi="Garamond"/>
                <w:sz w:val="24"/>
                <w:szCs w:val="24"/>
              </w:rPr>
            </w:pPr>
            <w:r w:rsidRPr="005D4E9A">
              <w:rPr>
                <w:rFonts w:ascii="Garamond" w:hAnsi="Garamond"/>
                <w:sz w:val="24"/>
                <w:szCs w:val="24"/>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14:paraId="03A1DCCC" w14:textId="77777777" w:rsidR="007F5169" w:rsidRPr="005D4E9A" w:rsidRDefault="007F5169" w:rsidP="0027109A">
            <w:pPr>
              <w:tabs>
                <w:tab w:val="left" w:pos="8640"/>
              </w:tabs>
              <w:spacing w:after="120"/>
              <w:ind w:left="160" w:right="720"/>
              <w:rPr>
                <w:rFonts w:ascii="Garamond" w:hAnsi="Garamond"/>
                <w:sz w:val="24"/>
                <w:szCs w:val="24"/>
              </w:rPr>
            </w:pPr>
            <w:r w:rsidRPr="005D4E9A">
              <w:rPr>
                <w:rFonts w:ascii="Garamond" w:hAnsi="Garamond"/>
                <w:sz w:val="24"/>
                <w:szCs w:val="24"/>
              </w:rPr>
              <w:t xml:space="preserve">In all cases affecting ambassadors, other public </w:t>
            </w:r>
            <w:proofErr w:type="gramStart"/>
            <w:r w:rsidRPr="005D4E9A">
              <w:rPr>
                <w:rFonts w:ascii="Garamond" w:hAnsi="Garamond"/>
                <w:sz w:val="24"/>
                <w:szCs w:val="24"/>
              </w:rPr>
              <w:t>ministers</w:t>
            </w:r>
            <w:proofErr w:type="gramEnd"/>
            <w:r w:rsidRPr="005D4E9A">
              <w:rPr>
                <w:rFonts w:ascii="Garamond" w:hAnsi="Garamond"/>
                <w:sz w:val="24"/>
                <w:szCs w:val="24"/>
              </w:rPr>
              <w:t xml:space="preserve">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14:paraId="73A01DBA" w14:textId="77777777" w:rsidR="007F5169" w:rsidRDefault="007F5169" w:rsidP="0027109A">
            <w:pPr>
              <w:tabs>
                <w:tab w:val="left" w:pos="8640"/>
              </w:tabs>
              <w:spacing w:after="120"/>
              <w:ind w:left="160" w:right="720"/>
            </w:pPr>
            <w:r w:rsidRPr="005D4E9A">
              <w:rPr>
                <w:rFonts w:ascii="Garamond" w:hAnsi="Garamond"/>
                <w:sz w:val="24"/>
                <w:szCs w:val="24"/>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tc>
      </w:tr>
    </w:tbl>
    <w:p w14:paraId="2AF6AAE1" w14:textId="77777777" w:rsidR="007F5169" w:rsidRPr="005311FB" w:rsidRDefault="007F5169" w:rsidP="007F5169">
      <w:pPr>
        <w:pStyle w:val="Numberedlistsl"/>
        <w:ind w:left="1440" w:hanging="360"/>
      </w:pPr>
    </w:p>
    <w:p w14:paraId="5817B175" w14:textId="2FE9167A" w:rsidR="005A0330" w:rsidRPr="005311FB" w:rsidRDefault="005A0330" w:rsidP="007F5169">
      <w:pPr>
        <w:tabs>
          <w:tab w:val="left" w:pos="8640"/>
        </w:tabs>
        <w:spacing w:line="240" w:lineRule="auto"/>
        <w:ind w:left="720" w:right="720"/>
      </w:pPr>
    </w:p>
    <w:sectPr w:rsidR="005A0330" w:rsidRPr="005311FB"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2CF73" w14:textId="77777777" w:rsidR="009C1914" w:rsidRDefault="009C1914" w:rsidP="0078549D">
      <w:pPr>
        <w:spacing w:after="0" w:line="240" w:lineRule="auto"/>
      </w:pPr>
      <w:r>
        <w:separator/>
      </w:r>
    </w:p>
  </w:endnote>
  <w:endnote w:type="continuationSeparator" w:id="0">
    <w:p w14:paraId="413F1C43" w14:textId="77777777" w:rsidR="009C1914" w:rsidRDefault="009C191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078617B0"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7F5169">
          <w:rPr>
            <w:rStyle w:val="BasiccopyslChar"/>
            <w:sz w:val="22"/>
            <w:szCs w:val="22"/>
          </w:rPr>
          <w:t>07/27/2020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8BC93" w14:textId="77777777" w:rsidR="009C1914" w:rsidRDefault="009C1914" w:rsidP="0078549D">
      <w:pPr>
        <w:spacing w:after="0" w:line="240" w:lineRule="auto"/>
      </w:pPr>
      <w:r>
        <w:separator/>
      </w:r>
    </w:p>
  </w:footnote>
  <w:footnote w:type="continuationSeparator" w:id="0">
    <w:p w14:paraId="247989F2" w14:textId="77777777" w:rsidR="009C1914" w:rsidRDefault="009C191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75BB" w14:textId="5C4F57EF" w:rsidR="00AC3D70" w:rsidRPr="00987C93" w:rsidRDefault="00AC3D70" w:rsidP="00AC3D70">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3C45D8">
      <w:rPr>
        <w:i/>
        <w:iCs/>
        <w:sz w:val="22"/>
        <w:szCs w:val="22"/>
      </w:rPr>
      <w:t>Marbury v. Madison</w:t>
    </w:r>
    <w:r w:rsidR="003C45D8" w:rsidRPr="00987C93">
      <w:rPr>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F93F093"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B266DA">
      <w:rPr>
        <w:sz w:val="22"/>
        <w:szCs w:val="22"/>
      </w:rPr>
      <w:t xml:space="preserve">     </w:t>
    </w:r>
    <w:r w:rsidR="007F5169">
      <w:rPr>
        <w:sz w:val="22"/>
        <w:szCs w:val="22"/>
      </w:rPr>
      <w:t xml:space="preserve">     </w:t>
    </w:r>
    <w:r w:rsidR="003C45D8">
      <w:rPr>
        <w:i/>
        <w:iCs/>
        <w:sz w:val="22"/>
        <w:szCs w:val="22"/>
      </w:rPr>
      <w:t>Marbury v. Madison</w:t>
    </w:r>
    <w:r w:rsidR="007F5169">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9FE"/>
    <w:multiLevelType w:val="multilevel"/>
    <w:tmpl w:val="4462F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D00AB0"/>
    <w:multiLevelType w:val="multilevel"/>
    <w:tmpl w:val="44DA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5"/>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460C5"/>
    <w:rsid w:val="00087C24"/>
    <w:rsid w:val="000E239D"/>
    <w:rsid w:val="001056C3"/>
    <w:rsid w:val="001529D2"/>
    <w:rsid w:val="00170B98"/>
    <w:rsid w:val="001C629C"/>
    <w:rsid w:val="0021030F"/>
    <w:rsid w:val="00290061"/>
    <w:rsid w:val="002B4D38"/>
    <w:rsid w:val="002C68A3"/>
    <w:rsid w:val="002D2203"/>
    <w:rsid w:val="00317735"/>
    <w:rsid w:val="00375090"/>
    <w:rsid w:val="00392FBD"/>
    <w:rsid w:val="00396AEB"/>
    <w:rsid w:val="003C45D8"/>
    <w:rsid w:val="003C6F20"/>
    <w:rsid w:val="00400A63"/>
    <w:rsid w:val="004632BE"/>
    <w:rsid w:val="00466BCA"/>
    <w:rsid w:val="004A5800"/>
    <w:rsid w:val="004B560A"/>
    <w:rsid w:val="004B73F9"/>
    <w:rsid w:val="004E7457"/>
    <w:rsid w:val="004F77FB"/>
    <w:rsid w:val="005311FB"/>
    <w:rsid w:val="00544058"/>
    <w:rsid w:val="005A0330"/>
    <w:rsid w:val="005B61A3"/>
    <w:rsid w:val="006135E5"/>
    <w:rsid w:val="00666634"/>
    <w:rsid w:val="00685300"/>
    <w:rsid w:val="006C3E71"/>
    <w:rsid w:val="006E09C9"/>
    <w:rsid w:val="006E3717"/>
    <w:rsid w:val="006E3DE1"/>
    <w:rsid w:val="0070044C"/>
    <w:rsid w:val="00706BF6"/>
    <w:rsid w:val="007148EB"/>
    <w:rsid w:val="0078549D"/>
    <w:rsid w:val="007F5169"/>
    <w:rsid w:val="007F700D"/>
    <w:rsid w:val="00815CB0"/>
    <w:rsid w:val="0081706F"/>
    <w:rsid w:val="00854A71"/>
    <w:rsid w:val="00855DF3"/>
    <w:rsid w:val="0098032C"/>
    <w:rsid w:val="00987C93"/>
    <w:rsid w:val="009C1914"/>
    <w:rsid w:val="009C1A83"/>
    <w:rsid w:val="009D6B03"/>
    <w:rsid w:val="00A740A5"/>
    <w:rsid w:val="00A85269"/>
    <w:rsid w:val="00AC3D70"/>
    <w:rsid w:val="00AC6758"/>
    <w:rsid w:val="00AE0C77"/>
    <w:rsid w:val="00B21D96"/>
    <w:rsid w:val="00B266DA"/>
    <w:rsid w:val="00B3076B"/>
    <w:rsid w:val="00B62487"/>
    <w:rsid w:val="00B6363B"/>
    <w:rsid w:val="00BE7E85"/>
    <w:rsid w:val="00C15DAC"/>
    <w:rsid w:val="00C7204F"/>
    <w:rsid w:val="00D2286C"/>
    <w:rsid w:val="00DC419D"/>
    <w:rsid w:val="00DE3D18"/>
    <w:rsid w:val="00E2189C"/>
    <w:rsid w:val="00E3555A"/>
    <w:rsid w:val="00E40268"/>
    <w:rsid w:val="00E56A26"/>
    <w:rsid w:val="00E64542"/>
    <w:rsid w:val="00EF7C97"/>
    <w:rsid w:val="00F558FB"/>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AC67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9803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032C"/>
    <w:rPr>
      <w:i/>
      <w:iCs/>
    </w:rPr>
  </w:style>
  <w:style w:type="character" w:customStyle="1" w:styleId="Heading2Char">
    <w:name w:val="Heading 2 Char"/>
    <w:basedOn w:val="DefaultParagraphFont"/>
    <w:link w:val="Heading2"/>
    <w:uiPriority w:val="9"/>
    <w:semiHidden/>
    <w:rsid w:val="00AC675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7F5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99354">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1163010701">
      <w:bodyDiv w:val="1"/>
      <w:marLeft w:val="0"/>
      <w:marRight w:val="0"/>
      <w:marTop w:val="0"/>
      <w:marBottom w:val="0"/>
      <w:divBdr>
        <w:top w:val="none" w:sz="0" w:space="0" w:color="auto"/>
        <w:left w:val="none" w:sz="0" w:space="0" w:color="auto"/>
        <w:bottom w:val="none" w:sz="0" w:space="0" w:color="auto"/>
        <w:right w:val="none" w:sz="0" w:space="0" w:color="auto"/>
      </w:divBdr>
    </w:div>
    <w:div w:id="132902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DCE663D-5031-4430-B99F-70D25AFA9243}"/>
</file>

<file path=customXml/itemProps3.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2020-07-28T00:01:00Z</dcterms:created>
  <dcterms:modified xsi:type="dcterms:W3CDTF">2020-07-28T00:15:00Z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