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104271AA" w:rsidR="005311FB" w:rsidRPr="003A4868" w:rsidRDefault="00B05299" w:rsidP="003A4868">
      <w:pPr>
        <w:pStyle w:val="Title1sl"/>
        <w:pBdr>
          <w:bottom w:val="single" w:sz="12" w:space="1" w:color="auto"/>
        </w:pBdr>
        <w:spacing w:before="240"/>
        <w:rPr>
          <w:sz w:val="40"/>
          <w:szCs w:val="40"/>
        </w:rPr>
      </w:pPr>
      <w:r w:rsidRPr="00B05299">
        <w:rPr>
          <w:i/>
          <w:iCs/>
          <w:sz w:val="40"/>
          <w:szCs w:val="40"/>
        </w:rPr>
        <w:t>Mapp v. Ohio</w:t>
      </w:r>
      <w:r w:rsidRPr="003A4868">
        <w:rPr>
          <w:sz w:val="40"/>
          <w:szCs w:val="40"/>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r w:rsidR="00987C93" w:rsidRPr="003A4868">
        <w:rPr>
          <w:b w:val="0"/>
          <w:bCs/>
          <w:sz w:val="40"/>
          <w:szCs w:val="40"/>
        </w:rPr>
        <w:sym w:font="Symbol" w:char="F0B7"/>
      </w:r>
    </w:p>
    <w:p w14:paraId="53701AB7" w14:textId="5F82DE52" w:rsidR="00B05299" w:rsidRPr="00B05299" w:rsidRDefault="00B05299" w:rsidP="005D34FB">
      <w:pPr>
        <w:pStyle w:val="NormalWeb"/>
        <w:shd w:val="clear" w:color="auto" w:fill="FFFFFF"/>
        <w:spacing w:before="0" w:beforeAutospacing="0" w:after="120" w:afterAutospacing="0" w:line="276" w:lineRule="auto"/>
        <w:rPr>
          <w:rFonts w:ascii="Garamond" w:hAnsi="Garamond"/>
          <w:color w:val="000000"/>
          <w:sz w:val="25"/>
          <w:szCs w:val="25"/>
        </w:rPr>
      </w:pPr>
      <w:r w:rsidRPr="00B05299">
        <w:rPr>
          <w:rFonts w:ascii="Garamond" w:hAnsi="Garamond"/>
          <w:color w:val="000000"/>
          <w:sz w:val="25"/>
          <w:szCs w:val="25"/>
        </w:rPr>
        <w:t>Dollree Mapp lived in Cleveland, Ohio. After receiving information that a</w:t>
      </w:r>
      <w:r w:rsidR="00F8686D">
        <w:rPr>
          <w:rFonts w:ascii="Garamond" w:hAnsi="Garamond"/>
          <w:color w:val="000000"/>
          <w:sz w:val="25"/>
          <w:szCs w:val="25"/>
        </w:rPr>
        <w:t xml:space="preserve"> person </w:t>
      </w:r>
      <w:r w:rsidRPr="00B05299">
        <w:rPr>
          <w:rFonts w:ascii="Garamond" w:hAnsi="Garamond"/>
          <w:color w:val="000000"/>
          <w:sz w:val="25"/>
          <w:szCs w:val="25"/>
        </w:rPr>
        <w:t>wanted in connection with a recent bombing was hiding in Mapp</w:t>
      </w:r>
      <w:r w:rsidR="00F8686D">
        <w:rPr>
          <w:rFonts w:ascii="Garamond" w:hAnsi="Garamond"/>
          <w:color w:val="000000"/>
          <w:sz w:val="25"/>
          <w:szCs w:val="25"/>
        </w:rPr>
        <w:t>’</w:t>
      </w:r>
      <w:r w:rsidRPr="00B05299">
        <w:rPr>
          <w:rFonts w:ascii="Garamond" w:hAnsi="Garamond"/>
          <w:color w:val="000000"/>
          <w:sz w:val="25"/>
          <w:szCs w:val="25"/>
        </w:rPr>
        <w:t xml:space="preserve">s house, Cleveland police </w:t>
      </w:r>
      <w:r w:rsidR="00F8686D">
        <w:rPr>
          <w:rFonts w:ascii="Garamond" w:hAnsi="Garamond"/>
          <w:color w:val="000000"/>
          <w:sz w:val="25"/>
          <w:szCs w:val="25"/>
        </w:rPr>
        <w:t xml:space="preserve">officers </w:t>
      </w:r>
      <w:r w:rsidRPr="00B05299">
        <w:rPr>
          <w:rFonts w:ascii="Garamond" w:hAnsi="Garamond"/>
          <w:color w:val="000000"/>
          <w:sz w:val="25"/>
          <w:szCs w:val="25"/>
        </w:rPr>
        <w:t xml:space="preserve">knocked on her door and demanded entrance. Mapp called her attorney </w:t>
      </w:r>
      <w:r w:rsidR="001E450A">
        <w:rPr>
          <w:rFonts w:ascii="Garamond" w:hAnsi="Garamond"/>
          <w:color w:val="000000"/>
          <w:sz w:val="25"/>
          <w:szCs w:val="25"/>
        </w:rPr>
        <w:t xml:space="preserve">for advice </w:t>
      </w:r>
      <w:r w:rsidRPr="00B05299">
        <w:rPr>
          <w:rFonts w:ascii="Garamond" w:hAnsi="Garamond"/>
          <w:color w:val="000000"/>
          <w:sz w:val="25"/>
          <w:szCs w:val="25"/>
        </w:rPr>
        <w:t>and subsequently refused to let the police in when they failed to produce a search warrant. After several hours of surveillance and the arrival of more officers, the police again sought entrance to the house. Although Mapp did not allow them to enter, they gained access by forcibly opening a</w:t>
      </w:r>
      <w:r w:rsidR="0087356D">
        <w:rPr>
          <w:rFonts w:ascii="Garamond" w:hAnsi="Garamond"/>
          <w:color w:val="000000"/>
          <w:sz w:val="25"/>
          <w:szCs w:val="25"/>
        </w:rPr>
        <w:t xml:space="preserve"> </w:t>
      </w:r>
      <w:r w:rsidRPr="00B05299">
        <w:rPr>
          <w:rFonts w:ascii="Garamond" w:hAnsi="Garamond"/>
          <w:color w:val="000000"/>
          <w:sz w:val="25"/>
          <w:szCs w:val="25"/>
        </w:rPr>
        <w:t xml:space="preserve">door. Once the police were inside the house, Mapp demanded to see their warrant. One of the officers held up a piece of paper claiming it was a search warrant. Mapp grabbed the paper but an officer recovered it and handcuffed Mapp </w:t>
      </w:r>
      <w:r w:rsidR="00310140">
        <w:rPr>
          <w:rFonts w:ascii="Garamond" w:hAnsi="Garamond"/>
          <w:color w:val="000000"/>
          <w:sz w:val="25"/>
          <w:szCs w:val="25"/>
        </w:rPr>
        <w:t>“</w:t>
      </w:r>
      <w:r w:rsidRPr="00B05299">
        <w:rPr>
          <w:rFonts w:ascii="Garamond" w:hAnsi="Garamond"/>
          <w:color w:val="000000"/>
          <w:sz w:val="25"/>
          <w:szCs w:val="25"/>
        </w:rPr>
        <w:t>because she had been belligerent.</w:t>
      </w:r>
      <w:r w:rsidR="00310140">
        <w:rPr>
          <w:rFonts w:ascii="Garamond" w:hAnsi="Garamond"/>
          <w:color w:val="000000"/>
          <w:sz w:val="25"/>
          <w:szCs w:val="25"/>
        </w:rPr>
        <w:t>”</w:t>
      </w:r>
      <w:r w:rsidRPr="00B05299">
        <w:rPr>
          <w:rFonts w:ascii="Garamond" w:hAnsi="Garamond"/>
          <w:color w:val="000000"/>
          <w:sz w:val="25"/>
          <w:szCs w:val="25"/>
        </w:rPr>
        <w:t xml:space="preserve"> Dragging Mapp upstairs, officers proceeded to search not only her room, but also her daughter</w:t>
      </w:r>
      <w:r w:rsidR="004C5FD3">
        <w:rPr>
          <w:rFonts w:ascii="Garamond" w:hAnsi="Garamond"/>
          <w:color w:val="000000"/>
          <w:sz w:val="25"/>
          <w:szCs w:val="25"/>
        </w:rPr>
        <w:t>’</w:t>
      </w:r>
      <w:r w:rsidRPr="00B05299">
        <w:rPr>
          <w:rFonts w:ascii="Garamond" w:hAnsi="Garamond"/>
          <w:color w:val="000000"/>
          <w:sz w:val="25"/>
          <w:szCs w:val="25"/>
        </w:rPr>
        <w:t>s bedroom, the kitchen, dinette, living room, and basement.</w:t>
      </w:r>
    </w:p>
    <w:p w14:paraId="0EBDB1CE" w14:textId="69C8A84D" w:rsidR="00B05299" w:rsidRPr="00B05299" w:rsidRDefault="00B05299" w:rsidP="005D34FB">
      <w:pPr>
        <w:pStyle w:val="NormalWeb"/>
        <w:shd w:val="clear" w:color="auto" w:fill="FFFFFF"/>
        <w:spacing w:before="0" w:beforeAutospacing="0" w:after="120" w:afterAutospacing="0" w:line="276" w:lineRule="auto"/>
        <w:rPr>
          <w:rFonts w:ascii="Garamond" w:hAnsi="Garamond"/>
          <w:color w:val="000000"/>
          <w:sz w:val="25"/>
          <w:szCs w:val="25"/>
        </w:rPr>
      </w:pPr>
      <w:r w:rsidRPr="00B05299">
        <w:rPr>
          <w:rFonts w:ascii="Garamond" w:hAnsi="Garamond"/>
          <w:color w:val="000000"/>
          <w:sz w:val="25"/>
          <w:szCs w:val="25"/>
        </w:rPr>
        <w:t xml:space="preserve">In the course of the basement search, police found a trunk containing </w:t>
      </w:r>
      <w:r w:rsidR="004C5FD3">
        <w:rPr>
          <w:rFonts w:ascii="Garamond" w:hAnsi="Garamond"/>
          <w:color w:val="000000"/>
          <w:sz w:val="25"/>
          <w:szCs w:val="25"/>
        </w:rPr>
        <w:t>“</w:t>
      </w:r>
      <w:r w:rsidRPr="00B05299">
        <w:rPr>
          <w:rFonts w:ascii="Garamond" w:hAnsi="Garamond"/>
          <w:color w:val="000000"/>
          <w:sz w:val="25"/>
          <w:szCs w:val="25"/>
        </w:rPr>
        <w:t>lewd and lascivious</w:t>
      </w:r>
      <w:r w:rsidR="004C5FD3">
        <w:rPr>
          <w:rFonts w:ascii="Garamond" w:hAnsi="Garamond"/>
          <w:color w:val="000000"/>
          <w:sz w:val="25"/>
          <w:szCs w:val="25"/>
        </w:rPr>
        <w:t xml:space="preserve">” </w:t>
      </w:r>
      <w:r w:rsidRPr="00B05299">
        <w:rPr>
          <w:rFonts w:ascii="Garamond" w:hAnsi="Garamond"/>
          <w:color w:val="000000"/>
          <w:sz w:val="25"/>
          <w:szCs w:val="25"/>
        </w:rPr>
        <w:t xml:space="preserve">books, pictures, and photographs. </w:t>
      </w:r>
      <w:r w:rsidR="000D4A82" w:rsidRPr="000D4A82">
        <w:rPr>
          <w:rFonts w:ascii="Garamond" w:hAnsi="Garamond"/>
          <w:color w:val="000000"/>
          <w:sz w:val="25"/>
          <w:szCs w:val="25"/>
        </w:rPr>
        <w:t xml:space="preserve">Mapp claimed the materials had been left by a former tenant. </w:t>
      </w:r>
      <w:r w:rsidRPr="00B05299">
        <w:rPr>
          <w:rFonts w:ascii="Garamond" w:hAnsi="Garamond"/>
          <w:color w:val="000000"/>
          <w:sz w:val="25"/>
          <w:szCs w:val="25"/>
        </w:rPr>
        <w:t>Mapp was arrested for violating Ohio</w:t>
      </w:r>
      <w:r w:rsidR="004C5FD3">
        <w:rPr>
          <w:rFonts w:ascii="Garamond" w:hAnsi="Garamond"/>
          <w:color w:val="000000"/>
          <w:sz w:val="25"/>
          <w:szCs w:val="25"/>
        </w:rPr>
        <w:t>’</w:t>
      </w:r>
      <w:r w:rsidRPr="00B05299">
        <w:rPr>
          <w:rFonts w:ascii="Garamond" w:hAnsi="Garamond"/>
          <w:color w:val="000000"/>
          <w:sz w:val="25"/>
          <w:szCs w:val="25"/>
        </w:rPr>
        <w:t>s criminal law prohibiting the possession of obscene materials. At trial, the court found her guilty of the violation based on the evidence presented by the police. When Mapp</w:t>
      </w:r>
      <w:r w:rsidR="000051AC">
        <w:rPr>
          <w:rFonts w:ascii="Garamond" w:hAnsi="Garamond"/>
          <w:color w:val="000000"/>
          <w:sz w:val="25"/>
          <w:szCs w:val="25"/>
        </w:rPr>
        <w:t>’s</w:t>
      </w:r>
      <w:r w:rsidRPr="00B05299">
        <w:rPr>
          <w:rFonts w:ascii="Garamond" w:hAnsi="Garamond"/>
          <w:color w:val="000000"/>
          <w:sz w:val="25"/>
          <w:szCs w:val="25"/>
        </w:rPr>
        <w:t xml:space="preserve"> attorney questioned the officers about the alleged warrant and asked for it to be produced, the police were unable or unwilling to do so. Nonetheless, Mapp was found guilty and sentenced to </w:t>
      </w:r>
      <w:r w:rsidR="000051AC">
        <w:rPr>
          <w:rFonts w:ascii="Garamond" w:hAnsi="Garamond"/>
          <w:color w:val="000000"/>
          <w:sz w:val="25"/>
          <w:szCs w:val="25"/>
        </w:rPr>
        <w:t>one</w:t>
      </w:r>
      <w:r w:rsidR="000051AC" w:rsidRPr="00B05299">
        <w:rPr>
          <w:rFonts w:ascii="Garamond" w:hAnsi="Garamond"/>
          <w:color w:val="000000"/>
          <w:sz w:val="25"/>
          <w:szCs w:val="25"/>
        </w:rPr>
        <w:t xml:space="preserve"> </w:t>
      </w:r>
      <w:r w:rsidRPr="00B05299">
        <w:rPr>
          <w:rFonts w:ascii="Garamond" w:hAnsi="Garamond"/>
          <w:color w:val="000000"/>
          <w:sz w:val="25"/>
          <w:szCs w:val="25"/>
        </w:rPr>
        <w:t xml:space="preserve">to </w:t>
      </w:r>
      <w:r w:rsidR="000051AC">
        <w:rPr>
          <w:rFonts w:ascii="Garamond" w:hAnsi="Garamond"/>
          <w:color w:val="000000"/>
          <w:sz w:val="25"/>
          <w:szCs w:val="25"/>
        </w:rPr>
        <w:t>seven</w:t>
      </w:r>
      <w:r w:rsidRPr="00B05299">
        <w:rPr>
          <w:rFonts w:ascii="Garamond" w:hAnsi="Garamond"/>
          <w:color w:val="000000"/>
          <w:sz w:val="25"/>
          <w:szCs w:val="25"/>
        </w:rPr>
        <w:t xml:space="preserve"> years in the Ohio Women</w:t>
      </w:r>
      <w:r w:rsidR="000051AC">
        <w:rPr>
          <w:rFonts w:ascii="Garamond" w:hAnsi="Garamond"/>
          <w:color w:val="000000"/>
          <w:sz w:val="25"/>
          <w:szCs w:val="25"/>
        </w:rPr>
        <w:t>’</w:t>
      </w:r>
      <w:r w:rsidRPr="00B05299">
        <w:rPr>
          <w:rFonts w:ascii="Garamond" w:hAnsi="Garamond"/>
          <w:color w:val="000000"/>
          <w:sz w:val="25"/>
          <w:szCs w:val="25"/>
        </w:rPr>
        <w:t>s Reformatory.</w:t>
      </w:r>
    </w:p>
    <w:p w14:paraId="1E5ADEB7" w14:textId="15D4D931" w:rsidR="00B05299" w:rsidRPr="00B05299" w:rsidRDefault="00B05299" w:rsidP="005D34FB">
      <w:pPr>
        <w:pStyle w:val="NormalWeb"/>
        <w:shd w:val="clear" w:color="auto" w:fill="FFFFFF"/>
        <w:spacing w:before="0" w:beforeAutospacing="0" w:after="120" w:afterAutospacing="0" w:line="276" w:lineRule="auto"/>
        <w:rPr>
          <w:rFonts w:ascii="Garamond" w:hAnsi="Garamond"/>
          <w:color w:val="000000"/>
          <w:sz w:val="25"/>
          <w:szCs w:val="25"/>
        </w:rPr>
      </w:pPr>
      <w:r w:rsidRPr="00B05299">
        <w:rPr>
          <w:rFonts w:ascii="Garamond" w:hAnsi="Garamond"/>
          <w:color w:val="000000"/>
          <w:sz w:val="25"/>
          <w:szCs w:val="25"/>
        </w:rPr>
        <w:t xml:space="preserve">Upon her conviction, Mapp appealed her case to the Supreme Court of Ohio. Her attorney argued that she should never have been brought to trial because the material evidence resulted from an illegal, warrantless search. Because the search was unlawful, he maintained, the evidence was illegally obtained and must be excluded. In its ruling, the Supreme Court of Ohio recognized that </w:t>
      </w:r>
      <w:r w:rsidR="004B44C6">
        <w:rPr>
          <w:rFonts w:ascii="Garamond" w:hAnsi="Garamond"/>
          <w:color w:val="000000"/>
          <w:sz w:val="25"/>
          <w:szCs w:val="25"/>
        </w:rPr>
        <w:t>“</w:t>
      </w:r>
      <w:r w:rsidRPr="00B05299">
        <w:rPr>
          <w:rFonts w:ascii="Garamond" w:hAnsi="Garamond"/>
          <w:color w:val="000000"/>
          <w:sz w:val="25"/>
          <w:szCs w:val="25"/>
        </w:rPr>
        <w:t>a reasonable argument</w:t>
      </w:r>
      <w:r w:rsidR="004B44C6">
        <w:rPr>
          <w:rFonts w:ascii="Garamond" w:hAnsi="Garamond"/>
          <w:color w:val="000000"/>
          <w:sz w:val="25"/>
          <w:szCs w:val="25"/>
        </w:rPr>
        <w:t>”</w:t>
      </w:r>
      <w:r w:rsidRPr="00B05299">
        <w:rPr>
          <w:rFonts w:ascii="Garamond" w:hAnsi="Garamond"/>
          <w:color w:val="000000"/>
          <w:sz w:val="25"/>
          <w:szCs w:val="25"/>
        </w:rPr>
        <w:t xml:space="preserve"> could be made that the conviction should be reversed </w:t>
      </w:r>
      <w:r w:rsidR="004B44C6">
        <w:rPr>
          <w:rFonts w:ascii="Garamond" w:hAnsi="Garamond"/>
          <w:color w:val="000000"/>
          <w:sz w:val="25"/>
          <w:szCs w:val="25"/>
        </w:rPr>
        <w:t>“</w:t>
      </w:r>
      <w:r w:rsidRPr="00B05299">
        <w:rPr>
          <w:rFonts w:ascii="Garamond" w:hAnsi="Garamond"/>
          <w:color w:val="000000"/>
          <w:sz w:val="25"/>
          <w:szCs w:val="25"/>
        </w:rPr>
        <w:t xml:space="preserve">because the </w:t>
      </w:r>
      <w:r w:rsidR="004B44C6">
        <w:rPr>
          <w:rFonts w:ascii="Garamond" w:hAnsi="Garamond"/>
          <w:color w:val="000000"/>
          <w:sz w:val="25"/>
          <w:szCs w:val="25"/>
        </w:rPr>
        <w:t>‘</w:t>
      </w:r>
      <w:r w:rsidRPr="00B05299">
        <w:rPr>
          <w:rFonts w:ascii="Garamond" w:hAnsi="Garamond"/>
          <w:color w:val="000000"/>
          <w:sz w:val="25"/>
          <w:szCs w:val="25"/>
        </w:rPr>
        <w:t>methods</w:t>
      </w:r>
      <w:r w:rsidR="004B44C6">
        <w:rPr>
          <w:rFonts w:ascii="Garamond" w:hAnsi="Garamond"/>
          <w:color w:val="000000"/>
          <w:sz w:val="25"/>
          <w:szCs w:val="25"/>
        </w:rPr>
        <w:t>’</w:t>
      </w:r>
      <w:r w:rsidRPr="00B05299">
        <w:rPr>
          <w:rFonts w:ascii="Garamond" w:hAnsi="Garamond"/>
          <w:color w:val="000000"/>
          <w:sz w:val="25"/>
          <w:szCs w:val="25"/>
        </w:rPr>
        <w:t xml:space="preserve"> employed to obtain the [evidence]</w:t>
      </w:r>
      <w:r w:rsidR="00223928">
        <w:rPr>
          <w:rFonts w:ascii="Garamond" w:hAnsi="Garamond"/>
          <w:color w:val="000000"/>
          <w:sz w:val="25"/>
          <w:szCs w:val="25"/>
        </w:rPr>
        <w:t xml:space="preserve"> … </w:t>
      </w:r>
      <w:r w:rsidRPr="00B05299">
        <w:rPr>
          <w:rFonts w:ascii="Garamond" w:hAnsi="Garamond"/>
          <w:color w:val="000000"/>
          <w:sz w:val="25"/>
          <w:szCs w:val="25"/>
        </w:rPr>
        <w:t xml:space="preserve">were such as to </w:t>
      </w:r>
      <w:r w:rsidR="004B44C6">
        <w:rPr>
          <w:rFonts w:ascii="Garamond" w:hAnsi="Garamond"/>
          <w:color w:val="000000"/>
          <w:sz w:val="25"/>
          <w:szCs w:val="25"/>
        </w:rPr>
        <w:t>‘</w:t>
      </w:r>
      <w:r w:rsidRPr="00B05299">
        <w:rPr>
          <w:rFonts w:ascii="Garamond" w:hAnsi="Garamond"/>
          <w:color w:val="000000"/>
          <w:sz w:val="25"/>
          <w:szCs w:val="25"/>
        </w:rPr>
        <w:t>offend</w:t>
      </w:r>
      <w:r w:rsidR="004B44C6">
        <w:rPr>
          <w:rFonts w:ascii="Garamond" w:hAnsi="Garamond"/>
          <w:color w:val="000000"/>
          <w:sz w:val="25"/>
          <w:szCs w:val="25"/>
        </w:rPr>
        <w:t>’</w:t>
      </w:r>
      <w:r w:rsidRPr="00B05299">
        <w:rPr>
          <w:rFonts w:ascii="Garamond" w:hAnsi="Garamond"/>
          <w:color w:val="000000"/>
          <w:sz w:val="25"/>
          <w:szCs w:val="25"/>
        </w:rPr>
        <w:t xml:space="preserve"> a sense of justice.</w:t>
      </w:r>
      <w:r w:rsidR="004B44C6">
        <w:rPr>
          <w:rFonts w:ascii="Garamond" w:hAnsi="Garamond"/>
          <w:color w:val="000000"/>
          <w:sz w:val="25"/>
          <w:szCs w:val="25"/>
        </w:rPr>
        <w:t>”</w:t>
      </w:r>
      <w:r w:rsidRPr="00B05299">
        <w:rPr>
          <w:rFonts w:ascii="Garamond" w:hAnsi="Garamond"/>
          <w:color w:val="000000"/>
          <w:sz w:val="25"/>
          <w:szCs w:val="25"/>
        </w:rPr>
        <w:t xml:space="preserve"> But the </w:t>
      </w:r>
      <w:r w:rsidR="00223928">
        <w:rPr>
          <w:rFonts w:ascii="Garamond" w:hAnsi="Garamond"/>
          <w:color w:val="000000"/>
          <w:sz w:val="25"/>
          <w:szCs w:val="25"/>
        </w:rPr>
        <w:t>c</w:t>
      </w:r>
      <w:r w:rsidRPr="00B05299">
        <w:rPr>
          <w:rFonts w:ascii="Garamond" w:hAnsi="Garamond"/>
          <w:color w:val="000000"/>
          <w:sz w:val="25"/>
          <w:szCs w:val="25"/>
        </w:rPr>
        <w:t xml:space="preserve">ourt also stated that the materials were admissible evidence. The </w:t>
      </w:r>
      <w:r w:rsidR="00223928">
        <w:rPr>
          <w:rFonts w:ascii="Garamond" w:hAnsi="Garamond"/>
          <w:color w:val="000000"/>
          <w:sz w:val="25"/>
          <w:szCs w:val="25"/>
        </w:rPr>
        <w:t>c</w:t>
      </w:r>
      <w:r w:rsidRPr="00B05299">
        <w:rPr>
          <w:rFonts w:ascii="Garamond" w:hAnsi="Garamond"/>
          <w:color w:val="000000"/>
          <w:sz w:val="25"/>
          <w:szCs w:val="25"/>
        </w:rPr>
        <w:t>ourt explained its ruling by differentiating between evidence that was peacefully seized from an inanimate object (the trunk) rather than forcibly seized from an individual. Based on this decision, Mapp</w:t>
      </w:r>
      <w:r w:rsidR="009F4915">
        <w:rPr>
          <w:rFonts w:ascii="Garamond" w:hAnsi="Garamond"/>
          <w:color w:val="000000"/>
          <w:sz w:val="25"/>
          <w:szCs w:val="25"/>
        </w:rPr>
        <w:t>’</w:t>
      </w:r>
      <w:r w:rsidRPr="00B05299">
        <w:rPr>
          <w:rFonts w:ascii="Garamond" w:hAnsi="Garamond"/>
          <w:color w:val="000000"/>
          <w:sz w:val="25"/>
          <w:szCs w:val="25"/>
        </w:rPr>
        <w:t>s appeal was denied and her conviction upheld.</w:t>
      </w:r>
    </w:p>
    <w:p w14:paraId="1F1ED2C5" w14:textId="04023B4B" w:rsidR="00B05299" w:rsidRPr="00B05299" w:rsidRDefault="00B05299" w:rsidP="005D34FB">
      <w:pPr>
        <w:pStyle w:val="NormalWeb"/>
        <w:shd w:val="clear" w:color="auto" w:fill="FFFFFF"/>
        <w:spacing w:before="0" w:beforeAutospacing="0" w:after="120" w:afterAutospacing="0" w:line="276" w:lineRule="auto"/>
        <w:rPr>
          <w:rFonts w:ascii="Garamond" w:hAnsi="Garamond"/>
          <w:color w:val="000000"/>
          <w:sz w:val="25"/>
          <w:szCs w:val="25"/>
        </w:rPr>
      </w:pPr>
      <w:r w:rsidRPr="00B05299">
        <w:rPr>
          <w:rFonts w:ascii="Garamond" w:hAnsi="Garamond"/>
          <w:color w:val="000000"/>
          <w:sz w:val="25"/>
          <w:szCs w:val="25"/>
        </w:rPr>
        <w:t xml:space="preserve">Mapp appealed to the Supreme Court of the United States. The case came down to this fundamental question: May evidence obtained through a search in violation of the Fourth Amendment be admissible in state criminal proceedings? The Fourth Amendment states, </w:t>
      </w:r>
      <w:r w:rsidR="009F4915">
        <w:rPr>
          <w:rFonts w:ascii="Garamond" w:hAnsi="Garamond"/>
          <w:color w:val="000000"/>
          <w:sz w:val="25"/>
          <w:szCs w:val="25"/>
        </w:rPr>
        <w:t>“</w:t>
      </w:r>
      <w:r w:rsidRPr="00B05299">
        <w:rPr>
          <w:rFonts w:ascii="Garamond" w:hAnsi="Garamond"/>
          <w:color w:val="000000"/>
          <w:sz w:val="25"/>
          <w:szCs w:val="25"/>
        </w:rPr>
        <w:t>The right of the people to be secure in their persons, houses, papers, and effects, against unreasonable searches and seizures, shall not be violated, and no Warrants shall issue, but upon probable cause . . . and particularly describing the place to be searched, and the persons or things to be seized.</w:t>
      </w:r>
      <w:r w:rsidR="009F4915">
        <w:rPr>
          <w:rFonts w:ascii="Garamond" w:hAnsi="Garamond"/>
          <w:color w:val="000000"/>
          <w:sz w:val="25"/>
          <w:szCs w:val="25"/>
        </w:rPr>
        <w:t>”</w:t>
      </w:r>
      <w:r w:rsidRPr="00B05299">
        <w:rPr>
          <w:rFonts w:ascii="Garamond" w:hAnsi="Garamond"/>
          <w:color w:val="000000"/>
          <w:sz w:val="25"/>
          <w:szCs w:val="25"/>
        </w:rPr>
        <w:t xml:space="preserve"> The Fourth Amendment, however, does not define when a search or </w:t>
      </w:r>
      <w:r w:rsidRPr="00B05299">
        <w:rPr>
          <w:rFonts w:ascii="Garamond" w:hAnsi="Garamond"/>
          <w:color w:val="000000"/>
          <w:sz w:val="25"/>
          <w:szCs w:val="25"/>
        </w:rPr>
        <w:lastRenderedPageBreak/>
        <w:t xml:space="preserve">seizure is </w:t>
      </w:r>
      <w:r w:rsidR="000D4A82">
        <w:rPr>
          <w:rFonts w:ascii="Garamond" w:hAnsi="Garamond"/>
          <w:color w:val="000000"/>
          <w:sz w:val="25"/>
          <w:szCs w:val="25"/>
        </w:rPr>
        <w:t>“</w:t>
      </w:r>
      <w:r w:rsidRPr="00B05299">
        <w:rPr>
          <w:rFonts w:ascii="Garamond" w:hAnsi="Garamond"/>
          <w:color w:val="000000"/>
          <w:sz w:val="25"/>
          <w:szCs w:val="25"/>
        </w:rPr>
        <w:t>unreasonable</w:t>
      </w:r>
      <w:r w:rsidR="000D4A82">
        <w:rPr>
          <w:rFonts w:ascii="Garamond" w:hAnsi="Garamond"/>
          <w:color w:val="000000"/>
          <w:sz w:val="25"/>
          <w:szCs w:val="25"/>
        </w:rPr>
        <w:t>”</w:t>
      </w:r>
      <w:r w:rsidRPr="00B05299">
        <w:rPr>
          <w:rFonts w:ascii="Garamond" w:hAnsi="Garamond"/>
          <w:color w:val="000000"/>
          <w:sz w:val="25"/>
          <w:szCs w:val="25"/>
        </w:rPr>
        <w:t xml:space="preserve"> nor does it specify how evidence obtained from an unreasonable search should be treated.</w:t>
      </w:r>
    </w:p>
    <w:p w14:paraId="7C88A38F" w14:textId="268561E7" w:rsidR="00B05299" w:rsidRPr="00B05299" w:rsidRDefault="00B05299" w:rsidP="005D34FB">
      <w:pPr>
        <w:pStyle w:val="NormalWeb"/>
        <w:shd w:val="clear" w:color="auto" w:fill="FFFFFF"/>
        <w:spacing w:before="0" w:beforeAutospacing="0" w:after="120" w:afterAutospacing="0" w:line="276" w:lineRule="auto"/>
        <w:rPr>
          <w:rFonts w:ascii="Garamond" w:hAnsi="Garamond"/>
          <w:color w:val="000000"/>
          <w:sz w:val="25"/>
          <w:szCs w:val="25"/>
        </w:rPr>
      </w:pPr>
      <w:r w:rsidRPr="00B05299">
        <w:rPr>
          <w:rFonts w:ascii="Garamond" w:hAnsi="Garamond"/>
          <w:color w:val="000000"/>
          <w:sz w:val="25"/>
          <w:szCs w:val="25"/>
        </w:rPr>
        <w:t>While never previously addressing the specific question presented by Mapp</w:t>
      </w:r>
      <w:r w:rsidR="000D4A82">
        <w:rPr>
          <w:rFonts w:ascii="Garamond" w:hAnsi="Garamond"/>
          <w:color w:val="000000"/>
          <w:sz w:val="25"/>
          <w:szCs w:val="25"/>
        </w:rPr>
        <w:t>’</w:t>
      </w:r>
      <w:r w:rsidRPr="00B05299">
        <w:rPr>
          <w:rFonts w:ascii="Garamond" w:hAnsi="Garamond"/>
          <w:color w:val="000000"/>
          <w:sz w:val="25"/>
          <w:szCs w:val="25"/>
        </w:rPr>
        <w:t xml:space="preserve">s case, the </w:t>
      </w:r>
      <w:r w:rsidR="000D4A82">
        <w:rPr>
          <w:rFonts w:ascii="Garamond" w:hAnsi="Garamond"/>
          <w:color w:val="000000"/>
          <w:sz w:val="25"/>
          <w:szCs w:val="25"/>
        </w:rPr>
        <w:t xml:space="preserve">U.S. </w:t>
      </w:r>
      <w:r w:rsidRPr="00B05299">
        <w:rPr>
          <w:rFonts w:ascii="Garamond" w:hAnsi="Garamond"/>
          <w:color w:val="000000"/>
          <w:sz w:val="25"/>
          <w:szCs w:val="25"/>
        </w:rPr>
        <w:t>Supreme Court had made attempts to determine what constitutes a reasonable search and what evidence can be used in court. It first wrestled with these issues in </w:t>
      </w:r>
      <w:r w:rsidRPr="00B05299">
        <w:rPr>
          <w:rStyle w:val="Emphasis"/>
          <w:rFonts w:ascii="Garamond" w:hAnsi="Garamond"/>
          <w:color w:val="000000"/>
          <w:sz w:val="25"/>
          <w:szCs w:val="25"/>
        </w:rPr>
        <w:t>Boyd v. United States </w:t>
      </w:r>
      <w:r w:rsidRPr="00B05299">
        <w:rPr>
          <w:rFonts w:ascii="Garamond" w:hAnsi="Garamond"/>
          <w:color w:val="000000"/>
          <w:sz w:val="25"/>
          <w:szCs w:val="25"/>
        </w:rPr>
        <w:t xml:space="preserve">(1886) when the Court declared that </w:t>
      </w:r>
      <w:r w:rsidR="000D4A82">
        <w:rPr>
          <w:rFonts w:ascii="Garamond" w:hAnsi="Garamond"/>
          <w:color w:val="000000"/>
          <w:sz w:val="25"/>
          <w:szCs w:val="25"/>
        </w:rPr>
        <w:t>“</w:t>
      </w:r>
      <w:r w:rsidRPr="00B05299">
        <w:rPr>
          <w:rFonts w:ascii="Garamond" w:hAnsi="Garamond"/>
          <w:color w:val="000000"/>
          <w:sz w:val="25"/>
          <w:szCs w:val="25"/>
        </w:rPr>
        <w:t>any forcible and compulsory extortion of a man</w:t>
      </w:r>
      <w:r w:rsidR="000D4A82">
        <w:rPr>
          <w:rFonts w:ascii="Garamond" w:hAnsi="Garamond"/>
          <w:color w:val="000000"/>
          <w:sz w:val="25"/>
          <w:szCs w:val="25"/>
        </w:rPr>
        <w:t>’</w:t>
      </w:r>
      <w:r w:rsidRPr="00B05299">
        <w:rPr>
          <w:rFonts w:ascii="Garamond" w:hAnsi="Garamond"/>
          <w:color w:val="000000"/>
          <w:sz w:val="25"/>
          <w:szCs w:val="25"/>
        </w:rPr>
        <w:t>s own . . . private papers to be used as evidence to convict him of a crime . . . is within the condemnation of . . . [the Fourth Amendment]. Later, in </w:t>
      </w:r>
      <w:r w:rsidRPr="00B05299">
        <w:rPr>
          <w:rStyle w:val="Emphasis"/>
          <w:rFonts w:ascii="Garamond" w:hAnsi="Garamond"/>
          <w:color w:val="000000"/>
          <w:sz w:val="25"/>
          <w:szCs w:val="25"/>
        </w:rPr>
        <w:t>Weeks v. United States </w:t>
      </w:r>
      <w:r w:rsidRPr="00B05299">
        <w:rPr>
          <w:rFonts w:ascii="Garamond" w:hAnsi="Garamond"/>
          <w:color w:val="000000"/>
          <w:sz w:val="25"/>
          <w:szCs w:val="25"/>
        </w:rPr>
        <w:t xml:space="preserve">(1914), the Court ruled that the Fourth Amendment </w:t>
      </w:r>
      <w:r w:rsidR="000D4A82">
        <w:rPr>
          <w:rFonts w:ascii="Garamond" w:hAnsi="Garamond"/>
          <w:color w:val="000000"/>
          <w:sz w:val="25"/>
          <w:szCs w:val="25"/>
        </w:rPr>
        <w:t>“</w:t>
      </w:r>
      <w:r w:rsidRPr="00B05299">
        <w:rPr>
          <w:rFonts w:ascii="Garamond" w:hAnsi="Garamond"/>
          <w:color w:val="000000"/>
          <w:sz w:val="25"/>
          <w:szCs w:val="25"/>
        </w:rPr>
        <w:t>put the courts of the United States and federal officials . . . under limitations . . . and forever secure[d] the people, their persons, houses, papers and effects against all unreasonable searches and seizures</w:t>
      </w:r>
      <w:r w:rsidR="000D4A82">
        <w:rPr>
          <w:rFonts w:ascii="Garamond" w:hAnsi="Garamond"/>
          <w:color w:val="000000"/>
          <w:sz w:val="25"/>
          <w:szCs w:val="25"/>
        </w:rPr>
        <w:t xml:space="preserve"> </w:t>
      </w:r>
      <w:r w:rsidRPr="00B05299">
        <w:rPr>
          <w:rFonts w:ascii="Garamond" w:hAnsi="Garamond"/>
          <w:color w:val="000000"/>
          <w:sz w:val="25"/>
          <w:szCs w:val="25"/>
        </w:rPr>
        <w:t>. . . .</w:t>
      </w:r>
      <w:r w:rsidR="000D4A82">
        <w:rPr>
          <w:rFonts w:ascii="Garamond" w:hAnsi="Garamond"/>
          <w:color w:val="000000"/>
          <w:sz w:val="25"/>
          <w:szCs w:val="25"/>
        </w:rPr>
        <w:t>”</w:t>
      </w:r>
      <w:r w:rsidRPr="00B05299">
        <w:rPr>
          <w:rFonts w:ascii="Garamond" w:hAnsi="Garamond"/>
          <w:color w:val="000000"/>
          <w:sz w:val="25"/>
          <w:szCs w:val="25"/>
        </w:rPr>
        <w:t xml:space="preserve"> </w:t>
      </w:r>
      <w:r w:rsidR="00AF0983" w:rsidRPr="00AF0983">
        <w:rPr>
          <w:rFonts w:ascii="Garamond" w:hAnsi="Garamond"/>
          <w:color w:val="000000"/>
          <w:sz w:val="25"/>
          <w:szCs w:val="25"/>
        </w:rPr>
        <w:t>The ruling in</w:t>
      </w:r>
      <w:r w:rsidR="00AF0983">
        <w:rPr>
          <w:rFonts w:ascii="Garamond" w:hAnsi="Garamond"/>
          <w:i/>
          <w:iCs/>
          <w:color w:val="000000"/>
          <w:sz w:val="25"/>
          <w:szCs w:val="25"/>
        </w:rPr>
        <w:t xml:space="preserve"> </w:t>
      </w:r>
      <w:r w:rsidR="00AF0983" w:rsidRPr="00AF0983">
        <w:rPr>
          <w:rFonts w:ascii="Garamond" w:hAnsi="Garamond"/>
          <w:i/>
          <w:iCs/>
          <w:color w:val="000000"/>
          <w:sz w:val="25"/>
          <w:szCs w:val="25"/>
        </w:rPr>
        <w:t>Weeks</w:t>
      </w:r>
      <w:r w:rsidR="00D80D64">
        <w:rPr>
          <w:rFonts w:ascii="Garamond" w:hAnsi="Garamond"/>
          <w:color w:val="000000"/>
          <w:sz w:val="25"/>
          <w:szCs w:val="25"/>
        </w:rPr>
        <w:t xml:space="preserve"> established the </w:t>
      </w:r>
      <w:r w:rsidR="00D80D64" w:rsidRPr="005D34FB">
        <w:rPr>
          <w:rFonts w:ascii="Garamond" w:hAnsi="Garamond"/>
          <w:color w:val="000000"/>
          <w:sz w:val="25"/>
          <w:szCs w:val="25"/>
        </w:rPr>
        <w:t xml:space="preserve">exclusionary </w:t>
      </w:r>
      <w:r w:rsidR="00FA3FDC" w:rsidRPr="005D34FB">
        <w:rPr>
          <w:rFonts w:ascii="Garamond" w:hAnsi="Garamond"/>
          <w:color w:val="000000"/>
          <w:sz w:val="25"/>
          <w:szCs w:val="25"/>
        </w:rPr>
        <w:t>rule</w:t>
      </w:r>
      <w:r w:rsidR="00FA3FDC">
        <w:rPr>
          <w:rFonts w:ascii="Garamond" w:hAnsi="Garamond"/>
          <w:color w:val="000000"/>
          <w:sz w:val="25"/>
          <w:szCs w:val="25"/>
        </w:rPr>
        <w:t xml:space="preserve"> meaning a</w:t>
      </w:r>
      <w:r w:rsidR="00D80D64">
        <w:rPr>
          <w:rFonts w:ascii="Garamond" w:hAnsi="Garamond"/>
          <w:color w:val="000000"/>
          <w:sz w:val="25"/>
          <w:szCs w:val="25"/>
        </w:rPr>
        <w:t xml:space="preserve"> federal court cannot use unlawfully seized evidence to establish guilt at trial. </w:t>
      </w:r>
      <w:r w:rsidRPr="00B05299">
        <w:rPr>
          <w:rFonts w:ascii="Garamond" w:hAnsi="Garamond"/>
          <w:color w:val="000000"/>
          <w:sz w:val="25"/>
          <w:szCs w:val="25"/>
        </w:rPr>
        <w:t>By including only U</w:t>
      </w:r>
      <w:r w:rsidR="000D4A82">
        <w:rPr>
          <w:rFonts w:ascii="Garamond" w:hAnsi="Garamond"/>
          <w:color w:val="000000"/>
          <w:sz w:val="25"/>
          <w:szCs w:val="25"/>
        </w:rPr>
        <w:t>.S.</w:t>
      </w:r>
      <w:r w:rsidRPr="00B05299">
        <w:rPr>
          <w:rFonts w:ascii="Garamond" w:hAnsi="Garamond"/>
          <w:color w:val="000000"/>
          <w:sz w:val="25"/>
          <w:szCs w:val="25"/>
        </w:rPr>
        <w:t xml:space="preserve"> and federal officials in its ruling, however, the Court still left open the question of whether evidence unlawfully seized could be used in a state criminal court proceeding. In </w:t>
      </w:r>
      <w:r w:rsidRPr="00B05299">
        <w:rPr>
          <w:rStyle w:val="Emphasis"/>
          <w:rFonts w:ascii="Garamond" w:hAnsi="Garamond"/>
          <w:color w:val="000000"/>
          <w:sz w:val="25"/>
          <w:szCs w:val="25"/>
        </w:rPr>
        <w:t>Wolf v. Colorado </w:t>
      </w:r>
      <w:r w:rsidRPr="00B05299">
        <w:rPr>
          <w:rFonts w:ascii="Garamond" w:hAnsi="Garamond"/>
          <w:color w:val="000000"/>
          <w:sz w:val="25"/>
          <w:szCs w:val="25"/>
        </w:rPr>
        <w:t>(1949), the Court for the first time discussed the effect of the Fourth Amendment on the states. It concluded that the Due Process Clause of the 14</w:t>
      </w:r>
      <w:r w:rsidRPr="005D34FB">
        <w:rPr>
          <w:rFonts w:ascii="Garamond" w:hAnsi="Garamond"/>
          <w:color w:val="000000"/>
          <w:sz w:val="25"/>
          <w:szCs w:val="25"/>
          <w:vertAlign w:val="superscript"/>
        </w:rPr>
        <w:t>th</w:t>
      </w:r>
      <w:r w:rsidRPr="00B05299">
        <w:rPr>
          <w:rFonts w:ascii="Garamond" w:hAnsi="Garamond"/>
          <w:color w:val="000000"/>
          <w:sz w:val="25"/>
          <w:szCs w:val="25"/>
        </w:rPr>
        <w:t xml:space="preserve"> Amendment incorporated, or made applicable to the states, the Fourth Amendment to the Constitution. However, the ruling in </w:t>
      </w:r>
      <w:r w:rsidRPr="00B05299">
        <w:rPr>
          <w:rStyle w:val="Emphasis"/>
          <w:rFonts w:ascii="Garamond" w:hAnsi="Garamond"/>
          <w:color w:val="000000"/>
          <w:sz w:val="25"/>
          <w:szCs w:val="25"/>
        </w:rPr>
        <w:t>Wolf</w:t>
      </w:r>
      <w:r w:rsidRPr="00B05299">
        <w:rPr>
          <w:rFonts w:ascii="Garamond" w:hAnsi="Garamond"/>
          <w:color w:val="000000"/>
          <w:sz w:val="25"/>
          <w:szCs w:val="25"/>
        </w:rPr>
        <w:t xml:space="preserve"> also made clear that </w:t>
      </w:r>
      <w:r w:rsidR="000D4A82">
        <w:rPr>
          <w:rFonts w:ascii="Garamond" w:hAnsi="Garamond"/>
          <w:color w:val="000000"/>
          <w:sz w:val="25"/>
          <w:szCs w:val="25"/>
        </w:rPr>
        <w:t>“</w:t>
      </w:r>
      <w:r w:rsidRPr="00B05299">
        <w:rPr>
          <w:rFonts w:ascii="Garamond" w:hAnsi="Garamond"/>
          <w:color w:val="000000"/>
          <w:sz w:val="25"/>
          <w:szCs w:val="25"/>
        </w:rPr>
        <w:t>in a prosecution in a State court for a State crime the 14</w:t>
      </w:r>
      <w:r w:rsidRPr="005D34FB">
        <w:rPr>
          <w:rFonts w:ascii="Garamond" w:hAnsi="Garamond"/>
          <w:color w:val="000000"/>
          <w:sz w:val="25"/>
          <w:szCs w:val="25"/>
          <w:vertAlign w:val="superscript"/>
        </w:rPr>
        <w:t>th</w:t>
      </w:r>
      <w:r w:rsidRPr="00B05299">
        <w:rPr>
          <w:rFonts w:ascii="Garamond" w:hAnsi="Garamond"/>
          <w:color w:val="000000"/>
          <w:sz w:val="25"/>
          <w:szCs w:val="25"/>
        </w:rPr>
        <w:t xml:space="preserve"> Amendment does not forbid the admission of evidence obtained by an unreasonable search and seizure.</w:t>
      </w:r>
      <w:r w:rsidR="000D4A82">
        <w:rPr>
          <w:rFonts w:ascii="Garamond" w:hAnsi="Garamond"/>
          <w:color w:val="000000"/>
          <w:sz w:val="25"/>
          <w:szCs w:val="25"/>
        </w:rPr>
        <w:t>”</w:t>
      </w:r>
      <w:r w:rsidRPr="00B05299">
        <w:rPr>
          <w:rFonts w:ascii="Garamond" w:hAnsi="Garamond"/>
          <w:color w:val="000000"/>
          <w:sz w:val="25"/>
          <w:szCs w:val="25"/>
        </w:rPr>
        <w:t xml:space="preserve"> In other words, the exclusionary rule did not apply to the states.</w:t>
      </w:r>
    </w:p>
    <w:p w14:paraId="20F7968B" w14:textId="66099D9A" w:rsidR="00B05299" w:rsidRPr="00B05299" w:rsidRDefault="00B05299" w:rsidP="005D34FB">
      <w:pPr>
        <w:pStyle w:val="NormalWeb"/>
        <w:shd w:val="clear" w:color="auto" w:fill="FFFFFF"/>
        <w:spacing w:before="0" w:beforeAutospacing="0" w:after="120" w:afterAutospacing="0" w:line="276" w:lineRule="auto"/>
        <w:rPr>
          <w:rFonts w:ascii="Garamond" w:hAnsi="Garamond"/>
          <w:color w:val="000000"/>
          <w:sz w:val="25"/>
          <w:szCs w:val="25"/>
        </w:rPr>
      </w:pPr>
      <w:r w:rsidRPr="00B05299">
        <w:rPr>
          <w:rFonts w:ascii="Garamond" w:hAnsi="Garamond"/>
          <w:color w:val="000000"/>
          <w:sz w:val="25"/>
          <w:szCs w:val="25"/>
        </w:rPr>
        <w:t>Some states, including Ohio, felt that they should be able to make their own determination regarding the admissibility of illegally obtained evidence. Nevertheless, in 1960 the Supreme Court of the United States agreed to hear Mapp</w:t>
      </w:r>
      <w:r w:rsidR="000D4A82">
        <w:rPr>
          <w:rFonts w:ascii="Garamond" w:hAnsi="Garamond"/>
          <w:color w:val="000000"/>
          <w:sz w:val="25"/>
          <w:szCs w:val="25"/>
        </w:rPr>
        <w:t>’</w:t>
      </w:r>
      <w:r w:rsidRPr="00B05299">
        <w:rPr>
          <w:rFonts w:ascii="Garamond" w:hAnsi="Garamond"/>
          <w:color w:val="000000"/>
          <w:sz w:val="25"/>
          <w:szCs w:val="25"/>
        </w:rPr>
        <w:t>s case and reconsider the decision it had reached in </w:t>
      </w:r>
      <w:r w:rsidRPr="00B05299">
        <w:rPr>
          <w:rStyle w:val="Emphasis"/>
          <w:rFonts w:ascii="Garamond" w:hAnsi="Garamond"/>
          <w:color w:val="000000"/>
          <w:sz w:val="25"/>
          <w:szCs w:val="25"/>
        </w:rPr>
        <w:t>Wolf</w:t>
      </w:r>
      <w:r w:rsidRPr="00B05299">
        <w:rPr>
          <w:rFonts w:ascii="Garamond" w:hAnsi="Garamond"/>
          <w:color w:val="000000"/>
          <w:sz w:val="25"/>
          <w:szCs w:val="25"/>
        </w:rPr>
        <w:t> by determining whether the U.S. Constitution prohibited state officials from using evidence obtained in violation of the Fourth Amendment. The decision in </w:t>
      </w:r>
      <w:r w:rsidRPr="00B05299">
        <w:rPr>
          <w:rStyle w:val="Emphasis"/>
          <w:rFonts w:ascii="Garamond" w:hAnsi="Garamond"/>
          <w:color w:val="000000"/>
          <w:sz w:val="25"/>
          <w:szCs w:val="25"/>
        </w:rPr>
        <w:t>Mapp v. Ohio </w:t>
      </w:r>
      <w:r w:rsidRPr="00B05299">
        <w:rPr>
          <w:rFonts w:ascii="Garamond" w:hAnsi="Garamond"/>
          <w:color w:val="000000"/>
          <w:sz w:val="25"/>
          <w:szCs w:val="25"/>
        </w:rPr>
        <w:t>was handed down in 1961.</w:t>
      </w:r>
    </w:p>
    <w:p w14:paraId="5B6F34EC" w14:textId="77777777" w:rsidR="00F64E56" w:rsidRPr="00987C93" w:rsidRDefault="00F64E56" w:rsidP="00987C93">
      <w:pPr>
        <w:pStyle w:val="Subhead1sl"/>
        <w:spacing w:after="240"/>
      </w:pPr>
      <w:r w:rsidRPr="00987C93">
        <w:t>Questions to Consider</w:t>
      </w:r>
    </w:p>
    <w:p w14:paraId="7445586A" w14:textId="77777777" w:rsidR="00B05299" w:rsidRPr="00B05299" w:rsidRDefault="00B05299" w:rsidP="005D34FB">
      <w:pPr>
        <w:pStyle w:val="NormalWeb"/>
        <w:numPr>
          <w:ilvl w:val="0"/>
          <w:numId w:val="13"/>
        </w:numPr>
        <w:shd w:val="clear" w:color="auto" w:fill="FFFFFF"/>
        <w:tabs>
          <w:tab w:val="clear" w:pos="720"/>
          <w:tab w:val="num" w:pos="360"/>
        </w:tabs>
        <w:spacing w:before="0" w:beforeAutospacing="0" w:after="2160" w:afterAutospacing="0" w:line="276" w:lineRule="auto"/>
        <w:ind w:left="360"/>
        <w:rPr>
          <w:rFonts w:ascii="Garamond" w:hAnsi="Garamond"/>
          <w:color w:val="000000"/>
          <w:sz w:val="25"/>
          <w:szCs w:val="25"/>
        </w:rPr>
      </w:pPr>
      <w:r w:rsidRPr="00B05299">
        <w:rPr>
          <w:rFonts w:ascii="Garamond" w:hAnsi="Garamond"/>
          <w:color w:val="000000"/>
          <w:sz w:val="25"/>
          <w:szCs w:val="25"/>
        </w:rPr>
        <w:t>In your opinion, was Dollree Mapp justified in denying the police entrance to her house? Explain your reasoning.</w:t>
      </w:r>
    </w:p>
    <w:p w14:paraId="235DC296" w14:textId="2F840285" w:rsidR="00B05299" w:rsidRPr="00B05299" w:rsidRDefault="00B05299" w:rsidP="005D34FB">
      <w:pPr>
        <w:pStyle w:val="NormalWeb"/>
        <w:numPr>
          <w:ilvl w:val="0"/>
          <w:numId w:val="13"/>
        </w:numPr>
        <w:shd w:val="clear" w:color="auto" w:fill="FFFFFF"/>
        <w:tabs>
          <w:tab w:val="clear" w:pos="720"/>
          <w:tab w:val="num" w:pos="360"/>
        </w:tabs>
        <w:spacing w:before="0" w:beforeAutospacing="0" w:after="2160" w:afterAutospacing="0" w:line="276" w:lineRule="auto"/>
        <w:ind w:left="360"/>
        <w:rPr>
          <w:rFonts w:ascii="Garamond" w:hAnsi="Garamond"/>
          <w:color w:val="000000"/>
          <w:sz w:val="25"/>
          <w:szCs w:val="25"/>
        </w:rPr>
      </w:pPr>
      <w:r w:rsidRPr="00B05299">
        <w:rPr>
          <w:rFonts w:ascii="Garamond" w:hAnsi="Garamond"/>
          <w:color w:val="000000"/>
          <w:sz w:val="25"/>
          <w:szCs w:val="25"/>
        </w:rPr>
        <w:lastRenderedPageBreak/>
        <w:t xml:space="preserve">The Fourth Amendment states </w:t>
      </w:r>
      <w:r w:rsidR="000D4A82">
        <w:rPr>
          <w:rFonts w:ascii="Garamond" w:hAnsi="Garamond"/>
          <w:color w:val="000000"/>
          <w:sz w:val="25"/>
          <w:szCs w:val="25"/>
        </w:rPr>
        <w:t>“</w:t>
      </w:r>
      <w:r w:rsidRPr="00B05299">
        <w:rPr>
          <w:rFonts w:ascii="Garamond" w:hAnsi="Garamond"/>
          <w:color w:val="000000"/>
          <w:sz w:val="25"/>
          <w:szCs w:val="25"/>
        </w:rPr>
        <w:t xml:space="preserve">The right of the people to be secure . . . against unreasonable searches and seizures shall not be violated . . . </w:t>
      </w:r>
      <w:r w:rsidR="000D4A82">
        <w:rPr>
          <w:rFonts w:ascii="Garamond" w:hAnsi="Garamond"/>
          <w:color w:val="000000"/>
          <w:sz w:val="25"/>
          <w:szCs w:val="25"/>
        </w:rPr>
        <w:t>.”</w:t>
      </w:r>
      <w:r w:rsidRPr="00B05299">
        <w:rPr>
          <w:rFonts w:ascii="Garamond" w:hAnsi="Garamond"/>
          <w:color w:val="000000"/>
          <w:sz w:val="25"/>
          <w:szCs w:val="25"/>
        </w:rPr>
        <w:t xml:space="preserve"> If you were a justice for the Supreme Court of Ohio what, if anything, would you find unreasonable </w:t>
      </w:r>
      <w:r w:rsidR="00D738F1">
        <w:rPr>
          <w:rFonts w:ascii="Garamond" w:hAnsi="Garamond"/>
          <w:color w:val="000000"/>
          <w:sz w:val="25"/>
          <w:szCs w:val="25"/>
        </w:rPr>
        <w:t>about</w:t>
      </w:r>
      <w:r w:rsidR="00D738F1" w:rsidRPr="00B05299">
        <w:rPr>
          <w:rFonts w:ascii="Garamond" w:hAnsi="Garamond"/>
          <w:color w:val="000000"/>
          <w:sz w:val="25"/>
          <w:szCs w:val="25"/>
        </w:rPr>
        <w:t xml:space="preserve"> </w:t>
      </w:r>
      <w:r w:rsidRPr="00B05299">
        <w:rPr>
          <w:rFonts w:ascii="Garamond" w:hAnsi="Garamond"/>
          <w:color w:val="000000"/>
          <w:sz w:val="25"/>
          <w:szCs w:val="25"/>
        </w:rPr>
        <w:t>the search of Mapp</w:t>
      </w:r>
      <w:r w:rsidR="000D4A82">
        <w:rPr>
          <w:rFonts w:ascii="Garamond" w:hAnsi="Garamond"/>
          <w:color w:val="000000"/>
          <w:sz w:val="25"/>
          <w:szCs w:val="25"/>
        </w:rPr>
        <w:t>’</w:t>
      </w:r>
      <w:r w:rsidRPr="00B05299">
        <w:rPr>
          <w:rFonts w:ascii="Garamond" w:hAnsi="Garamond"/>
          <w:color w:val="000000"/>
          <w:sz w:val="25"/>
          <w:szCs w:val="25"/>
        </w:rPr>
        <w:t>s house? Explain.</w:t>
      </w:r>
    </w:p>
    <w:p w14:paraId="5EFEB381" w14:textId="60AB2785" w:rsidR="00B05299" w:rsidRDefault="00B05299" w:rsidP="005D34FB">
      <w:pPr>
        <w:pStyle w:val="NormalWeb"/>
        <w:numPr>
          <w:ilvl w:val="0"/>
          <w:numId w:val="13"/>
        </w:numPr>
        <w:shd w:val="clear" w:color="auto" w:fill="FFFFFF"/>
        <w:tabs>
          <w:tab w:val="clear" w:pos="720"/>
          <w:tab w:val="num" w:pos="360"/>
        </w:tabs>
        <w:spacing w:before="0" w:beforeAutospacing="0" w:after="120" w:afterAutospacing="0" w:line="276" w:lineRule="auto"/>
        <w:ind w:left="360"/>
        <w:rPr>
          <w:rFonts w:ascii="Garamond" w:hAnsi="Garamond"/>
          <w:color w:val="000000"/>
          <w:sz w:val="25"/>
          <w:szCs w:val="25"/>
        </w:rPr>
      </w:pPr>
      <w:r w:rsidRPr="00B05299">
        <w:rPr>
          <w:rFonts w:ascii="Garamond" w:hAnsi="Garamond"/>
          <w:color w:val="000000"/>
          <w:sz w:val="25"/>
          <w:szCs w:val="25"/>
        </w:rPr>
        <w:t>Complete the chart below based on your reading</w:t>
      </w:r>
      <w:r w:rsidR="000C6C22">
        <w:rPr>
          <w:rFonts w:ascii="Garamond" w:hAnsi="Garamond"/>
          <w:color w:val="000000"/>
          <w:sz w:val="25"/>
          <w:szCs w:val="25"/>
        </w:rPr>
        <w:t>:</w:t>
      </w:r>
    </w:p>
    <w:tbl>
      <w:tblPr>
        <w:tblStyle w:val="TableGrid"/>
        <w:tblW w:w="0" w:type="auto"/>
        <w:tblInd w:w="360" w:type="dxa"/>
        <w:tblLook w:val="04A0" w:firstRow="1" w:lastRow="0" w:firstColumn="1" w:lastColumn="0" w:noHBand="0" w:noVBand="1"/>
      </w:tblPr>
      <w:tblGrid>
        <w:gridCol w:w="1437"/>
        <w:gridCol w:w="3509"/>
        <w:gridCol w:w="4044"/>
      </w:tblGrid>
      <w:tr w:rsidR="000C6C22" w14:paraId="0F4AFB4D" w14:textId="77777777" w:rsidTr="005D34FB">
        <w:trPr>
          <w:trHeight w:val="683"/>
        </w:trPr>
        <w:tc>
          <w:tcPr>
            <w:tcW w:w="1458" w:type="dxa"/>
            <w:shd w:val="clear" w:color="auto" w:fill="F2F2F2" w:themeFill="background1" w:themeFillShade="F2"/>
            <w:vAlign w:val="center"/>
          </w:tcPr>
          <w:p w14:paraId="30D20071" w14:textId="76617677" w:rsidR="000C6C22" w:rsidRPr="005D34FB" w:rsidRDefault="000C6C22" w:rsidP="005D34FB">
            <w:pPr>
              <w:pStyle w:val="BasiccopyLMC"/>
              <w:spacing w:after="0"/>
              <w:jc w:val="center"/>
              <w:rPr>
                <w:b/>
                <w:bCs/>
              </w:rPr>
            </w:pPr>
            <w:r w:rsidRPr="005D34FB">
              <w:rPr>
                <w:b/>
                <w:bCs/>
              </w:rPr>
              <w:t>Case</w:t>
            </w:r>
          </w:p>
        </w:tc>
        <w:tc>
          <w:tcPr>
            <w:tcW w:w="3600" w:type="dxa"/>
            <w:shd w:val="clear" w:color="auto" w:fill="F2F2F2" w:themeFill="background1" w:themeFillShade="F2"/>
            <w:vAlign w:val="center"/>
          </w:tcPr>
          <w:p w14:paraId="0367CC0A" w14:textId="766ABF7C" w:rsidR="000C6C22" w:rsidRPr="005D34FB" w:rsidRDefault="000D4A82" w:rsidP="005D34FB">
            <w:pPr>
              <w:pStyle w:val="BasiccopyLMC"/>
              <w:spacing w:after="0"/>
              <w:jc w:val="center"/>
              <w:rPr>
                <w:b/>
                <w:bCs/>
              </w:rPr>
            </w:pPr>
            <w:r w:rsidRPr="005D34FB">
              <w:rPr>
                <w:b/>
                <w:bCs/>
              </w:rPr>
              <w:t xml:space="preserve">How did this </w:t>
            </w:r>
            <w:r w:rsidR="000C6C22" w:rsidRPr="005D34FB">
              <w:rPr>
                <w:b/>
                <w:bCs/>
              </w:rPr>
              <w:t>decision extend the rights of individuals</w:t>
            </w:r>
            <w:r w:rsidRPr="005D34FB">
              <w:rPr>
                <w:b/>
                <w:bCs/>
              </w:rPr>
              <w:t>?</w:t>
            </w:r>
          </w:p>
        </w:tc>
        <w:tc>
          <w:tcPr>
            <w:tcW w:w="4158" w:type="dxa"/>
            <w:shd w:val="clear" w:color="auto" w:fill="F2F2F2" w:themeFill="background1" w:themeFillShade="F2"/>
            <w:vAlign w:val="center"/>
          </w:tcPr>
          <w:p w14:paraId="400B5F12" w14:textId="6CD73FB8" w:rsidR="000C6C22" w:rsidRPr="005D34FB" w:rsidRDefault="000D4A82" w:rsidP="005D34FB">
            <w:pPr>
              <w:pStyle w:val="BasiccopyLMC"/>
              <w:spacing w:after="0"/>
              <w:jc w:val="center"/>
              <w:rPr>
                <w:b/>
                <w:bCs/>
              </w:rPr>
            </w:pPr>
            <w:r w:rsidRPr="005D34FB">
              <w:rPr>
                <w:b/>
                <w:bCs/>
              </w:rPr>
              <w:t xml:space="preserve">How did this decision </w:t>
            </w:r>
            <w:r w:rsidR="000C6C22" w:rsidRPr="005D34FB">
              <w:rPr>
                <w:b/>
                <w:bCs/>
              </w:rPr>
              <w:t>constrain the rights of individuals</w:t>
            </w:r>
            <w:r w:rsidRPr="005D34FB">
              <w:rPr>
                <w:b/>
                <w:bCs/>
              </w:rPr>
              <w:t>?</w:t>
            </w:r>
          </w:p>
        </w:tc>
      </w:tr>
      <w:tr w:rsidR="000C6C22" w14:paraId="140A6D00" w14:textId="77777777" w:rsidTr="005D34FB">
        <w:tc>
          <w:tcPr>
            <w:tcW w:w="1458" w:type="dxa"/>
            <w:shd w:val="clear" w:color="auto" w:fill="F2F2F2" w:themeFill="background1" w:themeFillShade="F2"/>
            <w:vAlign w:val="center"/>
          </w:tcPr>
          <w:p w14:paraId="4A977092" w14:textId="77777777" w:rsidR="000C6C22" w:rsidRDefault="000C6C22" w:rsidP="005D34FB">
            <w:pPr>
              <w:pStyle w:val="BasiccopyLMC"/>
              <w:spacing w:before="360" w:after="360"/>
            </w:pPr>
            <w:r w:rsidRPr="000C6C22">
              <w:rPr>
                <w:i/>
                <w:iCs/>
              </w:rPr>
              <w:t>Boyd v. United States</w:t>
            </w:r>
            <w:r w:rsidRPr="00B205AD">
              <w:t xml:space="preserve"> (1886)</w:t>
            </w:r>
          </w:p>
        </w:tc>
        <w:tc>
          <w:tcPr>
            <w:tcW w:w="3600" w:type="dxa"/>
          </w:tcPr>
          <w:p w14:paraId="2EC66256" w14:textId="77777777" w:rsidR="000C6C22" w:rsidRDefault="000C6C22" w:rsidP="00C876D4">
            <w:pPr>
              <w:pStyle w:val="BasiccopyLMC"/>
              <w:spacing w:after="960"/>
            </w:pPr>
          </w:p>
        </w:tc>
        <w:tc>
          <w:tcPr>
            <w:tcW w:w="4158" w:type="dxa"/>
          </w:tcPr>
          <w:p w14:paraId="0BB75A28" w14:textId="77777777" w:rsidR="000C6C22" w:rsidRDefault="000C6C22" w:rsidP="00C876D4">
            <w:pPr>
              <w:pStyle w:val="BasiccopyLMC"/>
              <w:spacing w:after="960"/>
            </w:pPr>
          </w:p>
        </w:tc>
      </w:tr>
      <w:tr w:rsidR="000C6C22" w14:paraId="77B4967A" w14:textId="77777777" w:rsidTr="005D34FB">
        <w:tc>
          <w:tcPr>
            <w:tcW w:w="1458" w:type="dxa"/>
            <w:shd w:val="clear" w:color="auto" w:fill="F2F2F2" w:themeFill="background1" w:themeFillShade="F2"/>
            <w:vAlign w:val="center"/>
          </w:tcPr>
          <w:p w14:paraId="6F0462E0" w14:textId="77777777" w:rsidR="000C6C22" w:rsidRDefault="000C6C22" w:rsidP="005D34FB">
            <w:pPr>
              <w:pStyle w:val="BasiccopyLMC"/>
              <w:spacing w:before="360" w:after="360"/>
            </w:pPr>
            <w:r w:rsidRPr="000C6C22">
              <w:rPr>
                <w:i/>
                <w:iCs/>
              </w:rPr>
              <w:t>Weeks v. United States</w:t>
            </w:r>
            <w:r w:rsidRPr="00B205AD">
              <w:t xml:space="preserve"> (1914)</w:t>
            </w:r>
          </w:p>
        </w:tc>
        <w:tc>
          <w:tcPr>
            <w:tcW w:w="3600" w:type="dxa"/>
          </w:tcPr>
          <w:p w14:paraId="16522F54" w14:textId="77777777" w:rsidR="000C6C22" w:rsidRDefault="000C6C22" w:rsidP="00C876D4">
            <w:pPr>
              <w:pStyle w:val="BasiccopyLMC"/>
              <w:spacing w:after="960"/>
            </w:pPr>
          </w:p>
        </w:tc>
        <w:tc>
          <w:tcPr>
            <w:tcW w:w="4158" w:type="dxa"/>
          </w:tcPr>
          <w:p w14:paraId="69EE580B" w14:textId="77777777" w:rsidR="000C6C22" w:rsidRDefault="000C6C22" w:rsidP="00C876D4">
            <w:pPr>
              <w:pStyle w:val="BasiccopyLMC"/>
              <w:spacing w:after="960"/>
            </w:pPr>
          </w:p>
        </w:tc>
      </w:tr>
      <w:tr w:rsidR="000C6C22" w14:paraId="71DFBE37" w14:textId="77777777" w:rsidTr="005D34FB">
        <w:tc>
          <w:tcPr>
            <w:tcW w:w="1458" w:type="dxa"/>
            <w:shd w:val="clear" w:color="auto" w:fill="F2F2F2" w:themeFill="background1" w:themeFillShade="F2"/>
            <w:vAlign w:val="center"/>
          </w:tcPr>
          <w:p w14:paraId="65FDC985" w14:textId="77777777" w:rsidR="000C6C22" w:rsidRDefault="000C6C22" w:rsidP="005D34FB">
            <w:pPr>
              <w:pStyle w:val="BasiccopyLMC"/>
              <w:spacing w:before="360" w:after="360"/>
            </w:pPr>
            <w:r w:rsidRPr="000C6C22">
              <w:rPr>
                <w:i/>
                <w:iCs/>
              </w:rPr>
              <w:t>Wolf v. Colorado</w:t>
            </w:r>
            <w:r w:rsidRPr="00B205AD">
              <w:t xml:space="preserve"> (1949)</w:t>
            </w:r>
          </w:p>
        </w:tc>
        <w:tc>
          <w:tcPr>
            <w:tcW w:w="3600" w:type="dxa"/>
          </w:tcPr>
          <w:p w14:paraId="5428CF41" w14:textId="77777777" w:rsidR="000C6C22" w:rsidRDefault="000C6C22" w:rsidP="00C876D4">
            <w:pPr>
              <w:pStyle w:val="BasiccopyLMC"/>
              <w:spacing w:after="960"/>
            </w:pPr>
          </w:p>
        </w:tc>
        <w:tc>
          <w:tcPr>
            <w:tcW w:w="4158" w:type="dxa"/>
          </w:tcPr>
          <w:p w14:paraId="3CA3C595" w14:textId="77777777" w:rsidR="000C6C22" w:rsidRDefault="000C6C22" w:rsidP="00C876D4">
            <w:pPr>
              <w:pStyle w:val="BasiccopyLMC"/>
              <w:spacing w:after="960"/>
            </w:pPr>
          </w:p>
        </w:tc>
      </w:tr>
    </w:tbl>
    <w:p w14:paraId="6C3952D9" w14:textId="5D0D8885" w:rsidR="00B05299" w:rsidRPr="00B05299" w:rsidRDefault="00B05299" w:rsidP="005D34FB">
      <w:pPr>
        <w:pStyle w:val="NormalWeb"/>
        <w:numPr>
          <w:ilvl w:val="0"/>
          <w:numId w:val="13"/>
        </w:numPr>
        <w:shd w:val="clear" w:color="auto" w:fill="FFFFFF"/>
        <w:tabs>
          <w:tab w:val="clear" w:pos="720"/>
          <w:tab w:val="num" w:pos="360"/>
        </w:tabs>
        <w:spacing w:before="240" w:beforeAutospacing="0" w:after="3000" w:afterAutospacing="0" w:line="276" w:lineRule="auto"/>
        <w:ind w:left="360"/>
        <w:rPr>
          <w:rFonts w:ascii="Garamond" w:hAnsi="Garamond"/>
          <w:color w:val="000000"/>
          <w:sz w:val="25"/>
          <w:szCs w:val="25"/>
        </w:rPr>
      </w:pPr>
      <w:r w:rsidRPr="00B05299">
        <w:rPr>
          <w:rFonts w:ascii="Garamond" w:hAnsi="Garamond"/>
          <w:color w:val="000000"/>
          <w:sz w:val="25"/>
          <w:szCs w:val="25"/>
        </w:rPr>
        <w:t>Why didn</w:t>
      </w:r>
      <w:r w:rsidR="000D4A82">
        <w:rPr>
          <w:rFonts w:ascii="Garamond" w:hAnsi="Garamond"/>
          <w:color w:val="000000"/>
          <w:sz w:val="25"/>
          <w:szCs w:val="25"/>
        </w:rPr>
        <w:t>’</w:t>
      </w:r>
      <w:r w:rsidRPr="00B05299">
        <w:rPr>
          <w:rFonts w:ascii="Garamond" w:hAnsi="Garamond"/>
          <w:color w:val="000000"/>
          <w:sz w:val="25"/>
          <w:szCs w:val="25"/>
        </w:rPr>
        <w:t>t the Court</w:t>
      </w:r>
      <w:r w:rsidR="000D4A82">
        <w:rPr>
          <w:rFonts w:ascii="Garamond" w:hAnsi="Garamond"/>
          <w:color w:val="000000"/>
          <w:sz w:val="25"/>
          <w:szCs w:val="25"/>
        </w:rPr>
        <w:t>’</w:t>
      </w:r>
      <w:r w:rsidRPr="00B05299">
        <w:rPr>
          <w:rFonts w:ascii="Garamond" w:hAnsi="Garamond"/>
          <w:color w:val="000000"/>
          <w:sz w:val="25"/>
          <w:szCs w:val="25"/>
        </w:rPr>
        <w:t>s decision in</w:t>
      </w:r>
      <w:r w:rsidR="00F1180A">
        <w:rPr>
          <w:rFonts w:ascii="Garamond" w:hAnsi="Garamond"/>
          <w:color w:val="000000"/>
          <w:sz w:val="25"/>
          <w:szCs w:val="25"/>
        </w:rPr>
        <w:t xml:space="preserve"> </w:t>
      </w:r>
      <w:r w:rsidRPr="00B05299">
        <w:rPr>
          <w:rStyle w:val="Emphasis"/>
          <w:rFonts w:ascii="Garamond" w:hAnsi="Garamond"/>
          <w:color w:val="000000"/>
          <w:sz w:val="25"/>
          <w:szCs w:val="25"/>
        </w:rPr>
        <w:t>Wolf</w:t>
      </w:r>
      <w:r w:rsidR="00DE2FCB">
        <w:rPr>
          <w:rFonts w:ascii="Garamond" w:hAnsi="Garamond"/>
          <w:color w:val="000000"/>
          <w:sz w:val="25"/>
          <w:szCs w:val="25"/>
        </w:rPr>
        <w:t xml:space="preserve"> </w:t>
      </w:r>
      <w:r w:rsidR="00DE2FCB" w:rsidRPr="00DE2FCB">
        <w:rPr>
          <w:rFonts w:ascii="Garamond" w:hAnsi="Garamond"/>
          <w:i/>
          <w:iCs/>
          <w:color w:val="000000"/>
          <w:sz w:val="25"/>
          <w:szCs w:val="25"/>
        </w:rPr>
        <w:t>v. Colorado</w:t>
      </w:r>
      <w:r w:rsidR="00DE2FCB">
        <w:rPr>
          <w:rFonts w:ascii="Garamond" w:hAnsi="Garamond"/>
          <w:color w:val="000000"/>
          <w:sz w:val="25"/>
          <w:szCs w:val="25"/>
        </w:rPr>
        <w:t xml:space="preserve"> </w:t>
      </w:r>
      <w:r w:rsidRPr="00B05299">
        <w:rPr>
          <w:rFonts w:ascii="Garamond" w:hAnsi="Garamond"/>
          <w:color w:val="000000"/>
          <w:sz w:val="25"/>
          <w:szCs w:val="25"/>
        </w:rPr>
        <w:t>protect Mapp?</w:t>
      </w:r>
    </w:p>
    <w:p w14:paraId="6E2C39C1" w14:textId="6B90AE55" w:rsidR="00B05299" w:rsidRPr="00B05299" w:rsidRDefault="00B05299" w:rsidP="00165668">
      <w:pPr>
        <w:pStyle w:val="NormalWeb"/>
        <w:numPr>
          <w:ilvl w:val="0"/>
          <w:numId w:val="13"/>
        </w:numPr>
        <w:shd w:val="clear" w:color="auto" w:fill="FFFFFF"/>
        <w:tabs>
          <w:tab w:val="clear" w:pos="720"/>
          <w:tab w:val="num" w:pos="360"/>
        </w:tabs>
        <w:spacing w:before="0" w:beforeAutospacing="0" w:after="840" w:afterAutospacing="0" w:line="276" w:lineRule="auto"/>
        <w:ind w:left="360"/>
        <w:rPr>
          <w:rFonts w:ascii="Garamond" w:hAnsi="Garamond"/>
          <w:color w:val="000000"/>
          <w:sz w:val="25"/>
          <w:szCs w:val="25"/>
        </w:rPr>
      </w:pPr>
      <w:r w:rsidRPr="00B05299">
        <w:rPr>
          <w:rFonts w:ascii="Garamond" w:hAnsi="Garamond"/>
          <w:color w:val="000000"/>
          <w:sz w:val="25"/>
          <w:szCs w:val="25"/>
        </w:rPr>
        <w:lastRenderedPageBreak/>
        <w:t xml:space="preserve">The </w:t>
      </w:r>
      <w:r w:rsidR="000D4A82">
        <w:rPr>
          <w:rFonts w:ascii="Garamond" w:hAnsi="Garamond"/>
          <w:color w:val="000000"/>
          <w:sz w:val="25"/>
          <w:szCs w:val="25"/>
        </w:rPr>
        <w:t xml:space="preserve">U.S. </w:t>
      </w:r>
      <w:r w:rsidRPr="00B05299">
        <w:rPr>
          <w:rFonts w:ascii="Garamond" w:hAnsi="Garamond"/>
          <w:color w:val="000000"/>
          <w:sz w:val="25"/>
          <w:szCs w:val="25"/>
        </w:rPr>
        <w:t xml:space="preserve">Supreme Court </w:t>
      </w:r>
      <w:r w:rsidR="009100AF">
        <w:rPr>
          <w:rFonts w:ascii="Garamond" w:hAnsi="Garamond"/>
          <w:color w:val="000000"/>
          <w:sz w:val="25"/>
          <w:szCs w:val="25"/>
        </w:rPr>
        <w:t>must</w:t>
      </w:r>
      <w:r w:rsidRPr="00B05299">
        <w:rPr>
          <w:rFonts w:ascii="Garamond" w:hAnsi="Garamond"/>
          <w:color w:val="000000"/>
          <w:sz w:val="25"/>
          <w:szCs w:val="25"/>
        </w:rPr>
        <w:t xml:space="preserve"> balance the protection of the rights of individuals against the protection of society. If the police had not searched Mapp</w:t>
      </w:r>
      <w:r w:rsidR="000D4A82">
        <w:rPr>
          <w:rFonts w:ascii="Garamond" w:hAnsi="Garamond"/>
          <w:color w:val="000000"/>
          <w:sz w:val="25"/>
          <w:szCs w:val="25"/>
        </w:rPr>
        <w:t>’</w:t>
      </w:r>
      <w:r w:rsidRPr="00B05299">
        <w:rPr>
          <w:rFonts w:ascii="Garamond" w:hAnsi="Garamond"/>
          <w:color w:val="000000"/>
          <w:sz w:val="25"/>
          <w:szCs w:val="25"/>
        </w:rPr>
        <w:t xml:space="preserve">s house they would never have found the trunk containing </w:t>
      </w:r>
      <w:r w:rsidR="000D4A82">
        <w:rPr>
          <w:rFonts w:ascii="Garamond" w:hAnsi="Garamond"/>
          <w:color w:val="000000"/>
          <w:sz w:val="25"/>
          <w:szCs w:val="25"/>
        </w:rPr>
        <w:t>“</w:t>
      </w:r>
      <w:r w:rsidRPr="00B05299">
        <w:rPr>
          <w:rFonts w:ascii="Garamond" w:hAnsi="Garamond"/>
          <w:color w:val="000000"/>
          <w:sz w:val="25"/>
          <w:szCs w:val="25"/>
        </w:rPr>
        <w:t>lewd and lascivious</w:t>
      </w:r>
      <w:r w:rsidR="000D4A82">
        <w:rPr>
          <w:rFonts w:ascii="Garamond" w:hAnsi="Garamond"/>
          <w:color w:val="000000"/>
          <w:sz w:val="25"/>
          <w:szCs w:val="25"/>
        </w:rPr>
        <w:t>” materials.</w:t>
      </w:r>
      <w:r w:rsidRPr="00B05299">
        <w:rPr>
          <w:rFonts w:ascii="Garamond" w:hAnsi="Garamond"/>
          <w:color w:val="000000"/>
          <w:sz w:val="25"/>
          <w:szCs w:val="25"/>
        </w:rPr>
        <w:t xml:space="preserve"> With this in mind, do you think the rights of Mapp or society should have been given more weight? Why?</w:t>
      </w:r>
    </w:p>
    <w:p w14:paraId="5817B175" w14:textId="7F5B7FDE" w:rsidR="005A0330" w:rsidRPr="005311FB" w:rsidRDefault="005A0330" w:rsidP="00B05299">
      <w:pPr>
        <w:shd w:val="clear" w:color="auto" w:fill="FFFFFF"/>
        <w:spacing w:after="1800"/>
      </w:pPr>
    </w:p>
    <w:sectPr w:rsidR="005A0330" w:rsidRPr="005311F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1ADFC" w14:textId="77777777" w:rsidR="00F21BE0" w:rsidRDefault="00F21BE0" w:rsidP="0078549D">
      <w:pPr>
        <w:spacing w:after="0" w:line="240" w:lineRule="auto"/>
      </w:pPr>
      <w:r>
        <w:separator/>
      </w:r>
    </w:p>
  </w:endnote>
  <w:endnote w:type="continuationSeparator" w:id="0">
    <w:p w14:paraId="65B0A6B0" w14:textId="77777777" w:rsidR="00F21BE0" w:rsidRDefault="00F21BE0"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3B92FBE1" w:rsidR="00987C93" w:rsidRPr="00CC6123" w:rsidRDefault="00F21BE0">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w:t>
    </w:r>
    <w:r w:rsidR="000D4A82">
      <w:rPr>
        <w:rStyle w:val="BasiccopyslChar"/>
        <w:sz w:val="22"/>
        <w:szCs w:val="22"/>
      </w:rPr>
      <w:t>09/03/2020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F468C" w14:textId="77777777" w:rsidR="00F21BE0" w:rsidRDefault="00F21BE0" w:rsidP="0078549D">
      <w:pPr>
        <w:spacing w:after="0" w:line="240" w:lineRule="auto"/>
      </w:pPr>
      <w:r>
        <w:separator/>
      </w:r>
    </w:p>
  </w:footnote>
  <w:footnote w:type="continuationSeparator" w:id="0">
    <w:p w14:paraId="15DE2982" w14:textId="77777777" w:rsidR="00F21BE0" w:rsidRDefault="00F21BE0"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69AE0C76" w:rsidR="00F64E56" w:rsidRPr="00987C93" w:rsidRDefault="000D4A82"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Mapp v. Ohio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82748A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CC6123">
      <w:rPr>
        <w:sz w:val="22"/>
        <w:szCs w:val="22"/>
      </w:rPr>
      <w:t xml:space="preserve">        </w:t>
    </w:r>
    <w:r w:rsidR="00B05299">
      <w:rPr>
        <w:sz w:val="22"/>
        <w:szCs w:val="22"/>
      </w:rPr>
      <w:tab/>
    </w:r>
    <w:r w:rsidR="00324644">
      <w:rPr>
        <w:sz w:val="22"/>
        <w:szCs w:val="22"/>
      </w:rPr>
      <w:t xml:space="preserve">    </w:t>
    </w:r>
    <w:r w:rsidR="00333720">
      <w:rPr>
        <w:i/>
        <w:iCs/>
        <w:sz w:val="22"/>
        <w:szCs w:val="22"/>
      </w:rPr>
      <w:t>M</w:t>
    </w:r>
    <w:r w:rsidR="00B05299">
      <w:rPr>
        <w:i/>
        <w:iCs/>
        <w:sz w:val="22"/>
        <w:szCs w:val="22"/>
      </w:rPr>
      <w:t>app v. Ohio</w:t>
    </w:r>
    <w:r w:rsidR="00324644">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7918"/>
    <w:multiLevelType w:val="multilevel"/>
    <w:tmpl w:val="BFA0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51AC"/>
    <w:rsid w:val="00021E17"/>
    <w:rsid w:val="000C6C22"/>
    <w:rsid w:val="000D4A82"/>
    <w:rsid w:val="000E239D"/>
    <w:rsid w:val="001056C3"/>
    <w:rsid w:val="001529D2"/>
    <w:rsid w:val="00165668"/>
    <w:rsid w:val="00170B98"/>
    <w:rsid w:val="001C629C"/>
    <w:rsid w:val="001E450A"/>
    <w:rsid w:val="0021030F"/>
    <w:rsid w:val="00223928"/>
    <w:rsid w:val="0026391E"/>
    <w:rsid w:val="00290061"/>
    <w:rsid w:val="002B4D38"/>
    <w:rsid w:val="002B5697"/>
    <w:rsid w:val="002C53A0"/>
    <w:rsid w:val="002C68A3"/>
    <w:rsid w:val="002D2203"/>
    <w:rsid w:val="00310140"/>
    <w:rsid w:val="00317735"/>
    <w:rsid w:val="00324644"/>
    <w:rsid w:val="00333720"/>
    <w:rsid w:val="00351964"/>
    <w:rsid w:val="00375090"/>
    <w:rsid w:val="00392FBD"/>
    <w:rsid w:val="00396AEB"/>
    <w:rsid w:val="003A4868"/>
    <w:rsid w:val="003C6F20"/>
    <w:rsid w:val="00400A63"/>
    <w:rsid w:val="004632BE"/>
    <w:rsid w:val="00466BCA"/>
    <w:rsid w:val="00476029"/>
    <w:rsid w:val="00483425"/>
    <w:rsid w:val="004B44C6"/>
    <w:rsid w:val="004B560A"/>
    <w:rsid w:val="004B73F9"/>
    <w:rsid w:val="004C5FD3"/>
    <w:rsid w:val="004D3569"/>
    <w:rsid w:val="004E7457"/>
    <w:rsid w:val="004F77FB"/>
    <w:rsid w:val="005311FB"/>
    <w:rsid w:val="0056462B"/>
    <w:rsid w:val="005A0330"/>
    <w:rsid w:val="005C68BC"/>
    <w:rsid w:val="005D34FB"/>
    <w:rsid w:val="006135E5"/>
    <w:rsid w:val="00666634"/>
    <w:rsid w:val="006862FD"/>
    <w:rsid w:val="006C3E71"/>
    <w:rsid w:val="006E09C9"/>
    <w:rsid w:val="006E3717"/>
    <w:rsid w:val="006E3DE1"/>
    <w:rsid w:val="006E5E49"/>
    <w:rsid w:val="0070044C"/>
    <w:rsid w:val="0078549D"/>
    <w:rsid w:val="007C6206"/>
    <w:rsid w:val="007F700D"/>
    <w:rsid w:val="00815CB0"/>
    <w:rsid w:val="0081706F"/>
    <w:rsid w:val="008434C7"/>
    <w:rsid w:val="00845CD3"/>
    <w:rsid w:val="00855DF3"/>
    <w:rsid w:val="0087356D"/>
    <w:rsid w:val="009100AF"/>
    <w:rsid w:val="0093422A"/>
    <w:rsid w:val="00987C93"/>
    <w:rsid w:val="009C5C69"/>
    <w:rsid w:val="009D6B03"/>
    <w:rsid w:val="009F4915"/>
    <w:rsid w:val="00A22679"/>
    <w:rsid w:val="00A740A5"/>
    <w:rsid w:val="00AE0C77"/>
    <w:rsid w:val="00AF0983"/>
    <w:rsid w:val="00B05299"/>
    <w:rsid w:val="00B160D1"/>
    <w:rsid w:val="00B165D7"/>
    <w:rsid w:val="00B21D96"/>
    <w:rsid w:val="00B62487"/>
    <w:rsid w:val="00B66A6E"/>
    <w:rsid w:val="00C15DAC"/>
    <w:rsid w:val="00C7269F"/>
    <w:rsid w:val="00CC6123"/>
    <w:rsid w:val="00CE0276"/>
    <w:rsid w:val="00D53726"/>
    <w:rsid w:val="00D738F1"/>
    <w:rsid w:val="00D80D64"/>
    <w:rsid w:val="00D86466"/>
    <w:rsid w:val="00DC1AD6"/>
    <w:rsid w:val="00DC419D"/>
    <w:rsid w:val="00DE2FCB"/>
    <w:rsid w:val="00DE3D18"/>
    <w:rsid w:val="00DE5555"/>
    <w:rsid w:val="00E3555A"/>
    <w:rsid w:val="00E40268"/>
    <w:rsid w:val="00E64542"/>
    <w:rsid w:val="00E71176"/>
    <w:rsid w:val="00ED64F1"/>
    <w:rsid w:val="00EF7C97"/>
    <w:rsid w:val="00F1180A"/>
    <w:rsid w:val="00F21BE0"/>
    <w:rsid w:val="00F64E56"/>
    <w:rsid w:val="00F8686D"/>
    <w:rsid w:val="00FA3FDC"/>
    <w:rsid w:val="00FE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B0529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character" w:customStyle="1" w:styleId="Heading4Char">
    <w:name w:val="Heading 4 Char"/>
    <w:basedOn w:val="DefaultParagraphFont"/>
    <w:link w:val="Heading4"/>
    <w:uiPriority w:val="9"/>
    <w:semiHidden/>
    <w:rsid w:val="00B05299"/>
    <w:rPr>
      <w:rFonts w:asciiTheme="majorHAnsi" w:eastAsiaTheme="majorEastAsia" w:hAnsiTheme="majorHAnsi" w:cstheme="majorBidi"/>
      <w:i/>
      <w:iCs/>
      <w:color w:val="365F91" w:themeColor="accent1" w:themeShade="BF"/>
    </w:rPr>
  </w:style>
  <w:style w:type="paragraph" w:customStyle="1" w:styleId="BasiccopyLMC">
    <w:name w:val="Basic copy_LMC"/>
    <w:basedOn w:val="Normal"/>
    <w:link w:val="BasiccopyLMCChar"/>
    <w:qFormat/>
    <w:rsid w:val="000C6C22"/>
    <w:pPr>
      <w:spacing w:after="240" w:line="240" w:lineRule="auto"/>
    </w:pPr>
    <w:rPr>
      <w:rFonts w:ascii="Garamond" w:hAnsi="Garamond"/>
      <w:sz w:val="24"/>
      <w:szCs w:val="24"/>
    </w:rPr>
  </w:style>
  <w:style w:type="character" w:customStyle="1" w:styleId="BasiccopyLMCChar">
    <w:name w:val="Basic copy_LMC Char"/>
    <w:basedOn w:val="DefaultParagraphFont"/>
    <w:link w:val="BasiccopyLMC"/>
    <w:rsid w:val="000C6C22"/>
    <w:rPr>
      <w:rFonts w:ascii="Garamond" w:hAnsi="Garamond"/>
      <w:sz w:val="24"/>
      <w:szCs w:val="24"/>
    </w:rPr>
  </w:style>
  <w:style w:type="table" w:styleId="TableGrid">
    <w:name w:val="Table Grid"/>
    <w:basedOn w:val="TableNormal"/>
    <w:uiPriority w:val="59"/>
    <w:rsid w:val="000C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9203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1C600F83-151E-42D2-91E6-2E950265CA3F}"/>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BD638DA1-9893-479F-A4AE-07C6C2A453F4}"/>
</file>

<file path=docProps/app.xml><?xml version="1.0" encoding="utf-8"?>
<Properties xmlns="http://schemas.openxmlformats.org/officeDocument/2006/extended-properties" xmlns:vt="http://schemas.openxmlformats.org/officeDocument/2006/docPropsVTypes">
  <Template>template with copyright + page number</Template>
  <TotalTime>11</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2020-09-03T13:04:00Z</dcterms:created>
  <dcterms:modified xsi:type="dcterms:W3CDTF">2020-09-03T14:20:00Z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