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D6602" w14:textId="6417884D" w:rsidR="0009057A" w:rsidRPr="0009057A" w:rsidRDefault="00633DE5" w:rsidP="00C619EB">
      <w:pPr>
        <w:pStyle w:val="Title1sl"/>
        <w:pBdr>
          <w:bottom w:val="single" w:sz="12" w:space="1" w:color="auto"/>
        </w:pBdr>
        <w:spacing w:before="240"/>
        <w:rPr>
          <w:b w:val="0"/>
          <w:bCs/>
          <w:sz w:val="28"/>
          <w:szCs w:val="28"/>
        </w:rPr>
      </w:pPr>
      <w:r w:rsidRPr="00C619EB">
        <w:rPr>
          <w:i/>
          <w:iCs/>
          <w:sz w:val="40"/>
          <w:szCs w:val="40"/>
        </w:rPr>
        <w:t xml:space="preserve">Mapp v. Ohio </w:t>
      </w:r>
      <w:r w:rsidRPr="00C619EB">
        <w:rPr>
          <w:sz w:val="40"/>
          <w:szCs w:val="40"/>
        </w:rPr>
        <w:t>/</w:t>
      </w:r>
      <w:r w:rsidRPr="00C619EB">
        <w:rPr>
          <w:b w:val="0"/>
          <w:bCs/>
          <w:sz w:val="40"/>
          <w:szCs w:val="40"/>
        </w:rPr>
        <w:t xml:space="preserve"> </w:t>
      </w:r>
      <w:r w:rsidR="0009057A" w:rsidRPr="00C619EB">
        <w:rPr>
          <w:bCs/>
          <w:sz w:val="40"/>
          <w:szCs w:val="40"/>
        </w:rPr>
        <w:t>Senate Debate: Abolishing the Exclusionary Rule</w:t>
      </w:r>
    </w:p>
    <w:p w14:paraId="2F0E9C5E" w14:textId="2A4E4000" w:rsidR="00BF6EC8" w:rsidRDefault="00BF6EC8" w:rsidP="00BF6EC8">
      <w:pPr>
        <w:pStyle w:val="Subhead3sl"/>
      </w:pPr>
      <w:r>
        <w:t>Directions:</w:t>
      </w:r>
    </w:p>
    <w:p w14:paraId="16FA180B" w14:textId="1B89DB04" w:rsidR="00BF6EC8" w:rsidRPr="00E82FB4" w:rsidRDefault="00BF6EC8" w:rsidP="00E82FB4">
      <w:pPr>
        <w:pStyle w:val="Subhead3sl"/>
        <w:numPr>
          <w:ilvl w:val="0"/>
          <w:numId w:val="38"/>
        </w:numPr>
        <w:spacing w:before="0"/>
        <w:rPr>
          <w:b w:val="0"/>
          <w:bCs/>
        </w:rPr>
      </w:pPr>
      <w:r w:rsidRPr="00E82FB4">
        <w:rPr>
          <w:b w:val="0"/>
          <w:bCs/>
        </w:rPr>
        <w:t xml:space="preserve">Read the </w:t>
      </w:r>
      <w:r w:rsidRPr="00550453">
        <w:t>Background</w:t>
      </w:r>
      <w:r w:rsidRPr="00E82FB4">
        <w:rPr>
          <w:b w:val="0"/>
          <w:bCs/>
        </w:rPr>
        <w:t xml:space="preserve"> section below. </w:t>
      </w:r>
    </w:p>
    <w:p w14:paraId="12A3E586" w14:textId="50C42889" w:rsidR="00553B24" w:rsidRDefault="00D43A1A" w:rsidP="00E82FB4">
      <w:pPr>
        <w:pStyle w:val="Subhead3sl"/>
        <w:numPr>
          <w:ilvl w:val="0"/>
          <w:numId w:val="38"/>
        </w:numPr>
        <w:spacing w:before="0"/>
        <w:rPr>
          <w:b w:val="0"/>
          <w:bCs/>
        </w:rPr>
      </w:pPr>
      <w:r>
        <w:rPr>
          <w:b w:val="0"/>
          <w:bCs/>
        </w:rPr>
        <w:t xml:space="preserve">Read the </w:t>
      </w:r>
      <w:r w:rsidRPr="00D43A1A">
        <w:t>Scenario</w:t>
      </w:r>
      <w:r>
        <w:rPr>
          <w:b w:val="0"/>
          <w:bCs/>
        </w:rPr>
        <w:t xml:space="preserve"> below and c</w:t>
      </w:r>
      <w:r w:rsidR="00553B24" w:rsidRPr="00E82FB4">
        <w:rPr>
          <w:b w:val="0"/>
          <w:bCs/>
        </w:rPr>
        <w:t>omplete the</w:t>
      </w:r>
      <w:r w:rsidR="00E82FB4" w:rsidRPr="00E82FB4">
        <w:rPr>
          <w:b w:val="0"/>
          <w:bCs/>
        </w:rPr>
        <w:t xml:space="preserve"> </w:t>
      </w:r>
      <w:r w:rsidR="00E82FB4" w:rsidRPr="00550453">
        <w:t>Classifying Arguments</w:t>
      </w:r>
      <w:r w:rsidR="00E82FB4" w:rsidRPr="00E82FB4">
        <w:rPr>
          <w:b w:val="0"/>
          <w:bCs/>
        </w:rPr>
        <w:t xml:space="preserve"> (page </w:t>
      </w:r>
      <w:r>
        <w:rPr>
          <w:b w:val="0"/>
          <w:bCs/>
        </w:rPr>
        <w:t>2</w:t>
      </w:r>
      <w:r w:rsidR="00E82FB4" w:rsidRPr="00E82FB4">
        <w:rPr>
          <w:b w:val="0"/>
          <w:bCs/>
        </w:rPr>
        <w:t xml:space="preserve">) and </w:t>
      </w:r>
      <w:r w:rsidR="00E82FB4" w:rsidRPr="00550453">
        <w:t>Data Analysis</w:t>
      </w:r>
      <w:r w:rsidR="00E82FB4" w:rsidRPr="00E82FB4">
        <w:rPr>
          <w:b w:val="0"/>
          <w:bCs/>
        </w:rPr>
        <w:t xml:space="preserve"> (page </w:t>
      </w:r>
      <w:r>
        <w:rPr>
          <w:b w:val="0"/>
          <w:bCs/>
        </w:rPr>
        <w:t>5</w:t>
      </w:r>
      <w:r w:rsidR="00E82FB4" w:rsidRPr="00E82FB4">
        <w:rPr>
          <w:b w:val="0"/>
          <w:bCs/>
        </w:rPr>
        <w:t xml:space="preserve">) activities.  </w:t>
      </w:r>
    </w:p>
    <w:p w14:paraId="317DADC0" w14:textId="237FFCDD" w:rsidR="00550453" w:rsidRPr="00E82FB4" w:rsidRDefault="00550453" w:rsidP="00E82FB4">
      <w:pPr>
        <w:pStyle w:val="Subhead3sl"/>
        <w:numPr>
          <w:ilvl w:val="0"/>
          <w:numId w:val="38"/>
        </w:numPr>
        <w:spacing w:before="0"/>
        <w:rPr>
          <w:b w:val="0"/>
          <w:bCs/>
        </w:rPr>
      </w:pPr>
      <w:r>
        <w:rPr>
          <w:b w:val="0"/>
          <w:bCs/>
        </w:rPr>
        <w:t xml:space="preserve">If your teacher assigns it, complete the </w:t>
      </w:r>
      <w:r w:rsidRPr="006E5DAF">
        <w:t>Extension Activ</w:t>
      </w:r>
      <w:r w:rsidR="006E5DAF" w:rsidRPr="006E5DAF">
        <w:t>ity</w:t>
      </w:r>
      <w:r w:rsidR="006E5DAF">
        <w:rPr>
          <w:b w:val="0"/>
          <w:bCs/>
        </w:rPr>
        <w:t xml:space="preserve"> (page </w:t>
      </w:r>
      <w:r w:rsidR="00B567D9">
        <w:rPr>
          <w:b w:val="0"/>
          <w:bCs/>
        </w:rPr>
        <w:t>6</w:t>
      </w:r>
      <w:r w:rsidR="006E5DAF">
        <w:rPr>
          <w:b w:val="0"/>
          <w:bCs/>
        </w:rPr>
        <w:t xml:space="preserve">). </w:t>
      </w:r>
    </w:p>
    <w:p w14:paraId="465E0D6F" w14:textId="49B2BFA0" w:rsidR="00E82FB4" w:rsidRDefault="00311D53" w:rsidP="00C619EB">
      <w:pPr>
        <w:pStyle w:val="Subhead1sl"/>
        <w:jc w:val="left"/>
      </w:pPr>
      <w:r>
        <w:pict w14:anchorId="696E2A00">
          <v:rect id="_x0000_i1025" style="width:0;height:1.5pt" o:hralign="center" o:hrstd="t" o:hr="t" fillcolor="#a0a0a0" stroked="f"/>
        </w:pict>
      </w:r>
    </w:p>
    <w:p w14:paraId="2D7B89DC" w14:textId="686D5B8D" w:rsidR="00434FB6" w:rsidRPr="00585569" w:rsidRDefault="00434FB6" w:rsidP="006E5DAF">
      <w:pPr>
        <w:pStyle w:val="Subhead1sl"/>
        <w:spacing w:before="240"/>
        <w:jc w:val="left"/>
      </w:pPr>
      <w:r w:rsidRPr="00585569">
        <w:t>Background</w:t>
      </w:r>
    </w:p>
    <w:p w14:paraId="77649050" w14:textId="098C005A" w:rsidR="00434FB6" w:rsidRPr="00434FB6" w:rsidRDefault="00434FB6" w:rsidP="00BF669F">
      <w:pPr>
        <w:pStyle w:val="NormalWeb"/>
        <w:shd w:val="clear" w:color="auto" w:fill="FFFFFF"/>
        <w:spacing w:before="0" w:beforeAutospacing="0" w:after="120" w:afterAutospacing="0" w:line="276" w:lineRule="auto"/>
        <w:rPr>
          <w:rFonts w:ascii="Garamond" w:hAnsi="Garamond"/>
          <w:color w:val="000000"/>
          <w:sz w:val="25"/>
          <w:szCs w:val="25"/>
        </w:rPr>
      </w:pPr>
      <w:r w:rsidRPr="00434FB6">
        <w:rPr>
          <w:rFonts w:ascii="Garamond" w:hAnsi="Garamond"/>
          <w:color w:val="000000"/>
          <w:sz w:val="25"/>
          <w:szCs w:val="25"/>
        </w:rPr>
        <w:t xml:space="preserve">In 1995, both the U.S. Senate and the U.S. House of Representatives proposed legislation to abolish the exclusionary rule, </w:t>
      </w:r>
      <w:r w:rsidR="00426E5B">
        <w:rPr>
          <w:rFonts w:ascii="Garamond" w:hAnsi="Garamond"/>
          <w:color w:val="000000"/>
          <w:sz w:val="25"/>
          <w:szCs w:val="25"/>
        </w:rPr>
        <w:t xml:space="preserve">which </w:t>
      </w:r>
      <w:r w:rsidRPr="00434FB6">
        <w:rPr>
          <w:rFonts w:ascii="Garamond" w:hAnsi="Garamond"/>
          <w:color w:val="000000"/>
          <w:sz w:val="25"/>
          <w:szCs w:val="25"/>
        </w:rPr>
        <w:t>bar</w:t>
      </w:r>
      <w:r w:rsidR="00426E5B">
        <w:rPr>
          <w:rFonts w:ascii="Garamond" w:hAnsi="Garamond"/>
          <w:color w:val="000000"/>
          <w:sz w:val="25"/>
          <w:szCs w:val="25"/>
        </w:rPr>
        <w:t xml:space="preserve">s </w:t>
      </w:r>
      <w:r w:rsidRPr="00434FB6">
        <w:rPr>
          <w:rFonts w:ascii="Garamond" w:hAnsi="Garamond"/>
          <w:color w:val="000000"/>
          <w:sz w:val="25"/>
          <w:szCs w:val="25"/>
        </w:rPr>
        <w:t>illegally seized evidence from criminal cases. The Senate</w:t>
      </w:r>
      <w:r w:rsidR="00426E5B">
        <w:rPr>
          <w:rFonts w:ascii="Garamond" w:hAnsi="Garamond"/>
          <w:color w:val="000000"/>
          <w:sz w:val="25"/>
          <w:szCs w:val="25"/>
        </w:rPr>
        <w:t>’</w:t>
      </w:r>
      <w:r w:rsidRPr="00434FB6">
        <w:rPr>
          <w:rFonts w:ascii="Garamond" w:hAnsi="Garamond"/>
          <w:color w:val="000000"/>
          <w:sz w:val="25"/>
          <w:szCs w:val="25"/>
        </w:rPr>
        <w:t xml:space="preserve">s version </w:t>
      </w:r>
      <w:r w:rsidR="00EA60C0">
        <w:rPr>
          <w:rFonts w:ascii="Garamond" w:hAnsi="Garamond"/>
          <w:color w:val="000000"/>
          <w:sz w:val="25"/>
          <w:szCs w:val="25"/>
        </w:rPr>
        <w:t xml:space="preserve">of the legislation </w:t>
      </w:r>
      <w:r w:rsidRPr="00434FB6">
        <w:rPr>
          <w:rFonts w:ascii="Garamond" w:hAnsi="Garamond"/>
          <w:color w:val="000000"/>
          <w:sz w:val="25"/>
          <w:szCs w:val="25"/>
        </w:rPr>
        <w:t>read as follows:</w:t>
      </w:r>
    </w:p>
    <w:p w14:paraId="680153A2" w14:textId="1F3E03DB" w:rsidR="00434FB6" w:rsidRPr="00434FB6" w:rsidRDefault="00EA60C0" w:rsidP="00BF669F">
      <w:pPr>
        <w:pStyle w:val="NormalWeb"/>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w:t>
      </w:r>
      <w:r w:rsidR="00434FB6" w:rsidRPr="00434FB6">
        <w:rPr>
          <w:rFonts w:ascii="Garamond" w:hAnsi="Garamond"/>
          <w:color w:val="000000"/>
          <w:sz w:val="25"/>
          <w:szCs w:val="25"/>
        </w:rPr>
        <w:t>. . . Evidence obtained as a result of a search or seizure that is otherwise admissible in a Federal criminal proceeding shall not be excluded in a proceeding in a court of the United States on the ground that the search or seizure was in violation of the fourth amendment to the Constitution.</w:t>
      </w:r>
      <w:r>
        <w:rPr>
          <w:rFonts w:ascii="Garamond" w:hAnsi="Garamond"/>
          <w:color w:val="000000"/>
          <w:sz w:val="25"/>
          <w:szCs w:val="25"/>
        </w:rPr>
        <w:t>”</w:t>
      </w:r>
    </w:p>
    <w:p w14:paraId="0C0293F9" w14:textId="77777777" w:rsidR="00434FB6" w:rsidRPr="00434FB6" w:rsidRDefault="00434FB6" w:rsidP="00BF669F">
      <w:pPr>
        <w:pStyle w:val="NormalWeb"/>
        <w:shd w:val="clear" w:color="auto" w:fill="FFFFFF"/>
        <w:spacing w:before="0" w:beforeAutospacing="0" w:after="120" w:afterAutospacing="0" w:line="276" w:lineRule="auto"/>
        <w:rPr>
          <w:rFonts w:ascii="Garamond" w:hAnsi="Garamond"/>
          <w:color w:val="000000"/>
          <w:sz w:val="25"/>
          <w:szCs w:val="25"/>
        </w:rPr>
      </w:pPr>
      <w:r w:rsidRPr="00434FB6">
        <w:rPr>
          <w:rFonts w:ascii="Garamond" w:hAnsi="Garamond"/>
          <w:color w:val="000000"/>
          <w:sz w:val="25"/>
          <w:szCs w:val="25"/>
        </w:rPr>
        <w:t>If passed, this legislation would have eliminated the use of the exclusionary rule in federal criminal prosecutions.</w:t>
      </w:r>
    </w:p>
    <w:p w14:paraId="37174450" w14:textId="3B40B6F8" w:rsidR="00D43A1A" w:rsidRDefault="00311D53" w:rsidP="00D43A1A">
      <w:pPr>
        <w:pStyle w:val="Subhead1sl"/>
        <w:jc w:val="left"/>
      </w:pPr>
      <w:r>
        <w:pict w14:anchorId="0B50F12B">
          <v:rect id="_x0000_i1026" style="width:0;height:1.5pt" o:hralign="center" o:hrstd="t" o:hr="t" fillcolor="#a0a0a0" stroked="f"/>
        </w:pict>
      </w:r>
    </w:p>
    <w:p w14:paraId="7DDDAFB0" w14:textId="50285A26" w:rsidR="00585569" w:rsidRPr="00585569" w:rsidRDefault="00585569" w:rsidP="00D43A1A">
      <w:pPr>
        <w:pStyle w:val="Subhead1sl"/>
        <w:spacing w:before="240"/>
        <w:jc w:val="left"/>
      </w:pPr>
      <w:r w:rsidRPr="00585569">
        <w:t>Scenario</w:t>
      </w:r>
    </w:p>
    <w:p w14:paraId="59F37F2A" w14:textId="0A1728F5" w:rsidR="00434FB6" w:rsidRDefault="00434FB6" w:rsidP="00BE4005">
      <w:pPr>
        <w:pStyle w:val="NormalWeb"/>
        <w:shd w:val="clear" w:color="auto" w:fill="FFFFFF"/>
        <w:spacing w:before="0" w:beforeAutospacing="0" w:after="120" w:afterAutospacing="0" w:line="276" w:lineRule="auto"/>
        <w:rPr>
          <w:rFonts w:ascii="Garamond" w:hAnsi="Garamond"/>
          <w:color w:val="000000"/>
          <w:sz w:val="25"/>
          <w:szCs w:val="25"/>
        </w:rPr>
      </w:pPr>
      <w:r w:rsidRPr="00434FB6">
        <w:rPr>
          <w:rFonts w:ascii="Garamond" w:hAnsi="Garamond"/>
          <w:color w:val="000000"/>
          <w:sz w:val="25"/>
          <w:szCs w:val="25"/>
        </w:rPr>
        <w:t>You are a U</w:t>
      </w:r>
      <w:r w:rsidR="00BF669F">
        <w:rPr>
          <w:rFonts w:ascii="Garamond" w:hAnsi="Garamond"/>
          <w:color w:val="000000"/>
          <w:sz w:val="25"/>
          <w:szCs w:val="25"/>
        </w:rPr>
        <w:t xml:space="preserve">.S. </w:t>
      </w:r>
      <w:r w:rsidRPr="00434FB6">
        <w:rPr>
          <w:rFonts w:ascii="Garamond" w:hAnsi="Garamond"/>
          <w:color w:val="000000"/>
          <w:sz w:val="25"/>
          <w:szCs w:val="25"/>
        </w:rPr>
        <w:t>Senator</w:t>
      </w:r>
      <w:r w:rsidR="000A6456">
        <w:rPr>
          <w:rFonts w:ascii="Garamond" w:hAnsi="Garamond"/>
          <w:color w:val="000000"/>
          <w:sz w:val="25"/>
          <w:szCs w:val="25"/>
        </w:rPr>
        <w:t xml:space="preserve"> representing your state</w:t>
      </w:r>
      <w:r w:rsidR="00FA3BB1">
        <w:rPr>
          <w:rFonts w:ascii="Garamond" w:hAnsi="Garamond"/>
          <w:color w:val="000000"/>
          <w:sz w:val="25"/>
          <w:szCs w:val="25"/>
        </w:rPr>
        <w:t xml:space="preserve"> in 1995</w:t>
      </w:r>
      <w:r w:rsidRPr="00434FB6">
        <w:rPr>
          <w:rFonts w:ascii="Garamond" w:hAnsi="Garamond"/>
          <w:color w:val="000000"/>
          <w:sz w:val="25"/>
          <w:szCs w:val="25"/>
        </w:rPr>
        <w:t>. Th</w:t>
      </w:r>
      <w:r w:rsidR="00925062">
        <w:rPr>
          <w:rFonts w:ascii="Garamond" w:hAnsi="Garamond"/>
          <w:color w:val="000000"/>
          <w:sz w:val="25"/>
          <w:szCs w:val="25"/>
        </w:rPr>
        <w:t xml:space="preserve">e </w:t>
      </w:r>
      <w:r w:rsidRPr="00434FB6">
        <w:rPr>
          <w:rFonts w:ascii="Garamond" w:hAnsi="Garamond"/>
          <w:color w:val="000000"/>
          <w:sz w:val="25"/>
          <w:szCs w:val="25"/>
        </w:rPr>
        <w:t xml:space="preserve">bill </w:t>
      </w:r>
      <w:r w:rsidR="00925062">
        <w:rPr>
          <w:rFonts w:ascii="Garamond" w:hAnsi="Garamond"/>
          <w:color w:val="000000"/>
          <w:sz w:val="25"/>
          <w:szCs w:val="25"/>
        </w:rPr>
        <w:t>to abolish the exclusi</w:t>
      </w:r>
      <w:r w:rsidR="00447039">
        <w:rPr>
          <w:rFonts w:ascii="Garamond" w:hAnsi="Garamond"/>
          <w:color w:val="000000"/>
          <w:sz w:val="25"/>
          <w:szCs w:val="25"/>
        </w:rPr>
        <w:t xml:space="preserve">onary rule </w:t>
      </w:r>
      <w:r w:rsidRPr="00434FB6">
        <w:rPr>
          <w:rFonts w:ascii="Garamond" w:hAnsi="Garamond"/>
          <w:color w:val="000000"/>
          <w:sz w:val="25"/>
          <w:szCs w:val="25"/>
        </w:rPr>
        <w:t>will be coming up for a vote soon. You asked a junior staff member to research the arguments for you. She did so, but unfortunately, she neglected to label the arguments as for or against the legislation.</w:t>
      </w:r>
    </w:p>
    <w:p w14:paraId="358AEBE3" w14:textId="6B348B35" w:rsidR="006E5DAF" w:rsidRPr="00434FB6" w:rsidRDefault="006E5DAF" w:rsidP="00BE4005">
      <w:pPr>
        <w:pStyle w:val="Subhead2sl"/>
      </w:pPr>
      <w:r>
        <w:t>Classifying Arguments Activity</w:t>
      </w:r>
    </w:p>
    <w:p w14:paraId="14F2A118" w14:textId="47D7CEDD" w:rsidR="00434FB6" w:rsidRPr="00434FB6" w:rsidRDefault="00434FB6" w:rsidP="00BE4005">
      <w:pPr>
        <w:pStyle w:val="NormalWeb"/>
        <w:shd w:val="clear" w:color="auto" w:fill="FFFFFF"/>
        <w:spacing w:before="0" w:beforeAutospacing="0" w:after="120" w:afterAutospacing="0" w:line="276" w:lineRule="auto"/>
        <w:rPr>
          <w:rFonts w:ascii="Garamond" w:hAnsi="Garamond"/>
          <w:color w:val="000000"/>
          <w:sz w:val="25"/>
          <w:szCs w:val="25"/>
        </w:rPr>
      </w:pPr>
      <w:r w:rsidRPr="00434FB6">
        <w:rPr>
          <w:rFonts w:ascii="Garamond" w:hAnsi="Garamond"/>
          <w:color w:val="000000"/>
          <w:sz w:val="25"/>
          <w:szCs w:val="25"/>
        </w:rPr>
        <w:t>Read each argument below. Decide whether the statement is F</w:t>
      </w:r>
      <w:r w:rsidR="00585569">
        <w:rPr>
          <w:rFonts w:ascii="Garamond" w:hAnsi="Garamond"/>
          <w:color w:val="000000"/>
          <w:sz w:val="25"/>
          <w:szCs w:val="25"/>
        </w:rPr>
        <w:t>OR</w:t>
      </w:r>
      <w:r w:rsidRPr="00434FB6">
        <w:rPr>
          <w:rFonts w:ascii="Garamond" w:hAnsi="Garamond"/>
          <w:color w:val="000000"/>
          <w:sz w:val="25"/>
          <w:szCs w:val="25"/>
        </w:rPr>
        <w:t xml:space="preserve"> (</w:t>
      </w:r>
      <w:r w:rsidRPr="00434FB6">
        <w:rPr>
          <w:rStyle w:val="Strong"/>
          <w:rFonts w:ascii="Garamond" w:hAnsi="Garamond"/>
          <w:color w:val="000000"/>
          <w:sz w:val="25"/>
          <w:szCs w:val="25"/>
        </w:rPr>
        <w:t>F</w:t>
      </w:r>
      <w:r w:rsidRPr="00434FB6">
        <w:rPr>
          <w:rFonts w:ascii="Garamond" w:hAnsi="Garamond"/>
          <w:color w:val="000000"/>
          <w:sz w:val="25"/>
          <w:szCs w:val="25"/>
        </w:rPr>
        <w:t>) the legislation</w:t>
      </w:r>
      <w:r w:rsidR="00585569">
        <w:rPr>
          <w:rFonts w:ascii="Garamond" w:hAnsi="Garamond"/>
          <w:color w:val="000000"/>
          <w:sz w:val="25"/>
          <w:szCs w:val="25"/>
        </w:rPr>
        <w:t xml:space="preserve"> to abolish the exclusionary rule</w:t>
      </w:r>
      <w:r w:rsidRPr="00434FB6">
        <w:rPr>
          <w:rFonts w:ascii="Garamond" w:hAnsi="Garamond"/>
          <w:color w:val="000000"/>
          <w:sz w:val="25"/>
          <w:szCs w:val="25"/>
        </w:rPr>
        <w:t>, A</w:t>
      </w:r>
      <w:r w:rsidR="00585569">
        <w:rPr>
          <w:rFonts w:ascii="Garamond" w:hAnsi="Garamond"/>
          <w:color w:val="000000"/>
          <w:sz w:val="25"/>
          <w:szCs w:val="25"/>
        </w:rPr>
        <w:t>GAINST</w:t>
      </w:r>
      <w:r w:rsidRPr="00434FB6">
        <w:rPr>
          <w:rFonts w:ascii="Garamond" w:hAnsi="Garamond"/>
          <w:color w:val="000000"/>
          <w:sz w:val="25"/>
          <w:szCs w:val="25"/>
        </w:rPr>
        <w:t xml:space="preserve"> (</w:t>
      </w:r>
      <w:r w:rsidRPr="00434FB6">
        <w:rPr>
          <w:rStyle w:val="Strong"/>
          <w:rFonts w:ascii="Garamond" w:hAnsi="Garamond"/>
          <w:color w:val="000000"/>
          <w:sz w:val="25"/>
          <w:szCs w:val="25"/>
        </w:rPr>
        <w:t>A</w:t>
      </w:r>
      <w:r w:rsidRPr="00434FB6">
        <w:rPr>
          <w:rFonts w:ascii="Garamond" w:hAnsi="Garamond"/>
          <w:color w:val="000000"/>
          <w:sz w:val="25"/>
          <w:szCs w:val="25"/>
        </w:rPr>
        <w:t>) it, or</w:t>
      </w:r>
      <w:r w:rsidR="00585569">
        <w:rPr>
          <w:rFonts w:ascii="Garamond" w:hAnsi="Garamond"/>
          <w:color w:val="000000"/>
          <w:sz w:val="25"/>
          <w:szCs w:val="25"/>
        </w:rPr>
        <w:t xml:space="preserve"> is</w:t>
      </w:r>
      <w:r w:rsidRPr="00434FB6">
        <w:rPr>
          <w:rFonts w:ascii="Garamond" w:hAnsi="Garamond"/>
          <w:color w:val="000000"/>
          <w:sz w:val="25"/>
          <w:szCs w:val="25"/>
        </w:rPr>
        <w:t xml:space="preserve"> N</w:t>
      </w:r>
      <w:r w:rsidR="00585569">
        <w:rPr>
          <w:rFonts w:ascii="Garamond" w:hAnsi="Garamond"/>
          <w:color w:val="000000"/>
          <w:sz w:val="25"/>
          <w:szCs w:val="25"/>
        </w:rPr>
        <w:t>EUTRAL</w:t>
      </w:r>
      <w:r w:rsidRPr="00434FB6">
        <w:rPr>
          <w:rFonts w:ascii="Garamond" w:hAnsi="Garamond"/>
          <w:color w:val="000000"/>
          <w:sz w:val="25"/>
          <w:szCs w:val="25"/>
        </w:rPr>
        <w:t xml:space="preserve"> (</w:t>
      </w:r>
      <w:r w:rsidRPr="00434FB6">
        <w:rPr>
          <w:rStyle w:val="Strong"/>
          <w:rFonts w:ascii="Garamond" w:hAnsi="Garamond"/>
          <w:color w:val="000000"/>
          <w:sz w:val="25"/>
          <w:szCs w:val="25"/>
        </w:rPr>
        <w:t>N</w:t>
      </w:r>
      <w:r w:rsidRPr="00434FB6">
        <w:rPr>
          <w:rFonts w:ascii="Garamond" w:hAnsi="Garamond"/>
          <w:color w:val="000000"/>
          <w:sz w:val="25"/>
          <w:szCs w:val="25"/>
        </w:rPr>
        <w:t>). Write the appropriate letter in the space provided.</w:t>
      </w:r>
    </w:p>
    <w:p w14:paraId="11EA4DE5" w14:textId="77777777" w:rsidR="00BE4005" w:rsidRDefault="00BE4005" w:rsidP="00434FB6">
      <w:pPr>
        <w:pStyle w:val="Heading5"/>
        <w:shd w:val="clear" w:color="auto" w:fill="FFFFFF"/>
        <w:spacing w:before="0" w:after="225" w:line="276" w:lineRule="auto"/>
        <w:rPr>
          <w:rFonts w:ascii="Gill Sans MT" w:hAnsi="Gill Sans MT"/>
          <w:b/>
          <w:bCs/>
          <w:i/>
          <w:iCs/>
          <w:color w:val="231F20"/>
          <w:sz w:val="25"/>
          <w:szCs w:val="25"/>
        </w:rPr>
      </w:pPr>
      <w:r>
        <w:rPr>
          <w:rFonts w:ascii="Gill Sans MT" w:hAnsi="Gill Sans MT"/>
          <w:b/>
          <w:bCs/>
          <w:i/>
          <w:iCs/>
          <w:color w:val="231F20"/>
          <w:sz w:val="25"/>
          <w:szCs w:val="25"/>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gridCol w:w="985"/>
      </w:tblGrid>
      <w:tr w:rsidR="00B567D9" w14:paraId="73AAE81F" w14:textId="77777777" w:rsidTr="00DB3C9F">
        <w:tc>
          <w:tcPr>
            <w:tcW w:w="8365" w:type="dxa"/>
          </w:tcPr>
          <w:p w14:paraId="77AA5B2B" w14:textId="5D20B7A8" w:rsidR="00B567D9" w:rsidRPr="00F714CD" w:rsidRDefault="00B567D9" w:rsidP="00B567D9">
            <w:pPr>
              <w:pStyle w:val="ListParagraph"/>
              <w:numPr>
                <w:ilvl w:val="0"/>
                <w:numId w:val="37"/>
              </w:numPr>
              <w:tabs>
                <w:tab w:val="clear" w:pos="720"/>
              </w:tabs>
              <w:spacing w:before="360" w:after="120"/>
              <w:ind w:left="515"/>
              <w:rPr>
                <w:rFonts w:ascii="Garamond" w:hAnsi="Garamond"/>
                <w:sz w:val="25"/>
                <w:szCs w:val="25"/>
              </w:rPr>
            </w:pPr>
            <w:r w:rsidRPr="00F714CD">
              <w:rPr>
                <w:rFonts w:ascii="Garamond" w:hAnsi="Garamond"/>
                <w:sz w:val="25"/>
                <w:szCs w:val="25"/>
              </w:rPr>
              <w:lastRenderedPageBreak/>
              <w:t xml:space="preserve">Rep. Bill McCollum, R-FL, argued that </w:t>
            </w:r>
            <w:r>
              <w:rPr>
                <w:rFonts w:ascii="Garamond" w:hAnsi="Garamond"/>
                <w:sz w:val="25"/>
                <w:szCs w:val="25"/>
              </w:rPr>
              <w:t>“</w:t>
            </w:r>
            <w:r w:rsidRPr="00F714CD">
              <w:rPr>
                <w:rFonts w:ascii="Garamond" w:hAnsi="Garamond"/>
                <w:sz w:val="25"/>
                <w:szCs w:val="25"/>
              </w:rPr>
              <w:t>these technicalities are killing a lot of our police officers</w:t>
            </w:r>
            <w:r>
              <w:rPr>
                <w:rFonts w:ascii="Garamond" w:hAnsi="Garamond"/>
                <w:sz w:val="25"/>
                <w:szCs w:val="25"/>
              </w:rPr>
              <w:t>’</w:t>
            </w:r>
            <w:r w:rsidRPr="00F714CD">
              <w:rPr>
                <w:rFonts w:ascii="Garamond" w:hAnsi="Garamond"/>
                <w:sz w:val="25"/>
                <w:szCs w:val="25"/>
              </w:rPr>
              <w:t xml:space="preserve"> efforts and the prosecutors</w:t>
            </w:r>
            <w:r>
              <w:rPr>
                <w:rFonts w:ascii="Garamond" w:hAnsi="Garamond"/>
                <w:sz w:val="25"/>
                <w:szCs w:val="25"/>
              </w:rPr>
              <w:t>’</w:t>
            </w:r>
            <w:r w:rsidRPr="00F714CD">
              <w:rPr>
                <w:rFonts w:ascii="Garamond" w:hAnsi="Garamond"/>
                <w:sz w:val="25"/>
                <w:szCs w:val="25"/>
              </w:rPr>
              <w:t xml:space="preserve"> efforts to get convictions.</w:t>
            </w:r>
            <w:r>
              <w:rPr>
                <w:rFonts w:ascii="Garamond" w:hAnsi="Garamond"/>
                <w:sz w:val="25"/>
                <w:szCs w:val="25"/>
              </w:rPr>
              <w:t>”</w:t>
            </w:r>
            <w:r w:rsidRPr="00F714CD">
              <w:rPr>
                <w:rFonts w:ascii="Garamond" w:hAnsi="Garamond"/>
                <w:sz w:val="25"/>
                <w:szCs w:val="25"/>
              </w:rPr>
              <w:t xml:space="preserve">  </w:t>
            </w:r>
            <w:r w:rsidRPr="00B603CF">
              <w:rPr>
                <w:rFonts w:ascii="Garamond" w:hAnsi="Garamond"/>
                <w:i/>
                <w:iCs/>
                <w:sz w:val="25"/>
                <w:szCs w:val="25"/>
              </w:rPr>
              <w:t>(Source: American Civil Liberties Union)</w:t>
            </w:r>
          </w:p>
        </w:tc>
        <w:tc>
          <w:tcPr>
            <w:tcW w:w="985" w:type="dxa"/>
            <w:tcBorders>
              <w:bottom w:val="single" w:sz="4" w:space="0" w:color="auto"/>
            </w:tcBorders>
            <w:vAlign w:val="bottom"/>
          </w:tcPr>
          <w:p w14:paraId="5D78859E" w14:textId="16119F55" w:rsidR="00B567D9" w:rsidRDefault="00B567D9" w:rsidP="00B567D9">
            <w:pPr>
              <w:jc w:val="center"/>
            </w:pPr>
          </w:p>
        </w:tc>
      </w:tr>
      <w:tr w:rsidR="00B567D9" w14:paraId="7A44EC0B" w14:textId="77777777" w:rsidTr="00D43A1A">
        <w:tc>
          <w:tcPr>
            <w:tcW w:w="8365" w:type="dxa"/>
          </w:tcPr>
          <w:p w14:paraId="4CC3B5C1" w14:textId="53C9C509" w:rsidR="00B567D9" w:rsidRPr="00F714CD" w:rsidRDefault="00B567D9" w:rsidP="000A3449">
            <w:pPr>
              <w:pStyle w:val="ListParagraph"/>
              <w:numPr>
                <w:ilvl w:val="0"/>
                <w:numId w:val="37"/>
              </w:numPr>
              <w:tabs>
                <w:tab w:val="clear" w:pos="720"/>
              </w:tabs>
              <w:spacing w:before="480" w:after="120"/>
              <w:ind w:left="515"/>
              <w:rPr>
                <w:rFonts w:ascii="Garamond" w:hAnsi="Garamond"/>
                <w:sz w:val="25"/>
                <w:szCs w:val="25"/>
              </w:rPr>
            </w:pPr>
            <w:r w:rsidRPr="00F714CD">
              <w:rPr>
                <w:rFonts w:ascii="Garamond" w:hAnsi="Garamond"/>
                <w:color w:val="000000"/>
                <w:sz w:val="25"/>
                <w:szCs w:val="25"/>
              </w:rPr>
              <w:t>According to Timothy Lynch, the associate director of the Cato Institute</w:t>
            </w:r>
            <w:r>
              <w:rPr>
                <w:rFonts w:ascii="Garamond" w:hAnsi="Garamond"/>
                <w:color w:val="000000"/>
                <w:sz w:val="25"/>
                <w:szCs w:val="25"/>
              </w:rPr>
              <w:t>’</w:t>
            </w:r>
            <w:r w:rsidRPr="00F714CD">
              <w:rPr>
                <w:rFonts w:ascii="Garamond" w:hAnsi="Garamond"/>
                <w:color w:val="000000"/>
                <w:sz w:val="25"/>
                <w:szCs w:val="25"/>
              </w:rPr>
              <w:t xml:space="preserve">s Center for Constitutional Studies, </w:t>
            </w:r>
            <w:r>
              <w:rPr>
                <w:rFonts w:ascii="Garamond" w:hAnsi="Garamond"/>
                <w:color w:val="000000"/>
                <w:sz w:val="25"/>
                <w:szCs w:val="25"/>
              </w:rPr>
              <w:t>“</w:t>
            </w:r>
            <w:r w:rsidRPr="00F714CD">
              <w:rPr>
                <w:rFonts w:ascii="Garamond" w:hAnsi="Garamond"/>
                <w:color w:val="000000"/>
                <w:sz w:val="25"/>
                <w:szCs w:val="25"/>
              </w:rPr>
              <w:t xml:space="preserve">When agents of the executive branch (the police) disregard the terms of search warrants, or attempt to bypass the warrant-issuing process altogether, the judicial branch can and should respond by </w:t>
            </w:r>
            <w:r>
              <w:rPr>
                <w:rFonts w:ascii="Garamond" w:hAnsi="Garamond"/>
                <w:color w:val="000000"/>
                <w:sz w:val="25"/>
                <w:szCs w:val="25"/>
              </w:rPr>
              <w:t>‘</w:t>
            </w:r>
            <w:r w:rsidRPr="00F714CD">
              <w:rPr>
                <w:rFonts w:ascii="Garamond" w:hAnsi="Garamond"/>
                <w:color w:val="000000"/>
                <w:sz w:val="25"/>
                <w:szCs w:val="25"/>
              </w:rPr>
              <w:t>checking</w:t>
            </w:r>
            <w:r>
              <w:rPr>
                <w:rFonts w:ascii="Garamond" w:hAnsi="Garamond"/>
                <w:color w:val="000000"/>
                <w:sz w:val="25"/>
                <w:szCs w:val="25"/>
              </w:rPr>
              <w:t>’</w:t>
            </w:r>
            <w:r w:rsidRPr="00F714CD">
              <w:rPr>
                <w:rFonts w:ascii="Garamond" w:hAnsi="Garamond"/>
                <w:color w:val="000000"/>
                <w:sz w:val="25"/>
                <w:szCs w:val="25"/>
              </w:rPr>
              <w:t xml:space="preserve"> such misbehavior. The most opportune time to check such unconstitutional behavior is when prosecutors attempt to introduce illegally seized evidence in court. Because the exclusionary rule is the only effective tool the judiciary has for preserving the integrity of its warrant-issuing authority, any legislative attempt to abrogate the rule should be declared null and void by the Supreme Court.</w:t>
            </w:r>
            <w:r>
              <w:rPr>
                <w:rFonts w:ascii="Garamond" w:hAnsi="Garamond"/>
                <w:color w:val="000000"/>
                <w:sz w:val="25"/>
                <w:szCs w:val="25"/>
              </w:rPr>
              <w:t>”</w:t>
            </w:r>
            <w:r w:rsidRPr="00F714CD">
              <w:rPr>
                <w:rFonts w:ascii="Garamond" w:hAnsi="Garamond"/>
                <w:color w:val="000000"/>
                <w:sz w:val="25"/>
                <w:szCs w:val="25"/>
              </w:rPr>
              <w:t> </w:t>
            </w:r>
            <w:r w:rsidRPr="003E52E1">
              <w:rPr>
                <w:rFonts w:ascii="Garamond" w:hAnsi="Garamond"/>
                <w:i/>
                <w:iCs/>
                <w:color w:val="000000"/>
                <w:sz w:val="25"/>
                <w:szCs w:val="25"/>
              </w:rPr>
              <w:t>(</w:t>
            </w:r>
            <w:r w:rsidRPr="003E52E1">
              <w:rPr>
                <w:rStyle w:val="Emphasis"/>
                <w:rFonts w:ascii="Garamond" w:hAnsi="Garamond"/>
                <w:color w:val="000000"/>
                <w:sz w:val="25"/>
                <w:szCs w:val="25"/>
              </w:rPr>
              <w:t>Source: Cato Institute)</w:t>
            </w:r>
          </w:p>
        </w:tc>
        <w:tc>
          <w:tcPr>
            <w:tcW w:w="985" w:type="dxa"/>
            <w:tcBorders>
              <w:top w:val="single" w:sz="4" w:space="0" w:color="auto"/>
              <w:bottom w:val="single" w:sz="4" w:space="0" w:color="auto"/>
            </w:tcBorders>
            <w:vAlign w:val="bottom"/>
          </w:tcPr>
          <w:p w14:paraId="0B20896E" w14:textId="3D1A4E41" w:rsidR="00B567D9" w:rsidRDefault="00B567D9" w:rsidP="00B567D9">
            <w:pPr>
              <w:jc w:val="center"/>
            </w:pPr>
          </w:p>
        </w:tc>
      </w:tr>
      <w:tr w:rsidR="00B567D9" w14:paraId="178D33E8" w14:textId="77777777" w:rsidTr="00D43A1A">
        <w:tc>
          <w:tcPr>
            <w:tcW w:w="8365" w:type="dxa"/>
          </w:tcPr>
          <w:p w14:paraId="6368EC07" w14:textId="560B64F6" w:rsidR="00B567D9" w:rsidRPr="00F714CD" w:rsidRDefault="00B567D9" w:rsidP="000A3449">
            <w:pPr>
              <w:pStyle w:val="ListParagraph"/>
              <w:numPr>
                <w:ilvl w:val="0"/>
                <w:numId w:val="37"/>
              </w:numPr>
              <w:tabs>
                <w:tab w:val="clear" w:pos="720"/>
              </w:tabs>
              <w:spacing w:before="480" w:after="120"/>
              <w:ind w:left="515"/>
              <w:rPr>
                <w:rFonts w:ascii="Garamond" w:hAnsi="Garamond"/>
                <w:color w:val="000000"/>
                <w:sz w:val="25"/>
                <w:szCs w:val="25"/>
              </w:rPr>
            </w:pPr>
            <w:r w:rsidRPr="00F714CD">
              <w:rPr>
                <w:rFonts w:ascii="Garamond" w:hAnsi="Garamond"/>
                <w:color w:val="000000"/>
                <w:sz w:val="25"/>
                <w:szCs w:val="25"/>
              </w:rPr>
              <w:t xml:space="preserve">When Edwin Meese was the U.S. Attorney General in the early 1980s, he commented on the exclusionary rule using these words </w:t>
            </w:r>
            <w:r>
              <w:rPr>
                <w:rFonts w:ascii="Garamond" w:hAnsi="Garamond"/>
                <w:color w:val="000000"/>
                <w:sz w:val="25"/>
                <w:szCs w:val="25"/>
              </w:rPr>
              <w:t>“</w:t>
            </w:r>
            <w:r w:rsidRPr="00F714CD">
              <w:rPr>
                <w:rFonts w:ascii="Garamond" w:hAnsi="Garamond"/>
                <w:color w:val="000000"/>
                <w:sz w:val="25"/>
                <w:szCs w:val="25"/>
              </w:rPr>
              <w:t>what the rule really does is endanger innocent victims, while letting criminals escape . . . The social costs of this policy are immense.</w:t>
            </w:r>
            <w:r>
              <w:rPr>
                <w:rFonts w:ascii="Garamond" w:hAnsi="Garamond"/>
                <w:color w:val="000000"/>
                <w:sz w:val="25"/>
                <w:szCs w:val="25"/>
              </w:rPr>
              <w:t xml:space="preserve">” </w:t>
            </w:r>
            <w:r w:rsidRPr="003E52E1">
              <w:rPr>
                <w:rFonts w:ascii="Garamond" w:hAnsi="Garamond"/>
                <w:i/>
                <w:iCs/>
                <w:color w:val="000000"/>
                <w:sz w:val="25"/>
                <w:szCs w:val="25"/>
              </w:rPr>
              <w:t>(</w:t>
            </w:r>
            <w:r w:rsidRPr="00F714CD">
              <w:rPr>
                <w:rStyle w:val="Emphasis"/>
                <w:rFonts w:ascii="Garamond" w:hAnsi="Garamond"/>
                <w:color w:val="000000"/>
                <w:sz w:val="25"/>
                <w:szCs w:val="25"/>
              </w:rPr>
              <w:t>Source: American Civil Liberties Union</w:t>
            </w:r>
            <w:r>
              <w:rPr>
                <w:rStyle w:val="Emphasis"/>
                <w:rFonts w:ascii="Garamond" w:hAnsi="Garamond"/>
                <w:color w:val="000000"/>
                <w:sz w:val="25"/>
                <w:szCs w:val="25"/>
              </w:rPr>
              <w:t>)</w:t>
            </w:r>
          </w:p>
        </w:tc>
        <w:tc>
          <w:tcPr>
            <w:tcW w:w="985" w:type="dxa"/>
            <w:tcBorders>
              <w:top w:val="single" w:sz="4" w:space="0" w:color="auto"/>
              <w:bottom w:val="single" w:sz="4" w:space="0" w:color="auto"/>
            </w:tcBorders>
            <w:vAlign w:val="bottom"/>
          </w:tcPr>
          <w:p w14:paraId="4B33A6A7" w14:textId="3538ED4E" w:rsidR="00B567D9" w:rsidRDefault="00B567D9" w:rsidP="00B567D9">
            <w:pPr>
              <w:jc w:val="center"/>
            </w:pPr>
          </w:p>
        </w:tc>
      </w:tr>
      <w:tr w:rsidR="00B567D9" w14:paraId="120107DB" w14:textId="77777777" w:rsidTr="00D43A1A">
        <w:tc>
          <w:tcPr>
            <w:tcW w:w="8365" w:type="dxa"/>
          </w:tcPr>
          <w:p w14:paraId="4FAABAEF" w14:textId="4039D6F1" w:rsidR="00B567D9" w:rsidRPr="00F714CD" w:rsidRDefault="00B567D9" w:rsidP="000A3449">
            <w:pPr>
              <w:pStyle w:val="ListParagraph"/>
              <w:numPr>
                <w:ilvl w:val="0"/>
                <w:numId w:val="37"/>
              </w:numPr>
              <w:tabs>
                <w:tab w:val="clear" w:pos="720"/>
              </w:tabs>
              <w:spacing w:before="480" w:after="120"/>
              <w:ind w:left="515"/>
              <w:rPr>
                <w:rFonts w:ascii="Garamond" w:hAnsi="Garamond"/>
                <w:color w:val="000000"/>
                <w:sz w:val="25"/>
                <w:szCs w:val="25"/>
              </w:rPr>
            </w:pPr>
            <w:r w:rsidRPr="00F714CD">
              <w:rPr>
                <w:rFonts w:ascii="Garamond" w:hAnsi="Garamond"/>
                <w:color w:val="000000"/>
                <w:sz w:val="25"/>
                <w:szCs w:val="25"/>
              </w:rPr>
              <w:t>Jeffrey Rosen of </w:t>
            </w:r>
            <w:r w:rsidRPr="00F714CD">
              <w:rPr>
                <w:rStyle w:val="Emphasis"/>
                <w:rFonts w:ascii="Garamond" w:hAnsi="Garamond"/>
                <w:color w:val="000000"/>
                <w:sz w:val="25"/>
                <w:szCs w:val="25"/>
              </w:rPr>
              <w:t>The New Republic</w:t>
            </w:r>
            <w:r w:rsidRPr="00F714CD">
              <w:rPr>
                <w:rFonts w:ascii="Garamond" w:hAnsi="Garamond"/>
                <w:color w:val="000000"/>
                <w:sz w:val="25"/>
                <w:szCs w:val="25"/>
              </w:rPr>
              <w:t xml:space="preserve"> says, </w:t>
            </w:r>
            <w:r>
              <w:rPr>
                <w:rFonts w:ascii="Garamond" w:hAnsi="Garamond"/>
                <w:color w:val="000000"/>
                <w:sz w:val="25"/>
                <w:szCs w:val="25"/>
              </w:rPr>
              <w:t>“</w:t>
            </w:r>
            <w:r w:rsidRPr="00F714CD">
              <w:rPr>
                <w:rFonts w:ascii="Garamond" w:hAnsi="Garamond"/>
                <w:color w:val="000000"/>
                <w:sz w:val="25"/>
                <w:szCs w:val="25"/>
              </w:rPr>
              <w:t>For the first century after American independence, the remedy for an unreasonable search was simple: sue the offending officer for compensatory or punitive damages under trespass or tort law . . . No court, in England or America, excluded evidence in criminal trials until the Supreme Court invented the exclusionary rule in the 1886 </w:t>
            </w:r>
            <w:r w:rsidRPr="00F714CD">
              <w:rPr>
                <w:rStyle w:val="Emphasis"/>
                <w:rFonts w:ascii="Garamond" w:hAnsi="Garamond"/>
                <w:color w:val="000000"/>
                <w:sz w:val="25"/>
                <w:szCs w:val="25"/>
              </w:rPr>
              <w:t>Boyd</w:t>
            </w:r>
            <w:r w:rsidRPr="00F714CD">
              <w:rPr>
                <w:rFonts w:ascii="Garamond" w:hAnsi="Garamond"/>
                <w:color w:val="000000"/>
                <w:sz w:val="25"/>
                <w:szCs w:val="25"/>
              </w:rPr>
              <w:t> case. Even friends of the rule agree the Court</w:t>
            </w:r>
            <w:r>
              <w:rPr>
                <w:rFonts w:ascii="Garamond" w:hAnsi="Garamond"/>
                <w:color w:val="000000"/>
                <w:sz w:val="25"/>
                <w:szCs w:val="25"/>
              </w:rPr>
              <w:t>’</w:t>
            </w:r>
            <w:r w:rsidRPr="00F714CD">
              <w:rPr>
                <w:rFonts w:ascii="Garamond" w:hAnsi="Garamond"/>
                <w:color w:val="000000"/>
                <w:sz w:val="25"/>
                <w:szCs w:val="25"/>
              </w:rPr>
              <w:t>s reasoning was mystifying . . . But the Court has never explained why, if the exclusionary rule is not required by the Constitution, the justices had any business imposing it on the states in the first place.</w:t>
            </w:r>
            <w:r>
              <w:rPr>
                <w:rFonts w:ascii="Garamond" w:hAnsi="Garamond"/>
                <w:color w:val="000000"/>
                <w:sz w:val="25"/>
                <w:szCs w:val="25"/>
              </w:rPr>
              <w:t xml:space="preserve">” </w:t>
            </w:r>
            <w:r w:rsidRPr="00AB719E">
              <w:rPr>
                <w:rFonts w:ascii="Garamond" w:hAnsi="Garamond"/>
                <w:i/>
                <w:iCs/>
                <w:color w:val="000000"/>
                <w:sz w:val="25"/>
                <w:szCs w:val="25"/>
              </w:rPr>
              <w:t>(Source:</w:t>
            </w:r>
            <w:r>
              <w:rPr>
                <w:rFonts w:ascii="Garamond" w:hAnsi="Garamond"/>
                <w:color w:val="000000"/>
                <w:sz w:val="25"/>
                <w:szCs w:val="25"/>
              </w:rPr>
              <w:t xml:space="preserve"> </w:t>
            </w:r>
            <w:r w:rsidRPr="00F714CD">
              <w:rPr>
                <w:rStyle w:val="Emphasis"/>
                <w:rFonts w:ascii="Garamond" w:hAnsi="Garamond"/>
                <w:color w:val="000000"/>
                <w:sz w:val="25"/>
                <w:szCs w:val="25"/>
              </w:rPr>
              <w:t>The New Republic</w:t>
            </w:r>
            <w:r>
              <w:rPr>
                <w:rStyle w:val="Emphasis"/>
                <w:rFonts w:ascii="Garamond" w:hAnsi="Garamond"/>
                <w:color w:val="000000"/>
                <w:sz w:val="25"/>
                <w:szCs w:val="25"/>
              </w:rPr>
              <w:t>)</w:t>
            </w:r>
          </w:p>
        </w:tc>
        <w:tc>
          <w:tcPr>
            <w:tcW w:w="985" w:type="dxa"/>
            <w:tcBorders>
              <w:top w:val="single" w:sz="4" w:space="0" w:color="auto"/>
              <w:bottom w:val="single" w:sz="4" w:space="0" w:color="auto"/>
            </w:tcBorders>
            <w:vAlign w:val="bottom"/>
          </w:tcPr>
          <w:p w14:paraId="63D23325" w14:textId="63F48D12" w:rsidR="00B567D9" w:rsidRDefault="00B567D9" w:rsidP="00B567D9">
            <w:pPr>
              <w:jc w:val="center"/>
            </w:pPr>
          </w:p>
        </w:tc>
      </w:tr>
    </w:tbl>
    <w:p w14:paraId="46F9CBD7" w14:textId="2846D48C" w:rsidR="000D671F" w:rsidRDefault="00B567D9" w:rsidP="00E8570D">
      <w:r>
        <w:t xml:space="preserve"> </w:t>
      </w:r>
      <w:r w:rsidR="000D671F">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gridCol w:w="985"/>
      </w:tblGrid>
      <w:tr w:rsidR="00B567D9" w14:paraId="3ECE78DC" w14:textId="77777777" w:rsidTr="00D43A1A">
        <w:tc>
          <w:tcPr>
            <w:tcW w:w="8365" w:type="dxa"/>
          </w:tcPr>
          <w:p w14:paraId="5F6F74CE" w14:textId="4E53CFEF" w:rsidR="00B567D9" w:rsidRPr="00F714CD" w:rsidRDefault="00B567D9" w:rsidP="00B567D9">
            <w:pPr>
              <w:pStyle w:val="ListParagraph"/>
              <w:numPr>
                <w:ilvl w:val="0"/>
                <w:numId w:val="37"/>
              </w:numPr>
              <w:tabs>
                <w:tab w:val="clear" w:pos="720"/>
              </w:tabs>
              <w:spacing w:before="360" w:after="120"/>
              <w:ind w:left="515"/>
              <w:rPr>
                <w:rFonts w:ascii="Garamond" w:hAnsi="Garamond"/>
                <w:sz w:val="25"/>
                <w:szCs w:val="25"/>
              </w:rPr>
            </w:pPr>
            <w:r>
              <w:rPr>
                <w:rFonts w:ascii="Garamond" w:hAnsi="Garamond"/>
                <w:sz w:val="25"/>
                <w:szCs w:val="25"/>
              </w:rPr>
              <w:lastRenderedPageBreak/>
              <w:t>“</w:t>
            </w:r>
            <w:r w:rsidRPr="000D671F">
              <w:rPr>
                <w:rFonts w:ascii="Garamond" w:hAnsi="Garamond"/>
                <w:sz w:val="25"/>
                <w:szCs w:val="25"/>
              </w:rPr>
              <w:t xml:space="preserve">Most law enforcement officials, including the police, do not believe that the exclusionary rule interferes with their effectiveness in enforcing the law. In 1988, the American Bar Association published a report on the impact of constitutional rights on crime and crime control. After gathering the testimony of hundreds of judges, prosecutors, and police officers describing in detail the problems they faced daily in their work, the report concluded that 'the exclusionary rule neither causes serious malfunctioning of the criminal justice system nor promotes crime,' and further noted that </w:t>
            </w:r>
            <w:r>
              <w:rPr>
                <w:rFonts w:ascii="Garamond" w:hAnsi="Garamond"/>
                <w:sz w:val="25"/>
                <w:szCs w:val="25"/>
              </w:rPr>
              <w:t>‘</w:t>
            </w:r>
            <w:r w:rsidRPr="000D671F">
              <w:rPr>
                <w:rFonts w:ascii="Garamond" w:hAnsi="Garamond"/>
                <w:sz w:val="25"/>
                <w:szCs w:val="25"/>
              </w:rPr>
              <w:t>the police, toward whom the deterrent force of the exclusionary rule is primarily directed, do not consider search and seizure proscriptions to be a serious obstacle.</w:t>
            </w:r>
            <w:r>
              <w:rPr>
                <w:rFonts w:ascii="Garamond" w:hAnsi="Garamond"/>
                <w:sz w:val="25"/>
                <w:szCs w:val="25"/>
              </w:rPr>
              <w:t>’”</w:t>
            </w:r>
            <w:r w:rsidRPr="000D671F">
              <w:rPr>
                <w:rFonts w:ascii="Garamond" w:hAnsi="Garamond"/>
                <w:sz w:val="25"/>
                <w:szCs w:val="25"/>
              </w:rPr>
              <w:t xml:space="preserve"> </w:t>
            </w:r>
            <w:r w:rsidRPr="005345BA">
              <w:rPr>
                <w:rFonts w:ascii="Garamond" w:hAnsi="Garamond"/>
                <w:i/>
                <w:iCs/>
                <w:sz w:val="25"/>
                <w:szCs w:val="25"/>
              </w:rPr>
              <w:t>(Source: American Civil Liberties Union)</w:t>
            </w:r>
          </w:p>
        </w:tc>
        <w:tc>
          <w:tcPr>
            <w:tcW w:w="985" w:type="dxa"/>
            <w:tcBorders>
              <w:bottom w:val="single" w:sz="4" w:space="0" w:color="auto"/>
            </w:tcBorders>
            <w:vAlign w:val="bottom"/>
          </w:tcPr>
          <w:p w14:paraId="51E0F972" w14:textId="37D4CD2C" w:rsidR="00B567D9" w:rsidRDefault="00B567D9" w:rsidP="00B567D9">
            <w:pPr>
              <w:jc w:val="center"/>
            </w:pPr>
          </w:p>
        </w:tc>
      </w:tr>
      <w:tr w:rsidR="00B567D9" w14:paraId="071520A2" w14:textId="77777777" w:rsidTr="00D43A1A">
        <w:tc>
          <w:tcPr>
            <w:tcW w:w="8365" w:type="dxa"/>
          </w:tcPr>
          <w:p w14:paraId="11FF5FB9" w14:textId="7682CC0C" w:rsidR="00B567D9" w:rsidRPr="00F714CD" w:rsidRDefault="00B567D9" w:rsidP="00B567D9">
            <w:pPr>
              <w:pStyle w:val="ListParagraph"/>
              <w:numPr>
                <w:ilvl w:val="0"/>
                <w:numId w:val="37"/>
              </w:numPr>
              <w:tabs>
                <w:tab w:val="clear" w:pos="720"/>
              </w:tabs>
              <w:spacing w:before="360" w:after="120"/>
              <w:ind w:left="515"/>
              <w:rPr>
                <w:rFonts w:ascii="Garamond" w:hAnsi="Garamond"/>
                <w:sz w:val="25"/>
                <w:szCs w:val="25"/>
              </w:rPr>
            </w:pPr>
            <w:r w:rsidRPr="000D671F">
              <w:rPr>
                <w:rFonts w:ascii="Garamond" w:hAnsi="Garamond"/>
                <w:sz w:val="25"/>
                <w:szCs w:val="25"/>
              </w:rPr>
              <w:t xml:space="preserve">The Head of the Narcotics Section of the Organized Crime Division of the Chicago Police Department stated in 1986, </w:t>
            </w:r>
            <w:r>
              <w:rPr>
                <w:rFonts w:ascii="Garamond" w:hAnsi="Garamond"/>
                <w:sz w:val="25"/>
                <w:szCs w:val="25"/>
              </w:rPr>
              <w:t>“</w:t>
            </w:r>
            <w:r w:rsidRPr="000D671F">
              <w:rPr>
                <w:rFonts w:ascii="Garamond" w:hAnsi="Garamond"/>
                <w:sz w:val="25"/>
                <w:szCs w:val="25"/>
              </w:rPr>
              <w:t>I would not do anything to the exclusionary rule . . . It makes the police department more professional. It enforces appropriate standards of behavior.</w:t>
            </w:r>
            <w:r>
              <w:rPr>
                <w:rFonts w:ascii="Garamond" w:hAnsi="Garamond"/>
                <w:sz w:val="25"/>
                <w:szCs w:val="25"/>
              </w:rPr>
              <w:t>”</w:t>
            </w:r>
            <w:r w:rsidRPr="000D671F">
              <w:rPr>
                <w:rFonts w:ascii="Garamond" w:hAnsi="Garamond"/>
                <w:sz w:val="25"/>
                <w:szCs w:val="25"/>
              </w:rPr>
              <w:t xml:space="preserve"> </w:t>
            </w:r>
            <w:r>
              <w:rPr>
                <w:rFonts w:ascii="Garamond" w:hAnsi="Garamond"/>
                <w:sz w:val="25"/>
                <w:szCs w:val="25"/>
              </w:rPr>
              <w:t>(</w:t>
            </w:r>
            <w:r w:rsidRPr="000D671F">
              <w:rPr>
                <w:rFonts w:ascii="Garamond" w:hAnsi="Garamond"/>
                <w:sz w:val="25"/>
                <w:szCs w:val="25"/>
              </w:rPr>
              <w:t>Source: American Civil Liberties Union</w:t>
            </w:r>
            <w:r>
              <w:rPr>
                <w:rFonts w:ascii="Garamond" w:hAnsi="Garamond"/>
                <w:sz w:val="25"/>
                <w:szCs w:val="25"/>
              </w:rPr>
              <w:t>)</w:t>
            </w:r>
          </w:p>
        </w:tc>
        <w:tc>
          <w:tcPr>
            <w:tcW w:w="985" w:type="dxa"/>
            <w:tcBorders>
              <w:top w:val="single" w:sz="4" w:space="0" w:color="auto"/>
              <w:bottom w:val="single" w:sz="4" w:space="0" w:color="auto"/>
            </w:tcBorders>
            <w:vAlign w:val="bottom"/>
          </w:tcPr>
          <w:p w14:paraId="0D0800D8" w14:textId="79CFDE75" w:rsidR="00B567D9" w:rsidRDefault="00B567D9" w:rsidP="00B567D9">
            <w:pPr>
              <w:jc w:val="center"/>
            </w:pPr>
          </w:p>
        </w:tc>
      </w:tr>
      <w:tr w:rsidR="00B567D9" w14:paraId="187F0D12" w14:textId="77777777" w:rsidTr="00D43A1A">
        <w:tc>
          <w:tcPr>
            <w:tcW w:w="8365" w:type="dxa"/>
          </w:tcPr>
          <w:p w14:paraId="5091A93D" w14:textId="713E1CC2" w:rsidR="00B567D9" w:rsidRPr="00F714CD" w:rsidRDefault="00B567D9" w:rsidP="00B567D9">
            <w:pPr>
              <w:pStyle w:val="ListParagraph"/>
              <w:numPr>
                <w:ilvl w:val="0"/>
                <w:numId w:val="37"/>
              </w:numPr>
              <w:tabs>
                <w:tab w:val="clear" w:pos="720"/>
              </w:tabs>
              <w:spacing w:before="360" w:after="120"/>
              <w:ind w:left="515"/>
              <w:rPr>
                <w:rFonts w:ascii="Garamond" w:hAnsi="Garamond"/>
                <w:sz w:val="25"/>
                <w:szCs w:val="25"/>
              </w:rPr>
            </w:pPr>
            <w:r w:rsidRPr="00434FB6">
              <w:rPr>
                <w:rFonts w:ascii="Garamond" w:hAnsi="Garamond"/>
                <w:color w:val="000000"/>
                <w:sz w:val="25"/>
                <w:szCs w:val="25"/>
              </w:rPr>
              <w:t xml:space="preserve">In a speech delivered in the House of Representatives regarding a similar piece of legislation, Representative Nancy Pelosi said, </w:t>
            </w:r>
            <w:proofErr w:type="gramStart"/>
            <w:r>
              <w:rPr>
                <w:rFonts w:ascii="Garamond" w:hAnsi="Garamond"/>
                <w:color w:val="000000"/>
                <w:sz w:val="25"/>
                <w:szCs w:val="25"/>
              </w:rPr>
              <w:t>“</w:t>
            </w:r>
            <w:r w:rsidRPr="00434FB6">
              <w:rPr>
                <w:rFonts w:ascii="Garamond" w:hAnsi="Garamond"/>
                <w:color w:val="000000"/>
                <w:sz w:val="25"/>
                <w:szCs w:val="25"/>
              </w:rPr>
              <w:t xml:space="preserve"> . . .</w:t>
            </w:r>
            <w:proofErr w:type="gramEnd"/>
            <w:r w:rsidRPr="00434FB6">
              <w:rPr>
                <w:rFonts w:ascii="Garamond" w:hAnsi="Garamond"/>
                <w:color w:val="000000"/>
                <w:sz w:val="25"/>
                <w:szCs w:val="25"/>
              </w:rPr>
              <w:t xml:space="preserve"> the exclusionary rule is what protects all Americans against unreasonable searches and seizures and the invasion of privacy by law enforcement officers. It does not undermine the ability of the police to enforce the law; indeed, it has been part of the training given to all federal law enforcement agents since 1914. The directors of the FBI have endorsed the exclusionary rule and have stated that the rule does not hinder the FBI</w:t>
            </w:r>
            <w:r>
              <w:rPr>
                <w:rFonts w:ascii="Garamond" w:hAnsi="Garamond"/>
                <w:color w:val="000000"/>
                <w:sz w:val="25"/>
                <w:szCs w:val="25"/>
              </w:rPr>
              <w:t>’</w:t>
            </w:r>
            <w:r w:rsidRPr="00434FB6">
              <w:rPr>
                <w:rFonts w:ascii="Garamond" w:hAnsi="Garamond"/>
                <w:color w:val="000000"/>
                <w:sz w:val="25"/>
                <w:szCs w:val="25"/>
              </w:rPr>
              <w:t>s work . . . the exclusionary rule works because it creates an incentive for law enforcement officers to know legal search and seizure standards. By passing this bill, law enforcement will actually have an incentive not to know the law.</w:t>
            </w:r>
            <w:r>
              <w:rPr>
                <w:rFonts w:ascii="Garamond" w:hAnsi="Garamond"/>
                <w:color w:val="000000"/>
                <w:sz w:val="25"/>
                <w:szCs w:val="25"/>
              </w:rPr>
              <w:t>” (</w:t>
            </w:r>
            <w:r w:rsidRPr="00434FB6">
              <w:rPr>
                <w:rStyle w:val="Emphasis"/>
                <w:rFonts w:ascii="Garamond" w:hAnsi="Garamond"/>
                <w:color w:val="000000"/>
                <w:sz w:val="25"/>
                <w:szCs w:val="25"/>
              </w:rPr>
              <w:t>Source: Rep. Nancy Pelosi (D-Calif.)</w:t>
            </w:r>
            <w:r>
              <w:rPr>
                <w:rStyle w:val="Emphasis"/>
                <w:rFonts w:ascii="Garamond" w:hAnsi="Garamond"/>
                <w:color w:val="000000"/>
                <w:sz w:val="25"/>
                <w:szCs w:val="25"/>
              </w:rPr>
              <w:t>)</w:t>
            </w:r>
          </w:p>
        </w:tc>
        <w:tc>
          <w:tcPr>
            <w:tcW w:w="985" w:type="dxa"/>
            <w:tcBorders>
              <w:top w:val="single" w:sz="4" w:space="0" w:color="auto"/>
              <w:bottom w:val="single" w:sz="4" w:space="0" w:color="auto"/>
            </w:tcBorders>
            <w:vAlign w:val="bottom"/>
          </w:tcPr>
          <w:p w14:paraId="7F166073" w14:textId="369627AA" w:rsidR="00B567D9" w:rsidRDefault="00B567D9" w:rsidP="00B567D9">
            <w:pPr>
              <w:jc w:val="center"/>
            </w:pPr>
          </w:p>
        </w:tc>
      </w:tr>
      <w:tr w:rsidR="00B567D9" w14:paraId="62138726" w14:textId="77777777" w:rsidTr="00D43A1A">
        <w:tc>
          <w:tcPr>
            <w:tcW w:w="8365" w:type="dxa"/>
          </w:tcPr>
          <w:p w14:paraId="5D253797" w14:textId="4F8DE4CA" w:rsidR="00B567D9" w:rsidRPr="00F714CD" w:rsidRDefault="00B567D9" w:rsidP="00B567D9">
            <w:pPr>
              <w:pStyle w:val="ListParagraph"/>
              <w:numPr>
                <w:ilvl w:val="0"/>
                <w:numId w:val="37"/>
              </w:numPr>
              <w:tabs>
                <w:tab w:val="clear" w:pos="720"/>
              </w:tabs>
              <w:spacing w:before="360" w:after="120"/>
              <w:ind w:left="515"/>
              <w:rPr>
                <w:rFonts w:ascii="Garamond" w:hAnsi="Garamond"/>
                <w:color w:val="000000"/>
                <w:sz w:val="25"/>
                <w:szCs w:val="25"/>
              </w:rPr>
            </w:pPr>
            <w:r w:rsidRPr="00434FB6">
              <w:rPr>
                <w:rFonts w:ascii="Garamond" w:hAnsi="Garamond"/>
                <w:color w:val="000000"/>
                <w:sz w:val="25"/>
                <w:szCs w:val="25"/>
              </w:rPr>
              <w:t xml:space="preserve">Robert E. Moffit, Deputy Director of Domestic Policy Studies for the Heritage Foundation, stated in 1996, </w:t>
            </w:r>
            <w:r>
              <w:rPr>
                <w:rFonts w:ascii="Garamond" w:hAnsi="Garamond"/>
                <w:color w:val="000000"/>
                <w:sz w:val="25"/>
                <w:szCs w:val="25"/>
              </w:rPr>
              <w:t>“</w:t>
            </w:r>
            <w:r w:rsidRPr="00434FB6">
              <w:rPr>
                <w:rFonts w:ascii="Garamond" w:hAnsi="Garamond"/>
                <w:color w:val="000000"/>
                <w:sz w:val="25"/>
                <w:szCs w:val="25"/>
              </w:rPr>
              <w:t>in </w:t>
            </w:r>
            <w:r w:rsidRPr="00434FB6">
              <w:rPr>
                <w:rStyle w:val="Emphasis"/>
                <w:rFonts w:ascii="Garamond" w:hAnsi="Garamond"/>
                <w:color w:val="000000"/>
                <w:sz w:val="25"/>
                <w:szCs w:val="25"/>
              </w:rPr>
              <w:t>Mapp v. Ohio </w:t>
            </w:r>
            <w:r w:rsidRPr="00434FB6">
              <w:rPr>
                <w:rFonts w:ascii="Garamond" w:hAnsi="Garamond"/>
                <w:color w:val="000000"/>
                <w:sz w:val="25"/>
                <w:szCs w:val="25"/>
              </w:rPr>
              <w:t>(1961), the Court mandated the exclusion of evidence in cases involving even the most technical violation of the search and seizure provisions of the Fourth Amendment.</w:t>
            </w:r>
            <w:r>
              <w:rPr>
                <w:rFonts w:ascii="Garamond" w:hAnsi="Garamond"/>
                <w:color w:val="000000"/>
                <w:sz w:val="25"/>
                <w:szCs w:val="25"/>
              </w:rPr>
              <w:t>” (</w:t>
            </w:r>
            <w:r w:rsidRPr="00434FB6">
              <w:rPr>
                <w:rStyle w:val="Emphasis"/>
                <w:rFonts w:ascii="Garamond" w:hAnsi="Garamond"/>
                <w:color w:val="000000"/>
                <w:sz w:val="25"/>
                <w:szCs w:val="25"/>
              </w:rPr>
              <w:t>Source: The Heritage Foundation</w:t>
            </w:r>
            <w:r>
              <w:rPr>
                <w:rStyle w:val="Emphasis"/>
                <w:rFonts w:ascii="Garamond" w:hAnsi="Garamond"/>
                <w:color w:val="000000"/>
                <w:sz w:val="25"/>
                <w:szCs w:val="25"/>
              </w:rPr>
              <w:t>)</w:t>
            </w:r>
          </w:p>
        </w:tc>
        <w:tc>
          <w:tcPr>
            <w:tcW w:w="985" w:type="dxa"/>
            <w:tcBorders>
              <w:top w:val="single" w:sz="4" w:space="0" w:color="auto"/>
              <w:bottom w:val="single" w:sz="4" w:space="0" w:color="auto"/>
            </w:tcBorders>
            <w:vAlign w:val="bottom"/>
          </w:tcPr>
          <w:p w14:paraId="77D283B4" w14:textId="397C73A8" w:rsidR="00B567D9" w:rsidRDefault="00B567D9" w:rsidP="00B567D9">
            <w:pPr>
              <w:jc w:val="center"/>
            </w:pPr>
          </w:p>
        </w:tc>
      </w:tr>
    </w:tbl>
    <w:p w14:paraId="66B59704" w14:textId="2D8AB03A" w:rsidR="000D671F" w:rsidRDefault="00B567D9" w:rsidP="00E8570D">
      <w:r>
        <w:t xml:space="preserve"> </w:t>
      </w:r>
      <w:r w:rsidR="000D671F">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gridCol w:w="985"/>
      </w:tblGrid>
      <w:tr w:rsidR="00B567D9" w14:paraId="61CE0DC4" w14:textId="77777777" w:rsidTr="00D43A1A">
        <w:tc>
          <w:tcPr>
            <w:tcW w:w="8365" w:type="dxa"/>
          </w:tcPr>
          <w:p w14:paraId="5BBCEA83" w14:textId="2CB33195" w:rsidR="00B567D9" w:rsidRPr="00B567D9" w:rsidRDefault="00B567D9" w:rsidP="00B567D9">
            <w:pPr>
              <w:pStyle w:val="ListParagraph"/>
              <w:numPr>
                <w:ilvl w:val="0"/>
                <w:numId w:val="37"/>
              </w:numPr>
              <w:tabs>
                <w:tab w:val="clear" w:pos="720"/>
              </w:tabs>
              <w:spacing w:before="120" w:after="120"/>
              <w:ind w:left="695" w:hanging="540"/>
              <w:rPr>
                <w:rFonts w:ascii="Garamond" w:hAnsi="Garamond"/>
                <w:sz w:val="25"/>
                <w:szCs w:val="25"/>
              </w:rPr>
            </w:pPr>
            <w:r w:rsidRPr="00B567D9">
              <w:rPr>
                <w:rFonts w:ascii="Garamond" w:hAnsi="Garamond"/>
                <w:color w:val="000000"/>
                <w:sz w:val="25"/>
                <w:szCs w:val="25"/>
              </w:rPr>
              <w:lastRenderedPageBreak/>
              <w:t xml:space="preserve">William </w:t>
            </w:r>
            <w:proofErr w:type="spellStart"/>
            <w:r w:rsidRPr="00B567D9">
              <w:rPr>
                <w:rFonts w:ascii="Garamond" w:hAnsi="Garamond"/>
                <w:color w:val="000000"/>
                <w:sz w:val="25"/>
                <w:szCs w:val="25"/>
              </w:rPr>
              <w:t>Westmiller</w:t>
            </w:r>
            <w:proofErr w:type="spellEnd"/>
            <w:r w:rsidRPr="00B567D9">
              <w:rPr>
                <w:rFonts w:ascii="Garamond" w:hAnsi="Garamond"/>
                <w:color w:val="000000"/>
                <w:sz w:val="25"/>
                <w:szCs w:val="25"/>
              </w:rPr>
              <w:t xml:space="preserve">, the California Coordinator of the Republican Liberty Caucus, writes, </w:t>
            </w:r>
            <w:r>
              <w:rPr>
                <w:rFonts w:ascii="Garamond" w:hAnsi="Garamond"/>
                <w:color w:val="000000"/>
                <w:sz w:val="25"/>
                <w:szCs w:val="25"/>
              </w:rPr>
              <w:t>“</w:t>
            </w:r>
            <w:r w:rsidRPr="00B567D9">
              <w:rPr>
                <w:rFonts w:ascii="Garamond" w:hAnsi="Garamond"/>
                <w:color w:val="000000"/>
                <w:sz w:val="25"/>
                <w:szCs w:val="25"/>
              </w:rPr>
              <w:t>The exclusionary rule was a judicial effort to fill a legislative void. Rather than carving laws that properly punish violations of civil rights, the Congress deferred to Executive police authority, unfettered by any constitutional restrictions. The courts could not draft those proper laws, so they found a feeble mechanism to at least discourage the most flagrant violations . . . but only when they were perpetrated against criminals. Innocent citizens benefit not a whit from the rule, being left to battle state atrocities by their own means in a civil court. This is injustice compounded beyond injustice</w:t>
            </w:r>
            <w:proofErr w:type="gramStart"/>
            <w:r w:rsidRPr="00B567D9">
              <w:rPr>
                <w:rFonts w:ascii="Garamond" w:hAnsi="Garamond"/>
                <w:color w:val="000000"/>
                <w:sz w:val="25"/>
                <w:szCs w:val="25"/>
              </w:rPr>
              <w:t>. . . .</w:t>
            </w:r>
            <w:proofErr w:type="gramEnd"/>
            <w:r w:rsidRPr="00B567D9">
              <w:rPr>
                <w:rFonts w:ascii="Garamond" w:hAnsi="Garamond"/>
                <w:color w:val="000000"/>
                <w:sz w:val="25"/>
                <w:szCs w:val="25"/>
              </w:rPr>
              <w:t xml:space="preserve"> But they evade the whole truth, that it is exactly those innocent parties who are explicitly excluded [sic] from the benefits of the exclusionary rule. The entire proposition of excluding truthful facts from a trial flies in the face of common law principles established over centuries.</w:t>
            </w:r>
            <w:r>
              <w:rPr>
                <w:rFonts w:ascii="Garamond" w:hAnsi="Garamond"/>
                <w:color w:val="000000"/>
                <w:sz w:val="25"/>
                <w:szCs w:val="25"/>
              </w:rPr>
              <w:t>”</w:t>
            </w:r>
            <w:r w:rsidRPr="00B567D9">
              <w:rPr>
                <w:rFonts w:ascii="Garamond" w:hAnsi="Garamond"/>
                <w:color w:val="000000"/>
                <w:sz w:val="25"/>
                <w:szCs w:val="25"/>
              </w:rPr>
              <w:t> </w:t>
            </w:r>
            <w:r>
              <w:rPr>
                <w:rFonts w:ascii="Garamond" w:hAnsi="Garamond"/>
                <w:color w:val="000000"/>
                <w:sz w:val="25"/>
                <w:szCs w:val="25"/>
              </w:rPr>
              <w:t>(</w:t>
            </w:r>
            <w:r w:rsidRPr="00B567D9">
              <w:rPr>
                <w:rStyle w:val="Emphasis"/>
                <w:rFonts w:ascii="Garamond" w:hAnsi="Garamond"/>
                <w:color w:val="000000"/>
                <w:sz w:val="25"/>
                <w:szCs w:val="25"/>
              </w:rPr>
              <w:t xml:space="preserve">Source: </w:t>
            </w:r>
            <w:proofErr w:type="spellStart"/>
            <w:r w:rsidRPr="00B567D9">
              <w:rPr>
                <w:rStyle w:val="Emphasis"/>
                <w:rFonts w:ascii="Garamond" w:hAnsi="Garamond"/>
                <w:color w:val="000000"/>
                <w:sz w:val="25"/>
                <w:szCs w:val="25"/>
              </w:rPr>
              <w:t>Westmiller</w:t>
            </w:r>
            <w:proofErr w:type="spellEnd"/>
            <w:r w:rsidRPr="00B567D9">
              <w:rPr>
                <w:rStyle w:val="Emphasis"/>
                <w:rFonts w:ascii="Garamond" w:hAnsi="Garamond"/>
                <w:color w:val="000000"/>
                <w:sz w:val="25"/>
                <w:szCs w:val="25"/>
              </w:rPr>
              <w:t xml:space="preserve"> Commentaries</w:t>
            </w:r>
            <w:r>
              <w:rPr>
                <w:rStyle w:val="Emphasis"/>
                <w:rFonts w:ascii="Garamond" w:hAnsi="Garamond"/>
                <w:color w:val="000000"/>
                <w:sz w:val="25"/>
                <w:szCs w:val="25"/>
              </w:rPr>
              <w:t>)</w:t>
            </w:r>
          </w:p>
        </w:tc>
        <w:tc>
          <w:tcPr>
            <w:tcW w:w="985" w:type="dxa"/>
            <w:tcBorders>
              <w:bottom w:val="single" w:sz="4" w:space="0" w:color="auto"/>
            </w:tcBorders>
            <w:vAlign w:val="bottom"/>
          </w:tcPr>
          <w:p w14:paraId="797D951A" w14:textId="30B2C4F2" w:rsidR="00B567D9" w:rsidRDefault="00B567D9" w:rsidP="00B567D9">
            <w:pPr>
              <w:jc w:val="center"/>
            </w:pPr>
          </w:p>
        </w:tc>
      </w:tr>
      <w:tr w:rsidR="00B567D9" w14:paraId="0D15A3E4" w14:textId="77777777" w:rsidTr="00D43A1A">
        <w:tc>
          <w:tcPr>
            <w:tcW w:w="8365" w:type="dxa"/>
          </w:tcPr>
          <w:p w14:paraId="38F2F3D7" w14:textId="6075BAED" w:rsidR="00B567D9" w:rsidRPr="00B567D9" w:rsidRDefault="00B567D9" w:rsidP="00B567D9">
            <w:pPr>
              <w:pStyle w:val="ListParagraph"/>
              <w:numPr>
                <w:ilvl w:val="0"/>
                <w:numId w:val="37"/>
              </w:numPr>
              <w:tabs>
                <w:tab w:val="clear" w:pos="720"/>
              </w:tabs>
              <w:spacing w:before="120" w:after="120"/>
              <w:ind w:left="695" w:hanging="540"/>
              <w:rPr>
                <w:rFonts w:ascii="Garamond" w:hAnsi="Garamond"/>
                <w:color w:val="000000"/>
                <w:sz w:val="25"/>
                <w:szCs w:val="25"/>
              </w:rPr>
            </w:pPr>
            <w:r w:rsidRPr="00B567D9">
              <w:rPr>
                <w:rFonts w:ascii="Garamond" w:hAnsi="Garamond"/>
                <w:color w:val="000000"/>
                <w:sz w:val="25"/>
                <w:szCs w:val="25"/>
              </w:rPr>
              <w:t>According to Timothy Lynch, the associate director of the Cato Institute</w:t>
            </w:r>
            <w:r>
              <w:rPr>
                <w:rFonts w:ascii="Garamond" w:hAnsi="Garamond"/>
                <w:color w:val="000000"/>
                <w:sz w:val="25"/>
                <w:szCs w:val="25"/>
              </w:rPr>
              <w:t>’</w:t>
            </w:r>
            <w:r w:rsidRPr="00B567D9">
              <w:rPr>
                <w:rFonts w:ascii="Garamond" w:hAnsi="Garamond"/>
                <w:color w:val="000000"/>
                <w:sz w:val="25"/>
                <w:szCs w:val="25"/>
              </w:rPr>
              <w:t xml:space="preserve">s Center for Constitutional Studies, </w:t>
            </w:r>
            <w:r>
              <w:rPr>
                <w:rFonts w:ascii="Garamond" w:hAnsi="Garamond"/>
                <w:color w:val="000000"/>
                <w:sz w:val="25"/>
                <w:szCs w:val="25"/>
              </w:rPr>
              <w:t>“</w:t>
            </w:r>
            <w:r w:rsidRPr="00B567D9">
              <w:rPr>
                <w:rFonts w:ascii="Garamond" w:hAnsi="Garamond"/>
                <w:color w:val="000000"/>
                <w:sz w:val="25"/>
                <w:szCs w:val="25"/>
              </w:rPr>
              <w:t xml:space="preserve">Critics of the exclusionary rule often stress that they wish to replace it with </w:t>
            </w:r>
            <w:r>
              <w:rPr>
                <w:rFonts w:ascii="Garamond" w:hAnsi="Garamond"/>
                <w:color w:val="000000"/>
                <w:sz w:val="25"/>
                <w:szCs w:val="25"/>
              </w:rPr>
              <w:t>‘</w:t>
            </w:r>
            <w:r w:rsidRPr="00B567D9">
              <w:rPr>
                <w:rFonts w:ascii="Garamond" w:hAnsi="Garamond"/>
                <w:color w:val="000000"/>
                <w:sz w:val="25"/>
                <w:szCs w:val="25"/>
              </w:rPr>
              <w:t>a more effective remedy</w:t>
            </w:r>
            <w:r>
              <w:rPr>
                <w:rFonts w:ascii="Garamond" w:hAnsi="Garamond"/>
                <w:color w:val="000000"/>
                <w:sz w:val="25"/>
                <w:szCs w:val="25"/>
              </w:rPr>
              <w:t>’</w:t>
            </w:r>
            <w:r w:rsidRPr="00B567D9">
              <w:rPr>
                <w:rFonts w:ascii="Garamond" w:hAnsi="Garamond"/>
                <w:color w:val="000000"/>
                <w:sz w:val="25"/>
                <w:szCs w:val="25"/>
              </w:rPr>
              <w:t xml:space="preserve"> for illegal police searches. The substitute remedy typically offered is a civil damages action that would enable victims of unlawful searches to sue police departments for monetary damages . . . history shows that, where courts do not employ the exclusionary rule, the problem of police lawlessness gets worse.</w:t>
            </w:r>
            <w:r>
              <w:rPr>
                <w:rFonts w:ascii="Garamond" w:hAnsi="Garamond"/>
                <w:color w:val="000000"/>
                <w:sz w:val="25"/>
                <w:szCs w:val="25"/>
              </w:rPr>
              <w:t xml:space="preserve">” </w:t>
            </w:r>
            <w:r w:rsidRPr="00B567D9">
              <w:rPr>
                <w:rFonts w:ascii="Garamond" w:hAnsi="Garamond"/>
                <w:i/>
                <w:iCs/>
                <w:color w:val="000000"/>
                <w:sz w:val="25"/>
                <w:szCs w:val="25"/>
              </w:rPr>
              <w:t>(</w:t>
            </w:r>
            <w:r w:rsidRPr="00B567D9">
              <w:rPr>
                <w:rFonts w:ascii="Garamond" w:hAnsi="Garamond"/>
                <w:i/>
                <w:iCs/>
                <w:sz w:val="25"/>
                <w:szCs w:val="25"/>
              </w:rPr>
              <w:t xml:space="preserve">Source: </w:t>
            </w:r>
            <w:r>
              <w:rPr>
                <w:rFonts w:ascii="Garamond" w:hAnsi="Garamond"/>
                <w:i/>
                <w:iCs/>
                <w:sz w:val="25"/>
                <w:szCs w:val="25"/>
              </w:rPr>
              <w:t>“</w:t>
            </w:r>
            <w:r w:rsidRPr="00B567D9">
              <w:rPr>
                <w:rFonts w:ascii="Garamond" w:hAnsi="Garamond"/>
                <w:i/>
                <w:iCs/>
                <w:sz w:val="25"/>
                <w:szCs w:val="25"/>
              </w:rPr>
              <w:t>In Defense of the Exclusionary Rule</w:t>
            </w:r>
            <w:r>
              <w:rPr>
                <w:rFonts w:ascii="Garamond" w:hAnsi="Garamond"/>
                <w:i/>
                <w:iCs/>
                <w:sz w:val="25"/>
                <w:szCs w:val="25"/>
              </w:rPr>
              <w:t>”</w:t>
            </w:r>
            <w:r w:rsidRPr="00B567D9">
              <w:rPr>
                <w:rFonts w:ascii="Garamond" w:hAnsi="Garamond"/>
                <w:i/>
                <w:iCs/>
                <w:sz w:val="25"/>
                <w:szCs w:val="25"/>
              </w:rPr>
              <w:t xml:space="preserve"> USA Today)</w:t>
            </w:r>
          </w:p>
        </w:tc>
        <w:tc>
          <w:tcPr>
            <w:tcW w:w="985" w:type="dxa"/>
            <w:tcBorders>
              <w:top w:val="single" w:sz="4" w:space="0" w:color="auto"/>
              <w:bottom w:val="single" w:sz="4" w:space="0" w:color="auto"/>
            </w:tcBorders>
            <w:vAlign w:val="bottom"/>
          </w:tcPr>
          <w:p w14:paraId="5B815E90" w14:textId="553A3D85" w:rsidR="00B567D9" w:rsidRDefault="00B567D9" w:rsidP="00B567D9">
            <w:pPr>
              <w:jc w:val="center"/>
            </w:pPr>
          </w:p>
        </w:tc>
      </w:tr>
      <w:tr w:rsidR="00B567D9" w14:paraId="181662F2" w14:textId="77777777" w:rsidTr="00D43A1A">
        <w:tc>
          <w:tcPr>
            <w:tcW w:w="8365" w:type="dxa"/>
          </w:tcPr>
          <w:p w14:paraId="123D12AF" w14:textId="3E865848" w:rsidR="00B567D9" w:rsidRPr="00B567D9" w:rsidRDefault="00B567D9" w:rsidP="00B567D9">
            <w:pPr>
              <w:pStyle w:val="ListParagraph"/>
              <w:numPr>
                <w:ilvl w:val="0"/>
                <w:numId w:val="37"/>
              </w:numPr>
              <w:tabs>
                <w:tab w:val="clear" w:pos="720"/>
              </w:tabs>
              <w:spacing w:before="120" w:after="120"/>
              <w:ind w:left="695" w:hanging="540"/>
              <w:rPr>
                <w:rFonts w:ascii="Garamond" w:hAnsi="Garamond"/>
                <w:color w:val="000000"/>
                <w:sz w:val="25"/>
                <w:szCs w:val="25"/>
              </w:rPr>
            </w:pPr>
            <w:r w:rsidRPr="00B567D9">
              <w:rPr>
                <w:rFonts w:ascii="Garamond" w:hAnsi="Garamond"/>
                <w:color w:val="000000"/>
                <w:sz w:val="25"/>
                <w:szCs w:val="25"/>
              </w:rPr>
              <w:t xml:space="preserve">Anthony </w:t>
            </w:r>
            <w:proofErr w:type="spellStart"/>
            <w:r w:rsidRPr="00B567D9">
              <w:rPr>
                <w:rFonts w:ascii="Garamond" w:hAnsi="Garamond"/>
                <w:color w:val="000000"/>
                <w:sz w:val="25"/>
                <w:szCs w:val="25"/>
              </w:rPr>
              <w:t>Bouza</w:t>
            </w:r>
            <w:proofErr w:type="spellEnd"/>
            <w:r w:rsidRPr="00B567D9">
              <w:rPr>
                <w:rFonts w:ascii="Garamond" w:hAnsi="Garamond"/>
                <w:color w:val="000000"/>
                <w:sz w:val="25"/>
                <w:szCs w:val="25"/>
              </w:rPr>
              <w:t xml:space="preserve">, former New York Police Department Commander and retired Minneapolis Police Chief, states, </w:t>
            </w:r>
            <w:r>
              <w:rPr>
                <w:rFonts w:ascii="Garamond" w:hAnsi="Garamond"/>
                <w:color w:val="000000"/>
                <w:sz w:val="25"/>
                <w:szCs w:val="25"/>
              </w:rPr>
              <w:t>“</w:t>
            </w:r>
            <w:r w:rsidRPr="00B567D9">
              <w:rPr>
                <w:rFonts w:ascii="Garamond" w:hAnsi="Garamond"/>
                <w:color w:val="000000"/>
                <w:sz w:val="25"/>
                <w:szCs w:val="25"/>
              </w:rPr>
              <w:t>Over the ensuing decades [after the </w:t>
            </w:r>
            <w:r w:rsidRPr="00B567D9">
              <w:rPr>
                <w:rFonts w:ascii="Garamond" w:hAnsi="Garamond"/>
                <w:i/>
                <w:iCs/>
                <w:sz w:val="25"/>
                <w:szCs w:val="25"/>
              </w:rPr>
              <w:t>Mapp </w:t>
            </w:r>
            <w:r w:rsidRPr="00B567D9">
              <w:rPr>
                <w:rFonts w:ascii="Garamond" w:hAnsi="Garamond"/>
                <w:color w:val="000000"/>
                <w:sz w:val="25"/>
                <w:szCs w:val="25"/>
              </w:rPr>
              <w:t>decision], cops learned to obtain warrants, secure evidence, and prepare cases. Arrests that had been clouded by sloppiness, illegality, and recklessness were now much tidier.</w:t>
            </w:r>
            <w:r>
              <w:rPr>
                <w:rFonts w:ascii="Garamond" w:hAnsi="Garamond"/>
                <w:color w:val="000000"/>
                <w:sz w:val="25"/>
                <w:szCs w:val="25"/>
              </w:rPr>
              <w:t xml:space="preserve">” </w:t>
            </w:r>
            <w:r w:rsidRPr="00B567D9">
              <w:rPr>
                <w:rFonts w:ascii="Garamond" w:hAnsi="Garamond"/>
                <w:i/>
                <w:iCs/>
                <w:color w:val="000000"/>
                <w:sz w:val="25"/>
                <w:szCs w:val="25"/>
              </w:rPr>
              <w:t>(</w:t>
            </w:r>
            <w:r w:rsidRPr="00B567D9">
              <w:rPr>
                <w:rFonts w:ascii="Garamond" w:hAnsi="Garamond"/>
                <w:i/>
                <w:iCs/>
                <w:sz w:val="25"/>
                <w:szCs w:val="25"/>
              </w:rPr>
              <w:t>Source: American Civil Liberties Union</w:t>
            </w:r>
            <w:r>
              <w:rPr>
                <w:rFonts w:ascii="Garamond" w:hAnsi="Garamond"/>
                <w:i/>
                <w:iCs/>
                <w:sz w:val="25"/>
                <w:szCs w:val="25"/>
              </w:rPr>
              <w:t>)</w:t>
            </w:r>
          </w:p>
        </w:tc>
        <w:tc>
          <w:tcPr>
            <w:tcW w:w="985" w:type="dxa"/>
            <w:tcBorders>
              <w:top w:val="single" w:sz="4" w:space="0" w:color="auto"/>
              <w:bottom w:val="single" w:sz="4" w:space="0" w:color="auto"/>
            </w:tcBorders>
            <w:vAlign w:val="bottom"/>
          </w:tcPr>
          <w:p w14:paraId="4C028789" w14:textId="36570DB4" w:rsidR="00B567D9" w:rsidRDefault="00B567D9" w:rsidP="00B567D9">
            <w:pPr>
              <w:jc w:val="center"/>
            </w:pPr>
          </w:p>
        </w:tc>
      </w:tr>
      <w:tr w:rsidR="00B567D9" w14:paraId="7E96D07D" w14:textId="77777777" w:rsidTr="00D43A1A">
        <w:tc>
          <w:tcPr>
            <w:tcW w:w="8365" w:type="dxa"/>
          </w:tcPr>
          <w:p w14:paraId="2DDE9F07" w14:textId="589D5171" w:rsidR="00B567D9" w:rsidRPr="00B567D9" w:rsidRDefault="00B567D9" w:rsidP="00B567D9">
            <w:pPr>
              <w:pStyle w:val="ListParagraph"/>
              <w:numPr>
                <w:ilvl w:val="0"/>
                <w:numId w:val="37"/>
              </w:numPr>
              <w:tabs>
                <w:tab w:val="clear" w:pos="720"/>
              </w:tabs>
              <w:spacing w:before="120" w:after="120"/>
              <w:ind w:left="695" w:hanging="540"/>
              <w:rPr>
                <w:rFonts w:ascii="Garamond" w:hAnsi="Garamond"/>
                <w:color w:val="000000"/>
                <w:sz w:val="25"/>
                <w:szCs w:val="25"/>
              </w:rPr>
            </w:pPr>
            <w:r w:rsidRPr="00B567D9">
              <w:rPr>
                <w:rFonts w:ascii="Garamond" w:hAnsi="Garamond"/>
                <w:color w:val="000000"/>
                <w:sz w:val="25"/>
                <w:szCs w:val="25"/>
              </w:rPr>
              <w:t xml:space="preserve">William </w:t>
            </w:r>
            <w:proofErr w:type="spellStart"/>
            <w:r w:rsidRPr="00B567D9">
              <w:rPr>
                <w:rFonts w:ascii="Garamond" w:hAnsi="Garamond"/>
                <w:color w:val="000000"/>
                <w:sz w:val="25"/>
                <w:szCs w:val="25"/>
              </w:rPr>
              <w:t>Westmiller</w:t>
            </w:r>
            <w:proofErr w:type="spellEnd"/>
            <w:r w:rsidRPr="00B567D9">
              <w:rPr>
                <w:rFonts w:ascii="Garamond" w:hAnsi="Garamond"/>
                <w:color w:val="000000"/>
                <w:sz w:val="25"/>
                <w:szCs w:val="25"/>
              </w:rPr>
              <w:t xml:space="preserve">, the California Coordinator of the Republican Liberty Caucus, writes, </w:t>
            </w:r>
            <w:r>
              <w:rPr>
                <w:rFonts w:ascii="Garamond" w:hAnsi="Garamond"/>
                <w:color w:val="000000"/>
                <w:sz w:val="25"/>
                <w:szCs w:val="25"/>
              </w:rPr>
              <w:t>“</w:t>
            </w:r>
            <w:r w:rsidRPr="00B567D9">
              <w:rPr>
                <w:rFonts w:ascii="Garamond" w:hAnsi="Garamond"/>
                <w:color w:val="000000"/>
                <w:sz w:val="25"/>
                <w:szCs w:val="25"/>
              </w:rPr>
              <w:t xml:space="preserve">Irrespective of the guilt or innocence of any other party, police should be held liable for their unlawful conduct. This is different, in kind, from expanding federal police powers. The law should restrain and prosecute federal, state, and local police who violate individual rights. The range of penalties should be broad, but most critically the law must treat any illegal conduct by police perpetrated </w:t>
            </w:r>
            <w:r>
              <w:rPr>
                <w:rFonts w:ascii="Garamond" w:hAnsi="Garamond"/>
                <w:color w:val="000000"/>
                <w:sz w:val="25"/>
                <w:szCs w:val="25"/>
              </w:rPr>
              <w:t>‘</w:t>
            </w:r>
            <w:r w:rsidRPr="00B567D9">
              <w:rPr>
                <w:rFonts w:ascii="Garamond" w:hAnsi="Garamond"/>
                <w:color w:val="000000"/>
                <w:sz w:val="25"/>
                <w:szCs w:val="25"/>
              </w:rPr>
              <w:t>under the color of law</w:t>
            </w:r>
            <w:r>
              <w:rPr>
                <w:rFonts w:ascii="Garamond" w:hAnsi="Garamond"/>
                <w:color w:val="000000"/>
                <w:sz w:val="25"/>
                <w:szCs w:val="25"/>
              </w:rPr>
              <w:t>’</w:t>
            </w:r>
            <w:r w:rsidRPr="00B567D9">
              <w:rPr>
                <w:rFonts w:ascii="Garamond" w:hAnsi="Garamond"/>
                <w:color w:val="000000"/>
                <w:sz w:val="25"/>
                <w:szCs w:val="25"/>
              </w:rPr>
              <w:t xml:space="preserve"> much more severely than the same conduct perpetrated by a common criminal. The minimum penalty for any intentional violation of constitutional rights should be expulsion and perpetual exclusion from any position within law enforcement—impeachment and removal from office, if the contemporary analogy holds.</w:t>
            </w:r>
            <w:r>
              <w:rPr>
                <w:rFonts w:ascii="Garamond" w:hAnsi="Garamond"/>
                <w:color w:val="000000"/>
                <w:sz w:val="25"/>
                <w:szCs w:val="25"/>
              </w:rPr>
              <w:t>”</w:t>
            </w:r>
            <w:r w:rsidRPr="00B567D9">
              <w:rPr>
                <w:rFonts w:ascii="Garamond" w:hAnsi="Garamond"/>
                <w:color w:val="000000"/>
                <w:sz w:val="25"/>
                <w:szCs w:val="25"/>
              </w:rPr>
              <w:t> </w:t>
            </w:r>
            <w:r>
              <w:rPr>
                <w:rFonts w:ascii="Garamond" w:hAnsi="Garamond"/>
                <w:color w:val="000000"/>
                <w:sz w:val="25"/>
                <w:szCs w:val="25"/>
              </w:rPr>
              <w:t>(</w:t>
            </w:r>
            <w:r w:rsidRPr="00B567D9">
              <w:rPr>
                <w:rFonts w:ascii="Garamond" w:hAnsi="Garamond"/>
                <w:i/>
                <w:iCs/>
                <w:sz w:val="25"/>
                <w:szCs w:val="25"/>
              </w:rPr>
              <w:t xml:space="preserve">Source: </w:t>
            </w:r>
            <w:proofErr w:type="spellStart"/>
            <w:r w:rsidRPr="00B567D9">
              <w:rPr>
                <w:rFonts w:ascii="Garamond" w:hAnsi="Garamond"/>
                <w:i/>
                <w:iCs/>
                <w:sz w:val="25"/>
                <w:szCs w:val="25"/>
              </w:rPr>
              <w:t>Westmiller</w:t>
            </w:r>
            <w:proofErr w:type="spellEnd"/>
            <w:r w:rsidRPr="00B567D9">
              <w:rPr>
                <w:rFonts w:ascii="Garamond" w:hAnsi="Garamond"/>
                <w:i/>
                <w:iCs/>
                <w:sz w:val="25"/>
                <w:szCs w:val="25"/>
              </w:rPr>
              <w:t xml:space="preserve"> Commentaries</w:t>
            </w:r>
            <w:r>
              <w:rPr>
                <w:rFonts w:ascii="Garamond" w:hAnsi="Garamond"/>
                <w:i/>
                <w:iCs/>
                <w:sz w:val="25"/>
                <w:szCs w:val="25"/>
              </w:rPr>
              <w:t>)</w:t>
            </w:r>
          </w:p>
        </w:tc>
        <w:tc>
          <w:tcPr>
            <w:tcW w:w="985" w:type="dxa"/>
            <w:tcBorders>
              <w:top w:val="single" w:sz="4" w:space="0" w:color="auto"/>
              <w:bottom w:val="single" w:sz="4" w:space="0" w:color="auto"/>
            </w:tcBorders>
            <w:vAlign w:val="bottom"/>
          </w:tcPr>
          <w:p w14:paraId="5087A376" w14:textId="44B58BEE" w:rsidR="00B567D9" w:rsidRDefault="00B567D9" w:rsidP="00B567D9">
            <w:pPr>
              <w:jc w:val="center"/>
            </w:pPr>
          </w:p>
        </w:tc>
      </w:tr>
    </w:tbl>
    <w:p w14:paraId="4F001D61" w14:textId="376BCBC6" w:rsidR="00E8570D" w:rsidRPr="00E8570D" w:rsidRDefault="00B567D9" w:rsidP="00E8570D">
      <w:r>
        <w:t xml:space="preserve"> </w:t>
      </w:r>
    </w:p>
    <w:p w14:paraId="3DFE9DCC" w14:textId="77777777" w:rsidR="00B567D9" w:rsidRDefault="00434FB6" w:rsidP="000D671F">
      <w:pPr>
        <w:pStyle w:val="NormalWeb"/>
        <w:shd w:val="clear" w:color="auto" w:fill="FFFFFF"/>
        <w:spacing w:before="0" w:beforeAutospacing="0" w:after="300" w:afterAutospacing="0" w:line="276" w:lineRule="auto"/>
        <w:ind w:left="720" w:hanging="720"/>
        <w:rPr>
          <w:rFonts w:ascii="Garamond" w:hAnsi="Garamond"/>
          <w:color w:val="000000"/>
          <w:sz w:val="25"/>
          <w:szCs w:val="25"/>
        </w:rPr>
        <w:sectPr w:rsidR="00B567D9" w:rsidSect="0028125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rsidRPr="00434FB6">
        <w:rPr>
          <w:rFonts w:ascii="Garamond" w:hAnsi="Garamond"/>
          <w:color w:val="000000"/>
          <w:sz w:val="25"/>
          <w:szCs w:val="25"/>
        </w:rPr>
        <w:t xml:space="preserve"> </w:t>
      </w:r>
    </w:p>
    <w:p w14:paraId="31DE8335" w14:textId="70F68FFC" w:rsidR="00434FB6" w:rsidRDefault="00434FB6" w:rsidP="00D43A1A">
      <w:pPr>
        <w:pStyle w:val="NormalWeb"/>
        <w:shd w:val="clear" w:color="auto" w:fill="FFFFFF"/>
        <w:spacing w:before="360" w:beforeAutospacing="0" w:after="120" w:afterAutospacing="0" w:line="276" w:lineRule="auto"/>
        <w:ind w:left="720" w:hanging="720"/>
        <w:rPr>
          <w:rFonts w:ascii="Gill Sans MT" w:hAnsi="Gill Sans MT"/>
          <w:b/>
          <w:bCs/>
          <w:i/>
          <w:iCs/>
          <w:color w:val="231F20"/>
          <w:sz w:val="25"/>
          <w:szCs w:val="25"/>
        </w:rPr>
      </w:pPr>
      <w:r w:rsidRPr="00585569">
        <w:rPr>
          <w:rFonts w:ascii="Gill Sans MT" w:hAnsi="Gill Sans MT"/>
          <w:b/>
          <w:bCs/>
          <w:i/>
          <w:iCs/>
          <w:color w:val="231F20"/>
          <w:sz w:val="25"/>
          <w:szCs w:val="25"/>
        </w:rPr>
        <w:lastRenderedPageBreak/>
        <w:t>Data</w:t>
      </w:r>
      <w:r w:rsidR="00501901">
        <w:rPr>
          <w:rFonts w:ascii="Gill Sans MT" w:hAnsi="Gill Sans MT"/>
          <w:b/>
          <w:bCs/>
          <w:i/>
          <w:iCs/>
          <w:color w:val="231F20"/>
          <w:sz w:val="25"/>
          <w:szCs w:val="25"/>
        </w:rPr>
        <w:t xml:space="preserve"> Analysis Activity</w:t>
      </w:r>
    </w:p>
    <w:p w14:paraId="759441BA" w14:textId="6E1381C4" w:rsidR="00E8570D" w:rsidRDefault="00E8570D" w:rsidP="005A66EA">
      <w:pPr>
        <w:pStyle w:val="NormalWeb"/>
        <w:shd w:val="clear" w:color="auto" w:fill="FFFFFF"/>
        <w:spacing w:before="0" w:beforeAutospacing="0" w:after="300" w:afterAutospacing="0" w:line="276" w:lineRule="auto"/>
        <w:rPr>
          <w:rFonts w:ascii="Garamond" w:hAnsi="Garamond"/>
          <w:color w:val="000000"/>
          <w:sz w:val="25"/>
          <w:szCs w:val="25"/>
        </w:rPr>
      </w:pPr>
      <w:r w:rsidRPr="00434FB6">
        <w:rPr>
          <w:rFonts w:ascii="Garamond" w:hAnsi="Garamond"/>
          <w:color w:val="000000"/>
          <w:sz w:val="25"/>
          <w:szCs w:val="25"/>
        </w:rPr>
        <w:t xml:space="preserve">Examine the data </w:t>
      </w:r>
      <w:r w:rsidR="00E9065A">
        <w:rPr>
          <w:rFonts w:ascii="Garamond" w:hAnsi="Garamond"/>
          <w:color w:val="000000"/>
          <w:sz w:val="25"/>
          <w:szCs w:val="25"/>
        </w:rPr>
        <w:t>below</w:t>
      </w:r>
      <w:r w:rsidR="0066217D">
        <w:rPr>
          <w:rFonts w:ascii="Garamond" w:hAnsi="Garamond"/>
          <w:color w:val="000000"/>
          <w:sz w:val="25"/>
          <w:szCs w:val="25"/>
        </w:rPr>
        <w:t xml:space="preserve"> an</w:t>
      </w:r>
      <w:r w:rsidRPr="00434FB6">
        <w:rPr>
          <w:rFonts w:ascii="Garamond" w:hAnsi="Garamond"/>
          <w:color w:val="000000"/>
          <w:sz w:val="25"/>
          <w:szCs w:val="25"/>
        </w:rPr>
        <w:t>d determine which argument</w:t>
      </w:r>
      <w:r>
        <w:rPr>
          <w:rFonts w:ascii="Garamond" w:hAnsi="Garamond"/>
          <w:color w:val="000000"/>
          <w:sz w:val="25"/>
          <w:szCs w:val="25"/>
        </w:rPr>
        <w:t xml:space="preserve">(s) </w:t>
      </w:r>
      <w:r w:rsidRPr="00434FB6">
        <w:rPr>
          <w:rFonts w:ascii="Garamond" w:hAnsi="Garamond"/>
          <w:color w:val="000000"/>
          <w:sz w:val="25"/>
          <w:szCs w:val="25"/>
        </w:rPr>
        <w:t>each piece of data supports. In the space provided, write the number of the corresponding argument</w:t>
      </w:r>
      <w:r w:rsidR="00B567D9">
        <w:rPr>
          <w:rFonts w:ascii="Garamond" w:hAnsi="Garamond"/>
          <w:color w:val="000000"/>
          <w:sz w:val="25"/>
          <w:szCs w:val="25"/>
        </w:rPr>
        <w:t xml:space="preserve"> from the Classifying Arguments activity</w:t>
      </w:r>
      <w:r w:rsidRPr="00434FB6">
        <w:rPr>
          <w:rFonts w:ascii="Garamond" w:hAnsi="Garamond"/>
          <w:color w:val="000000"/>
          <w:sz w:val="25"/>
          <w:szCs w:val="2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gridCol w:w="985"/>
      </w:tblGrid>
      <w:tr w:rsidR="0066217D" w14:paraId="4151A37D" w14:textId="77777777" w:rsidTr="00CD6E58">
        <w:tc>
          <w:tcPr>
            <w:tcW w:w="8365" w:type="dxa"/>
          </w:tcPr>
          <w:p w14:paraId="791527CD" w14:textId="74A2CAE5" w:rsidR="0066217D" w:rsidRPr="00F714CD" w:rsidRDefault="0066217D" w:rsidP="0066217D">
            <w:pPr>
              <w:pStyle w:val="ListParagraph"/>
              <w:numPr>
                <w:ilvl w:val="0"/>
                <w:numId w:val="39"/>
              </w:numPr>
              <w:tabs>
                <w:tab w:val="clear" w:pos="720"/>
              </w:tabs>
              <w:spacing w:before="240" w:after="120"/>
              <w:ind w:left="515"/>
              <w:rPr>
                <w:rFonts w:ascii="Garamond" w:hAnsi="Garamond"/>
                <w:sz w:val="25"/>
                <w:szCs w:val="25"/>
              </w:rPr>
            </w:pPr>
            <w:r w:rsidRPr="0066217D">
              <w:rPr>
                <w:rFonts w:ascii="Garamond" w:hAnsi="Garamond"/>
                <w:sz w:val="25"/>
                <w:szCs w:val="25"/>
              </w:rPr>
              <w:t xml:space="preserve">In 1978, the Comptroller General of the United States found </w:t>
            </w:r>
            <w:r>
              <w:rPr>
                <w:rFonts w:ascii="Garamond" w:hAnsi="Garamond"/>
                <w:sz w:val="25"/>
                <w:szCs w:val="25"/>
              </w:rPr>
              <w:t>“</w:t>
            </w:r>
            <w:r w:rsidRPr="0066217D">
              <w:rPr>
                <w:rFonts w:ascii="Garamond" w:hAnsi="Garamond"/>
                <w:sz w:val="25"/>
                <w:szCs w:val="25"/>
              </w:rPr>
              <w:t>evidence was excluded at trial as a result of Fourth Amendment motions in only 1.3% of the cases.</w:t>
            </w:r>
            <w:r>
              <w:rPr>
                <w:rFonts w:ascii="Garamond" w:hAnsi="Garamond"/>
                <w:sz w:val="25"/>
                <w:szCs w:val="25"/>
              </w:rPr>
              <w:t>”</w:t>
            </w:r>
            <w:r w:rsidRPr="0066217D">
              <w:rPr>
                <w:rFonts w:ascii="Garamond" w:hAnsi="Garamond"/>
                <w:sz w:val="25"/>
                <w:szCs w:val="25"/>
              </w:rPr>
              <w:t xml:space="preserve"> </w:t>
            </w:r>
            <w:r w:rsidRPr="0066217D">
              <w:rPr>
                <w:rFonts w:ascii="Garamond" w:hAnsi="Garamond"/>
                <w:i/>
                <w:iCs/>
                <w:sz w:val="25"/>
                <w:szCs w:val="25"/>
              </w:rPr>
              <w:t>(Source: American Civil Liberties Union)</w:t>
            </w:r>
          </w:p>
        </w:tc>
        <w:tc>
          <w:tcPr>
            <w:tcW w:w="985" w:type="dxa"/>
            <w:tcBorders>
              <w:bottom w:val="single" w:sz="4" w:space="0" w:color="auto"/>
            </w:tcBorders>
            <w:vAlign w:val="bottom"/>
          </w:tcPr>
          <w:p w14:paraId="3BA4EE2A" w14:textId="4ADA1B6F" w:rsidR="0066217D" w:rsidRPr="00CD6E58" w:rsidRDefault="000D671F" w:rsidP="00CD6E58">
            <w:pPr>
              <w:jc w:val="center"/>
              <w:rPr>
                <w:rFonts w:ascii="Gill Sans MT" w:hAnsi="Gill Sans MT"/>
                <w:b/>
                <w:bCs/>
                <w:sz w:val="25"/>
                <w:szCs w:val="25"/>
              </w:rPr>
            </w:pPr>
            <w:r>
              <w:rPr>
                <w:rFonts w:ascii="Gill Sans MT" w:hAnsi="Gill Sans MT"/>
                <w:b/>
                <w:bCs/>
                <w:sz w:val="25"/>
                <w:szCs w:val="25"/>
              </w:rPr>
              <w:t xml:space="preserve"> </w:t>
            </w:r>
          </w:p>
        </w:tc>
      </w:tr>
      <w:tr w:rsidR="0066217D" w14:paraId="50EEE1DF" w14:textId="77777777" w:rsidTr="00CD6E58">
        <w:tc>
          <w:tcPr>
            <w:tcW w:w="8365" w:type="dxa"/>
          </w:tcPr>
          <w:p w14:paraId="73F9D144" w14:textId="2DEE7C3E" w:rsidR="0066217D" w:rsidRPr="00F714CD" w:rsidRDefault="0066217D" w:rsidP="0066217D">
            <w:pPr>
              <w:pStyle w:val="ListParagraph"/>
              <w:numPr>
                <w:ilvl w:val="0"/>
                <w:numId w:val="39"/>
              </w:numPr>
              <w:tabs>
                <w:tab w:val="clear" w:pos="720"/>
              </w:tabs>
              <w:spacing w:before="240" w:after="120"/>
              <w:ind w:left="515"/>
              <w:rPr>
                <w:rFonts w:ascii="Garamond" w:hAnsi="Garamond"/>
                <w:sz w:val="25"/>
                <w:szCs w:val="25"/>
              </w:rPr>
            </w:pPr>
            <w:r w:rsidRPr="0066217D">
              <w:rPr>
                <w:rFonts w:ascii="Garamond" w:hAnsi="Garamond"/>
                <w:sz w:val="25"/>
                <w:szCs w:val="25"/>
              </w:rPr>
              <w:t>In New York, an appellate court decided that a human corpse found in the trunk of a car, searched with the driver</w:t>
            </w:r>
            <w:r>
              <w:rPr>
                <w:rFonts w:ascii="Garamond" w:hAnsi="Garamond"/>
                <w:sz w:val="25"/>
                <w:szCs w:val="25"/>
              </w:rPr>
              <w:t>’</w:t>
            </w:r>
            <w:r w:rsidRPr="0066217D">
              <w:rPr>
                <w:rFonts w:ascii="Garamond" w:hAnsi="Garamond"/>
                <w:sz w:val="25"/>
                <w:szCs w:val="25"/>
              </w:rPr>
              <w:t xml:space="preserve">s permission, could not be used as evidence because the </w:t>
            </w:r>
            <w:r>
              <w:rPr>
                <w:rFonts w:ascii="Garamond" w:hAnsi="Garamond"/>
                <w:sz w:val="25"/>
                <w:szCs w:val="25"/>
              </w:rPr>
              <w:t>“</w:t>
            </w:r>
            <w:r w:rsidRPr="0066217D">
              <w:rPr>
                <w:rFonts w:ascii="Garamond" w:hAnsi="Garamond"/>
                <w:sz w:val="25"/>
                <w:szCs w:val="25"/>
              </w:rPr>
              <w:t>state troopers may have appeared intimidating to the driver.</w:t>
            </w:r>
            <w:r>
              <w:rPr>
                <w:rFonts w:ascii="Garamond" w:hAnsi="Garamond"/>
                <w:sz w:val="25"/>
                <w:szCs w:val="25"/>
              </w:rPr>
              <w:t xml:space="preserve">” </w:t>
            </w:r>
            <w:r w:rsidRPr="0066217D">
              <w:rPr>
                <w:rFonts w:ascii="Garamond" w:hAnsi="Garamond"/>
                <w:i/>
                <w:iCs/>
                <w:sz w:val="25"/>
                <w:szCs w:val="25"/>
              </w:rPr>
              <w:t>(Source: National Center for Policy Analysis)</w:t>
            </w:r>
          </w:p>
        </w:tc>
        <w:tc>
          <w:tcPr>
            <w:tcW w:w="985" w:type="dxa"/>
            <w:tcBorders>
              <w:top w:val="single" w:sz="4" w:space="0" w:color="auto"/>
              <w:bottom w:val="single" w:sz="4" w:space="0" w:color="auto"/>
            </w:tcBorders>
            <w:vAlign w:val="bottom"/>
          </w:tcPr>
          <w:p w14:paraId="51DE1C42" w14:textId="0FAD742F" w:rsidR="0066217D" w:rsidRDefault="000D671F" w:rsidP="00CD6E58">
            <w:pPr>
              <w:jc w:val="center"/>
            </w:pPr>
            <w:r>
              <w:rPr>
                <w:rFonts w:ascii="Gill Sans MT" w:hAnsi="Gill Sans MT"/>
                <w:b/>
                <w:bCs/>
                <w:sz w:val="25"/>
                <w:szCs w:val="25"/>
              </w:rPr>
              <w:t xml:space="preserve"> </w:t>
            </w:r>
          </w:p>
        </w:tc>
      </w:tr>
      <w:tr w:rsidR="0066217D" w14:paraId="372CDF44" w14:textId="77777777" w:rsidTr="00CD6E58">
        <w:tc>
          <w:tcPr>
            <w:tcW w:w="8365" w:type="dxa"/>
          </w:tcPr>
          <w:p w14:paraId="775C164E" w14:textId="7B996DED" w:rsidR="0066217D" w:rsidRPr="00F714CD" w:rsidRDefault="0066217D" w:rsidP="0066217D">
            <w:pPr>
              <w:pStyle w:val="ListParagraph"/>
              <w:numPr>
                <w:ilvl w:val="0"/>
                <w:numId w:val="39"/>
              </w:numPr>
              <w:tabs>
                <w:tab w:val="clear" w:pos="720"/>
              </w:tabs>
              <w:spacing w:before="240" w:after="120"/>
              <w:ind w:left="515"/>
              <w:rPr>
                <w:rFonts w:ascii="Garamond" w:hAnsi="Garamond"/>
                <w:sz w:val="25"/>
                <w:szCs w:val="25"/>
              </w:rPr>
            </w:pPr>
            <w:r w:rsidRPr="0066217D">
              <w:rPr>
                <w:rFonts w:ascii="Garamond" w:hAnsi="Garamond"/>
                <w:sz w:val="25"/>
                <w:szCs w:val="25"/>
              </w:rPr>
              <w:t xml:space="preserve">In 1997, according to Wall Street Journal </w:t>
            </w:r>
            <w:r w:rsidR="00CD6E58">
              <w:rPr>
                <w:rFonts w:ascii="Garamond" w:hAnsi="Garamond"/>
                <w:sz w:val="25"/>
                <w:szCs w:val="25"/>
              </w:rPr>
              <w:t>reporter</w:t>
            </w:r>
            <w:r w:rsidRPr="0066217D">
              <w:rPr>
                <w:rFonts w:ascii="Garamond" w:hAnsi="Garamond"/>
                <w:sz w:val="25"/>
                <w:szCs w:val="25"/>
              </w:rPr>
              <w:t xml:space="preserve"> Max Boot, </w:t>
            </w:r>
            <w:r>
              <w:rPr>
                <w:rFonts w:ascii="Garamond" w:hAnsi="Garamond"/>
                <w:sz w:val="25"/>
                <w:szCs w:val="25"/>
              </w:rPr>
              <w:t>“</w:t>
            </w:r>
            <w:r w:rsidRPr="0066217D">
              <w:rPr>
                <w:rFonts w:ascii="Garamond" w:hAnsi="Garamond"/>
                <w:sz w:val="25"/>
                <w:szCs w:val="25"/>
              </w:rPr>
              <w:t>Four state appellate judges upheld a family court judge</w:t>
            </w:r>
            <w:r>
              <w:rPr>
                <w:rFonts w:ascii="Garamond" w:hAnsi="Garamond"/>
                <w:sz w:val="25"/>
                <w:szCs w:val="25"/>
              </w:rPr>
              <w:t>’</w:t>
            </w:r>
            <w:r w:rsidRPr="0066217D">
              <w:rPr>
                <w:rFonts w:ascii="Garamond" w:hAnsi="Garamond"/>
                <w:sz w:val="25"/>
                <w:szCs w:val="25"/>
              </w:rPr>
              <w:t>s ruling that a loaded .45 caliber semi-automatic gun confiscated by a security guard from a 15-year old student—when he clearly saw the outline of the gun through a coat—was improperly seized and, thus, could not be considered as evidence.</w:t>
            </w:r>
            <w:r w:rsidR="00CD6E58">
              <w:rPr>
                <w:rFonts w:ascii="Garamond" w:hAnsi="Garamond"/>
                <w:sz w:val="25"/>
                <w:szCs w:val="25"/>
              </w:rPr>
              <w:t xml:space="preserve">” </w:t>
            </w:r>
            <w:r w:rsidR="00CD6E58" w:rsidRPr="00CD6E58">
              <w:rPr>
                <w:rFonts w:ascii="Garamond" w:hAnsi="Garamond"/>
                <w:i/>
                <w:iCs/>
                <w:sz w:val="25"/>
                <w:szCs w:val="25"/>
              </w:rPr>
              <w:t>(</w:t>
            </w:r>
            <w:r w:rsidRPr="00CD6E58">
              <w:rPr>
                <w:rFonts w:ascii="Garamond" w:hAnsi="Garamond"/>
                <w:i/>
                <w:iCs/>
                <w:sz w:val="25"/>
                <w:szCs w:val="25"/>
              </w:rPr>
              <w:t>Source: National Center for Policy Analysis</w:t>
            </w:r>
            <w:r w:rsidR="00CD6E58" w:rsidRPr="00CD6E58">
              <w:rPr>
                <w:rFonts w:ascii="Garamond" w:hAnsi="Garamond"/>
                <w:i/>
                <w:iCs/>
                <w:sz w:val="25"/>
                <w:szCs w:val="25"/>
              </w:rPr>
              <w:t>)</w:t>
            </w:r>
          </w:p>
        </w:tc>
        <w:tc>
          <w:tcPr>
            <w:tcW w:w="985" w:type="dxa"/>
            <w:tcBorders>
              <w:top w:val="single" w:sz="4" w:space="0" w:color="auto"/>
              <w:bottom w:val="single" w:sz="4" w:space="0" w:color="auto"/>
            </w:tcBorders>
            <w:vAlign w:val="bottom"/>
          </w:tcPr>
          <w:p w14:paraId="22D09690" w14:textId="0D737BCF" w:rsidR="0066217D" w:rsidRDefault="000D671F" w:rsidP="00CD6E58">
            <w:pPr>
              <w:jc w:val="center"/>
            </w:pPr>
            <w:r>
              <w:rPr>
                <w:rFonts w:ascii="Gill Sans MT" w:hAnsi="Gill Sans MT"/>
                <w:b/>
                <w:bCs/>
                <w:sz w:val="25"/>
                <w:szCs w:val="25"/>
              </w:rPr>
              <w:t xml:space="preserve"> </w:t>
            </w:r>
          </w:p>
        </w:tc>
      </w:tr>
      <w:tr w:rsidR="0066217D" w14:paraId="436B6D7C" w14:textId="77777777" w:rsidTr="00CD6E58">
        <w:tc>
          <w:tcPr>
            <w:tcW w:w="8365" w:type="dxa"/>
          </w:tcPr>
          <w:p w14:paraId="4F7DFC15" w14:textId="1CCD61D3" w:rsidR="0066217D" w:rsidRPr="00F714CD" w:rsidRDefault="0066217D" w:rsidP="0066217D">
            <w:pPr>
              <w:pStyle w:val="ListParagraph"/>
              <w:numPr>
                <w:ilvl w:val="0"/>
                <w:numId w:val="39"/>
              </w:numPr>
              <w:tabs>
                <w:tab w:val="clear" w:pos="720"/>
              </w:tabs>
              <w:spacing w:before="240" w:after="120"/>
              <w:ind w:left="515"/>
              <w:rPr>
                <w:rFonts w:ascii="Garamond" w:hAnsi="Garamond"/>
                <w:color w:val="000000"/>
                <w:sz w:val="25"/>
                <w:szCs w:val="25"/>
              </w:rPr>
            </w:pPr>
            <w:r w:rsidRPr="0066217D">
              <w:rPr>
                <w:rFonts w:ascii="Garamond" w:hAnsi="Garamond"/>
                <w:color w:val="000000"/>
                <w:sz w:val="25"/>
                <w:szCs w:val="25"/>
              </w:rPr>
              <w:t xml:space="preserve">A 1982 study by the National Institute of Justice reported that, over a three-year period in California, </w:t>
            </w:r>
            <w:r w:rsidR="00CD6E58">
              <w:rPr>
                <w:rFonts w:ascii="Garamond" w:hAnsi="Garamond"/>
                <w:color w:val="000000"/>
                <w:sz w:val="25"/>
                <w:szCs w:val="25"/>
              </w:rPr>
              <w:t>“</w:t>
            </w:r>
            <w:r w:rsidRPr="0066217D">
              <w:rPr>
                <w:rFonts w:ascii="Garamond" w:hAnsi="Garamond"/>
                <w:color w:val="000000"/>
                <w:sz w:val="25"/>
                <w:szCs w:val="25"/>
              </w:rPr>
              <w:t>[o]</w:t>
            </w:r>
            <w:proofErr w:type="spellStart"/>
            <w:r w:rsidRPr="0066217D">
              <w:rPr>
                <w:rFonts w:ascii="Garamond" w:hAnsi="Garamond"/>
                <w:color w:val="000000"/>
                <w:sz w:val="25"/>
                <w:szCs w:val="25"/>
              </w:rPr>
              <w:t>nly</w:t>
            </w:r>
            <w:proofErr w:type="spellEnd"/>
            <w:r w:rsidRPr="0066217D">
              <w:rPr>
                <w:rFonts w:ascii="Garamond" w:hAnsi="Garamond"/>
                <w:color w:val="000000"/>
                <w:sz w:val="25"/>
                <w:szCs w:val="25"/>
              </w:rPr>
              <w:t xml:space="preserve"> 0.79% of all felony complaints brought in the state of California over a three-year period were rejected for prosecution because of the exclusionary rule.</w:t>
            </w:r>
            <w:r w:rsidR="00CD6E58">
              <w:rPr>
                <w:rFonts w:ascii="Garamond" w:hAnsi="Garamond"/>
                <w:color w:val="000000"/>
                <w:sz w:val="25"/>
                <w:szCs w:val="25"/>
              </w:rPr>
              <w:t xml:space="preserve">” </w:t>
            </w:r>
            <w:r w:rsidR="00CD6E58" w:rsidRPr="00CD6E58">
              <w:rPr>
                <w:rFonts w:ascii="Garamond" w:hAnsi="Garamond"/>
                <w:i/>
                <w:iCs/>
                <w:color w:val="000000"/>
                <w:sz w:val="25"/>
                <w:szCs w:val="25"/>
              </w:rPr>
              <w:t>(</w:t>
            </w:r>
            <w:r w:rsidRPr="00CD6E58">
              <w:rPr>
                <w:rFonts w:ascii="Garamond" w:hAnsi="Garamond"/>
                <w:i/>
                <w:iCs/>
                <w:color w:val="000000"/>
                <w:sz w:val="25"/>
                <w:szCs w:val="25"/>
              </w:rPr>
              <w:t>Source: American Civil Liberties Union</w:t>
            </w:r>
            <w:r w:rsidR="00CD6E58" w:rsidRPr="00CD6E58">
              <w:rPr>
                <w:rFonts w:ascii="Garamond" w:hAnsi="Garamond"/>
                <w:i/>
                <w:iCs/>
                <w:color w:val="000000"/>
                <w:sz w:val="25"/>
                <w:szCs w:val="25"/>
              </w:rPr>
              <w:t>)</w:t>
            </w:r>
          </w:p>
        </w:tc>
        <w:tc>
          <w:tcPr>
            <w:tcW w:w="985" w:type="dxa"/>
            <w:tcBorders>
              <w:top w:val="single" w:sz="4" w:space="0" w:color="auto"/>
              <w:bottom w:val="single" w:sz="4" w:space="0" w:color="auto"/>
            </w:tcBorders>
            <w:vAlign w:val="bottom"/>
          </w:tcPr>
          <w:p w14:paraId="2F3C9D4D" w14:textId="10FF2A4A" w:rsidR="0066217D" w:rsidRDefault="000D671F" w:rsidP="00CD6E58">
            <w:pPr>
              <w:jc w:val="center"/>
            </w:pPr>
            <w:r>
              <w:rPr>
                <w:rFonts w:ascii="Gill Sans MT" w:hAnsi="Gill Sans MT"/>
                <w:b/>
                <w:bCs/>
                <w:sz w:val="25"/>
                <w:szCs w:val="25"/>
              </w:rPr>
              <w:t xml:space="preserve"> </w:t>
            </w:r>
          </w:p>
        </w:tc>
      </w:tr>
      <w:tr w:rsidR="0066217D" w14:paraId="2167AD7D" w14:textId="77777777" w:rsidTr="00CD6E58">
        <w:tc>
          <w:tcPr>
            <w:tcW w:w="8365" w:type="dxa"/>
          </w:tcPr>
          <w:p w14:paraId="0B541813" w14:textId="40F49DE5" w:rsidR="0066217D" w:rsidRPr="00F714CD" w:rsidRDefault="0066217D" w:rsidP="0066217D">
            <w:pPr>
              <w:pStyle w:val="ListParagraph"/>
              <w:numPr>
                <w:ilvl w:val="0"/>
                <w:numId w:val="39"/>
              </w:numPr>
              <w:tabs>
                <w:tab w:val="clear" w:pos="720"/>
              </w:tabs>
              <w:spacing w:before="240" w:after="120"/>
              <w:ind w:left="515"/>
              <w:rPr>
                <w:rFonts w:ascii="Garamond" w:hAnsi="Garamond"/>
                <w:color w:val="000000"/>
                <w:sz w:val="25"/>
                <w:szCs w:val="25"/>
              </w:rPr>
            </w:pPr>
            <w:r w:rsidRPr="0066217D">
              <w:rPr>
                <w:rFonts w:ascii="Garamond" w:hAnsi="Garamond"/>
                <w:color w:val="000000"/>
                <w:sz w:val="25"/>
                <w:szCs w:val="25"/>
              </w:rPr>
              <w:t xml:space="preserve">According to former Attorney General Edwin Meese, </w:t>
            </w:r>
            <w:r w:rsidR="00CD6E58">
              <w:rPr>
                <w:rFonts w:ascii="Garamond" w:hAnsi="Garamond"/>
                <w:color w:val="000000"/>
                <w:sz w:val="25"/>
                <w:szCs w:val="25"/>
              </w:rPr>
              <w:t>“</w:t>
            </w:r>
            <w:r w:rsidRPr="0066217D">
              <w:rPr>
                <w:rFonts w:ascii="Garamond" w:hAnsi="Garamond"/>
                <w:color w:val="000000"/>
                <w:sz w:val="25"/>
                <w:szCs w:val="25"/>
              </w:rPr>
              <w:t xml:space="preserve">Since </w:t>
            </w:r>
            <w:r w:rsidRPr="00CD6E58">
              <w:rPr>
                <w:rFonts w:ascii="Garamond" w:hAnsi="Garamond"/>
                <w:i/>
                <w:iCs/>
                <w:color w:val="000000"/>
                <w:sz w:val="25"/>
                <w:szCs w:val="25"/>
              </w:rPr>
              <w:t>Mapp v. Ohio</w:t>
            </w:r>
            <w:r w:rsidRPr="0066217D">
              <w:rPr>
                <w:rFonts w:ascii="Garamond" w:hAnsi="Garamond"/>
                <w:color w:val="000000"/>
                <w:sz w:val="25"/>
                <w:szCs w:val="25"/>
              </w:rPr>
              <w:t>, the exclusionary rule has had a devastating impact on law enforcement in America. One recent study estimated that 150,000 criminal cases, including 30,000 cases of violence, are dropped or dismissed every year because the exclusionary rule excluded valid, probative evidence needed for prosecution.</w:t>
            </w:r>
            <w:r w:rsidR="00CD6E58">
              <w:rPr>
                <w:rFonts w:ascii="Garamond" w:hAnsi="Garamond"/>
                <w:color w:val="000000"/>
                <w:sz w:val="25"/>
                <w:szCs w:val="25"/>
              </w:rPr>
              <w:t xml:space="preserve">” </w:t>
            </w:r>
            <w:r w:rsidR="00CD6E58" w:rsidRPr="00CD6E58">
              <w:rPr>
                <w:rFonts w:ascii="Garamond" w:hAnsi="Garamond"/>
                <w:i/>
                <w:iCs/>
                <w:color w:val="000000"/>
                <w:sz w:val="25"/>
                <w:szCs w:val="25"/>
              </w:rPr>
              <w:t>(</w:t>
            </w:r>
            <w:r w:rsidRPr="00CD6E58">
              <w:rPr>
                <w:rFonts w:ascii="Garamond" w:hAnsi="Garamond"/>
                <w:i/>
                <w:iCs/>
                <w:color w:val="000000"/>
                <w:sz w:val="25"/>
                <w:szCs w:val="25"/>
              </w:rPr>
              <w:t xml:space="preserve">Source: </w:t>
            </w:r>
            <w:r w:rsidR="00CD6E58" w:rsidRPr="00CD6E58">
              <w:rPr>
                <w:rFonts w:ascii="Garamond" w:hAnsi="Garamond"/>
                <w:i/>
                <w:iCs/>
                <w:color w:val="000000"/>
                <w:sz w:val="25"/>
                <w:szCs w:val="25"/>
              </w:rPr>
              <w:t>“</w:t>
            </w:r>
            <w:r w:rsidRPr="00CD6E58">
              <w:rPr>
                <w:rFonts w:ascii="Garamond" w:hAnsi="Garamond"/>
                <w:i/>
                <w:iCs/>
                <w:color w:val="000000"/>
                <w:sz w:val="25"/>
                <w:szCs w:val="25"/>
              </w:rPr>
              <w:t>The Imperial Judiciary. And What Congress Can Do About It,</w:t>
            </w:r>
            <w:r w:rsidR="00CD6E58" w:rsidRPr="00CD6E58">
              <w:rPr>
                <w:rFonts w:ascii="Garamond" w:hAnsi="Garamond"/>
                <w:i/>
                <w:iCs/>
                <w:color w:val="000000"/>
                <w:sz w:val="25"/>
                <w:szCs w:val="25"/>
              </w:rPr>
              <w:t xml:space="preserve">” </w:t>
            </w:r>
            <w:r w:rsidRPr="00CD6E58">
              <w:rPr>
                <w:rFonts w:ascii="Garamond" w:hAnsi="Garamond"/>
                <w:i/>
                <w:iCs/>
                <w:color w:val="000000"/>
                <w:sz w:val="25"/>
                <w:szCs w:val="25"/>
              </w:rPr>
              <w:t>Policy Review</w:t>
            </w:r>
            <w:r w:rsidR="00CD6E58" w:rsidRPr="00CD6E58">
              <w:rPr>
                <w:rFonts w:ascii="Garamond" w:hAnsi="Garamond"/>
                <w:i/>
                <w:iCs/>
                <w:color w:val="000000"/>
                <w:sz w:val="25"/>
                <w:szCs w:val="25"/>
              </w:rPr>
              <w:t>)</w:t>
            </w:r>
            <w:r w:rsidRPr="0066217D">
              <w:rPr>
                <w:rFonts w:ascii="Garamond" w:hAnsi="Garamond"/>
                <w:color w:val="000000"/>
                <w:sz w:val="25"/>
                <w:szCs w:val="25"/>
              </w:rPr>
              <w:t xml:space="preserve"> </w:t>
            </w:r>
          </w:p>
        </w:tc>
        <w:tc>
          <w:tcPr>
            <w:tcW w:w="985" w:type="dxa"/>
            <w:tcBorders>
              <w:top w:val="single" w:sz="4" w:space="0" w:color="auto"/>
              <w:bottom w:val="single" w:sz="4" w:space="0" w:color="auto"/>
            </w:tcBorders>
            <w:vAlign w:val="bottom"/>
          </w:tcPr>
          <w:p w14:paraId="342C4534" w14:textId="3A3F71AB" w:rsidR="0066217D" w:rsidRDefault="000D671F" w:rsidP="00CD6E58">
            <w:pPr>
              <w:jc w:val="center"/>
            </w:pPr>
            <w:r>
              <w:rPr>
                <w:rFonts w:ascii="Gill Sans MT" w:hAnsi="Gill Sans MT"/>
                <w:b/>
                <w:bCs/>
                <w:sz w:val="25"/>
                <w:szCs w:val="25"/>
              </w:rPr>
              <w:t xml:space="preserve"> </w:t>
            </w:r>
          </w:p>
        </w:tc>
      </w:tr>
      <w:tr w:rsidR="0066217D" w14:paraId="1505D80A" w14:textId="77777777" w:rsidTr="00CD6E58">
        <w:tc>
          <w:tcPr>
            <w:tcW w:w="8365" w:type="dxa"/>
          </w:tcPr>
          <w:p w14:paraId="7FA4CCB8" w14:textId="00992EF5" w:rsidR="0066217D" w:rsidRPr="0066217D" w:rsidRDefault="0066217D" w:rsidP="0066217D">
            <w:pPr>
              <w:pStyle w:val="ListParagraph"/>
              <w:numPr>
                <w:ilvl w:val="0"/>
                <w:numId w:val="39"/>
              </w:numPr>
              <w:tabs>
                <w:tab w:val="clear" w:pos="720"/>
              </w:tabs>
              <w:spacing w:before="240" w:after="120"/>
              <w:ind w:left="515"/>
              <w:rPr>
                <w:rFonts w:ascii="Garamond" w:hAnsi="Garamond"/>
                <w:color w:val="000000"/>
                <w:sz w:val="25"/>
                <w:szCs w:val="25"/>
              </w:rPr>
            </w:pPr>
            <w:r w:rsidRPr="0066217D">
              <w:rPr>
                <w:rFonts w:ascii="Garamond" w:hAnsi="Garamond"/>
                <w:color w:val="000000"/>
                <w:sz w:val="25"/>
                <w:szCs w:val="25"/>
              </w:rPr>
              <w:t xml:space="preserve">In New York, </w:t>
            </w:r>
            <w:r w:rsidR="00CD6E58">
              <w:rPr>
                <w:rFonts w:ascii="Garamond" w:hAnsi="Garamond"/>
                <w:color w:val="000000"/>
                <w:sz w:val="25"/>
                <w:szCs w:val="25"/>
              </w:rPr>
              <w:t>“</w:t>
            </w:r>
            <w:r w:rsidRPr="0066217D">
              <w:rPr>
                <w:rFonts w:ascii="Garamond" w:hAnsi="Garamond"/>
                <w:color w:val="000000"/>
                <w:sz w:val="25"/>
                <w:szCs w:val="25"/>
              </w:rPr>
              <w:t xml:space="preserve">a district court judge dismissed a firearms case against a taxi driver who was a convicted felon. Although police from a safety-checking task force stopped the cab driver, the judge ruled that the police who stopped the cab and found the gun, </w:t>
            </w:r>
            <w:r w:rsidR="00CD6E58">
              <w:rPr>
                <w:rFonts w:ascii="Garamond" w:hAnsi="Garamond"/>
                <w:color w:val="000000"/>
                <w:sz w:val="25"/>
                <w:szCs w:val="25"/>
              </w:rPr>
              <w:t>‘</w:t>
            </w:r>
            <w:r w:rsidRPr="0066217D">
              <w:rPr>
                <w:rFonts w:ascii="Garamond" w:hAnsi="Garamond"/>
                <w:color w:val="000000"/>
                <w:sz w:val="25"/>
                <w:szCs w:val="25"/>
              </w:rPr>
              <w:t>had no probable cause or reasonable suspicion to stop the taxicab.</w:t>
            </w:r>
            <w:r w:rsidR="00CD6E58">
              <w:rPr>
                <w:rFonts w:ascii="Garamond" w:hAnsi="Garamond"/>
                <w:color w:val="000000"/>
                <w:sz w:val="25"/>
                <w:szCs w:val="25"/>
              </w:rPr>
              <w:t>’”</w:t>
            </w:r>
            <w:r w:rsidRPr="0066217D">
              <w:rPr>
                <w:rFonts w:ascii="Garamond" w:hAnsi="Garamond"/>
                <w:color w:val="000000"/>
                <w:sz w:val="25"/>
                <w:szCs w:val="25"/>
              </w:rPr>
              <w:t xml:space="preserve"> </w:t>
            </w:r>
            <w:r w:rsidR="00CD6E58" w:rsidRPr="00CD6E58">
              <w:rPr>
                <w:rFonts w:ascii="Garamond" w:hAnsi="Garamond"/>
                <w:i/>
                <w:iCs/>
                <w:color w:val="000000"/>
                <w:sz w:val="25"/>
                <w:szCs w:val="25"/>
              </w:rPr>
              <w:t>(</w:t>
            </w:r>
            <w:r w:rsidRPr="00CD6E58">
              <w:rPr>
                <w:rFonts w:ascii="Garamond" w:hAnsi="Garamond"/>
                <w:i/>
                <w:iCs/>
                <w:color w:val="000000"/>
                <w:sz w:val="25"/>
                <w:szCs w:val="25"/>
              </w:rPr>
              <w:t>Source: National Center for Policy Analysis</w:t>
            </w:r>
            <w:r w:rsidR="00CD6E58" w:rsidRPr="00CD6E58">
              <w:rPr>
                <w:rFonts w:ascii="Garamond" w:hAnsi="Garamond"/>
                <w:i/>
                <w:iCs/>
                <w:color w:val="000000"/>
                <w:sz w:val="25"/>
                <w:szCs w:val="25"/>
              </w:rPr>
              <w:t>)</w:t>
            </w:r>
          </w:p>
        </w:tc>
        <w:tc>
          <w:tcPr>
            <w:tcW w:w="985" w:type="dxa"/>
            <w:tcBorders>
              <w:top w:val="single" w:sz="4" w:space="0" w:color="auto"/>
              <w:bottom w:val="single" w:sz="4" w:space="0" w:color="auto"/>
            </w:tcBorders>
            <w:vAlign w:val="bottom"/>
          </w:tcPr>
          <w:p w14:paraId="704EAB12" w14:textId="1FB90E82" w:rsidR="0066217D" w:rsidRDefault="000D671F" w:rsidP="00CD6E58">
            <w:pPr>
              <w:jc w:val="center"/>
            </w:pPr>
            <w:r>
              <w:rPr>
                <w:rFonts w:ascii="Gill Sans MT" w:hAnsi="Gill Sans MT"/>
                <w:b/>
                <w:bCs/>
                <w:sz w:val="25"/>
                <w:szCs w:val="25"/>
              </w:rPr>
              <w:t xml:space="preserve"> </w:t>
            </w:r>
          </w:p>
        </w:tc>
      </w:tr>
    </w:tbl>
    <w:p w14:paraId="2EB08206" w14:textId="347F27F2" w:rsidR="00CD6E58" w:rsidRDefault="00CD6E58" w:rsidP="00D53C9A">
      <w:pPr>
        <w:pStyle w:val="NormalWeb"/>
        <w:shd w:val="clear" w:color="auto" w:fill="FFFFFF"/>
        <w:spacing w:before="0" w:beforeAutospacing="0" w:after="300" w:afterAutospacing="0" w:line="276" w:lineRule="auto"/>
        <w:ind w:left="720" w:hanging="720"/>
        <w:rPr>
          <w:rFonts w:ascii="Garamond" w:hAnsi="Garamond"/>
          <w:color w:val="000000"/>
          <w:sz w:val="25"/>
          <w:szCs w:val="25"/>
        </w:rPr>
      </w:pPr>
      <w:r>
        <w:rPr>
          <w:rFonts w:ascii="Garamond" w:hAnsi="Garamond"/>
          <w:color w:val="000000"/>
          <w:sz w:val="25"/>
          <w:szCs w:val="25"/>
        </w:rPr>
        <w:t xml:space="preserve"> </w:t>
      </w:r>
      <w:r>
        <w:rPr>
          <w:rFonts w:ascii="Garamond" w:hAnsi="Garamond"/>
          <w:color w:val="000000"/>
          <w:sz w:val="25"/>
          <w:szCs w:val="25"/>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gridCol w:w="985"/>
      </w:tblGrid>
      <w:tr w:rsidR="00CD6E58" w14:paraId="053FE0D8" w14:textId="77777777" w:rsidTr="00CD6E58">
        <w:tc>
          <w:tcPr>
            <w:tcW w:w="8365" w:type="dxa"/>
          </w:tcPr>
          <w:p w14:paraId="1C623126" w14:textId="63B25359" w:rsidR="00CD6E58" w:rsidRPr="00F714CD" w:rsidRDefault="00CD6E58" w:rsidP="00CD6E58">
            <w:pPr>
              <w:pStyle w:val="ListParagraph"/>
              <w:numPr>
                <w:ilvl w:val="0"/>
                <w:numId w:val="39"/>
              </w:numPr>
              <w:tabs>
                <w:tab w:val="clear" w:pos="720"/>
              </w:tabs>
              <w:spacing w:before="240" w:after="120"/>
              <w:ind w:left="515"/>
              <w:rPr>
                <w:rFonts w:ascii="Garamond" w:hAnsi="Garamond"/>
                <w:sz w:val="25"/>
                <w:szCs w:val="25"/>
              </w:rPr>
            </w:pPr>
            <w:r>
              <w:rPr>
                <w:rFonts w:ascii="Garamond" w:hAnsi="Garamond"/>
                <w:sz w:val="25"/>
                <w:szCs w:val="25"/>
              </w:rPr>
              <w:lastRenderedPageBreak/>
              <w:t>“</w:t>
            </w:r>
            <w:r w:rsidRPr="00CD6E58">
              <w:rPr>
                <w:rFonts w:ascii="Garamond" w:hAnsi="Garamond"/>
                <w:sz w:val="25"/>
                <w:szCs w:val="25"/>
              </w:rPr>
              <w:t xml:space="preserve">When the exclusionary rule was not in effect in the state of Ohio, for example, the Cincinnati police force rarely applied for search warrants. In 1958, the police obtained three </w:t>
            </w:r>
            <w:proofErr w:type="gramStart"/>
            <w:r w:rsidRPr="00CD6E58">
              <w:rPr>
                <w:rFonts w:ascii="Garamond" w:hAnsi="Garamond"/>
                <w:sz w:val="25"/>
                <w:szCs w:val="25"/>
              </w:rPr>
              <w:t>warrants;</w:t>
            </w:r>
            <w:proofErr w:type="gramEnd"/>
            <w:r w:rsidRPr="00CD6E58">
              <w:rPr>
                <w:rFonts w:ascii="Garamond" w:hAnsi="Garamond"/>
                <w:sz w:val="25"/>
                <w:szCs w:val="25"/>
              </w:rPr>
              <w:t xml:space="preserve"> in 1959, none. Although civil trespass actions were available to victims of unlawful searches, the potential threat of a lawsuit had a negligible effect on police behavior. The pervasive attitude among police officers was that, if illegally seized evidence could be used in court, there was no reason to bother with the search warrant application process.</w:t>
            </w:r>
            <w:r>
              <w:rPr>
                <w:rFonts w:ascii="Garamond" w:hAnsi="Garamond"/>
                <w:sz w:val="25"/>
                <w:szCs w:val="25"/>
              </w:rPr>
              <w:t>”</w:t>
            </w:r>
            <w:r w:rsidRPr="00CD6E58">
              <w:rPr>
                <w:rFonts w:ascii="Garamond" w:hAnsi="Garamond"/>
                <w:sz w:val="25"/>
                <w:szCs w:val="25"/>
              </w:rPr>
              <w:t xml:space="preserve"> </w:t>
            </w:r>
            <w:r w:rsidRPr="00CD6E58">
              <w:rPr>
                <w:rFonts w:ascii="Garamond" w:hAnsi="Garamond"/>
                <w:i/>
                <w:iCs/>
                <w:sz w:val="25"/>
                <w:szCs w:val="25"/>
              </w:rPr>
              <w:t>(Source: “In Defense of the Exclusionary Rule.” USA Today)</w:t>
            </w:r>
          </w:p>
        </w:tc>
        <w:tc>
          <w:tcPr>
            <w:tcW w:w="985" w:type="dxa"/>
            <w:tcBorders>
              <w:bottom w:val="single" w:sz="4" w:space="0" w:color="auto"/>
            </w:tcBorders>
            <w:vAlign w:val="bottom"/>
          </w:tcPr>
          <w:p w14:paraId="7E0447B5" w14:textId="77775BDD" w:rsidR="00CD6E58" w:rsidRDefault="000D671F" w:rsidP="00CD6E58">
            <w:pPr>
              <w:jc w:val="center"/>
            </w:pPr>
            <w:r>
              <w:rPr>
                <w:rFonts w:ascii="Gill Sans MT" w:hAnsi="Gill Sans MT"/>
                <w:b/>
                <w:bCs/>
                <w:sz w:val="25"/>
                <w:szCs w:val="25"/>
              </w:rPr>
              <w:t xml:space="preserve"> </w:t>
            </w:r>
          </w:p>
        </w:tc>
      </w:tr>
    </w:tbl>
    <w:p w14:paraId="4A7C459D" w14:textId="3C7F6A53" w:rsidR="00D43A1A" w:rsidRDefault="00311D53" w:rsidP="00CD6E58">
      <w:pPr>
        <w:pStyle w:val="Subhead1sl"/>
        <w:spacing w:before="360"/>
        <w:jc w:val="left"/>
      </w:pPr>
      <w:r>
        <w:pict w14:anchorId="4E3E062A">
          <v:rect id="_x0000_i1027" style="width:0;height:1.5pt" o:hralign="center" o:hrstd="t" o:hr="t" fillcolor="#a0a0a0" stroked="f"/>
        </w:pict>
      </w:r>
    </w:p>
    <w:p w14:paraId="6AD35C89" w14:textId="157BD3E2" w:rsidR="00434FB6" w:rsidRPr="00E23A45" w:rsidRDefault="00434FB6" w:rsidP="00D43A1A">
      <w:pPr>
        <w:pStyle w:val="Subhead1sl"/>
        <w:spacing w:before="240"/>
        <w:jc w:val="left"/>
      </w:pPr>
      <w:r w:rsidRPr="00E23A45">
        <w:t>Extension</w:t>
      </w:r>
      <w:r w:rsidR="00CD6E58">
        <w:t xml:space="preserve"> Activity</w:t>
      </w:r>
    </w:p>
    <w:p w14:paraId="4991F2B3" w14:textId="0B53DB39" w:rsidR="00434FB6" w:rsidRPr="00434FB6" w:rsidRDefault="00434FB6" w:rsidP="00434FB6">
      <w:pPr>
        <w:pStyle w:val="NormalWeb"/>
        <w:shd w:val="clear" w:color="auto" w:fill="FFFFFF"/>
        <w:spacing w:before="0" w:beforeAutospacing="0" w:after="300" w:afterAutospacing="0" w:line="276" w:lineRule="auto"/>
        <w:rPr>
          <w:rFonts w:ascii="Garamond" w:hAnsi="Garamond"/>
          <w:color w:val="000000"/>
          <w:sz w:val="25"/>
          <w:szCs w:val="25"/>
        </w:rPr>
      </w:pPr>
      <w:r w:rsidRPr="00434FB6">
        <w:rPr>
          <w:rFonts w:ascii="Garamond" w:hAnsi="Garamond"/>
          <w:color w:val="000000"/>
          <w:sz w:val="25"/>
          <w:szCs w:val="25"/>
        </w:rPr>
        <w:t xml:space="preserve">Determine your position on the </w:t>
      </w:r>
      <w:r w:rsidR="00CD6E58">
        <w:rPr>
          <w:rFonts w:ascii="Garamond" w:hAnsi="Garamond"/>
          <w:color w:val="000000"/>
          <w:sz w:val="25"/>
          <w:szCs w:val="25"/>
        </w:rPr>
        <w:t>exclusionary rule</w:t>
      </w:r>
      <w:r w:rsidRPr="00434FB6">
        <w:rPr>
          <w:rFonts w:ascii="Garamond" w:hAnsi="Garamond"/>
          <w:color w:val="000000"/>
          <w:sz w:val="25"/>
          <w:szCs w:val="25"/>
        </w:rPr>
        <w:t>. Circle what you perceive to be the best arguments and corresponding supporting data. Use that information to write a short speech expressing your position on the proposed legislation. The speech will be delivered on the floor of the Senate. Remember that your constituents may be watching on television.</w:t>
      </w:r>
    </w:p>
    <w:p w14:paraId="57A2D065" w14:textId="4CFFDF48" w:rsidR="00B2708E" w:rsidRPr="00434FB6" w:rsidRDefault="00B2708E" w:rsidP="00434FB6">
      <w:pPr>
        <w:spacing w:line="276" w:lineRule="auto"/>
        <w:rPr>
          <w:rFonts w:ascii="Garamond" w:hAnsi="Garamond"/>
          <w:sz w:val="25"/>
          <w:szCs w:val="25"/>
        </w:rPr>
      </w:pPr>
    </w:p>
    <w:sectPr w:rsidR="00B2708E" w:rsidRPr="00434FB6" w:rsidSect="00311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825" w14:textId="77777777" w:rsidR="00EF4C2F" w:rsidRDefault="00EF4C2F" w:rsidP="0078549D">
      <w:r>
        <w:separator/>
      </w:r>
    </w:p>
  </w:endnote>
  <w:endnote w:type="continuationSeparator" w:id="0">
    <w:p w14:paraId="1EDEE6A8" w14:textId="77777777" w:rsidR="00EF4C2F" w:rsidRDefault="00EF4C2F" w:rsidP="0078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noProof/>
        <w:sz w:val="22"/>
        <w:szCs w:val="22"/>
      </w:rPr>
    </w:sdtEndPr>
    <w:sdtContent>
      <w:p w14:paraId="05D2A6D8" w14:textId="4A602CF6" w:rsidR="0078549D" w:rsidRPr="00D43A1A" w:rsidRDefault="0078549D">
        <w:pPr>
          <w:pStyle w:val="Footer"/>
          <w:rPr>
            <w:rFonts w:ascii="Garamond" w:hAnsi="Garamond"/>
            <w:sz w:val="22"/>
            <w:szCs w:val="22"/>
          </w:rPr>
        </w:pPr>
        <w:r w:rsidRPr="00D43A1A">
          <w:rPr>
            <w:rFonts w:ascii="Garamond" w:hAnsi="Garamond" w:cstheme="minorHAnsi"/>
            <w:sz w:val="22"/>
            <w:szCs w:val="22"/>
          </w:rPr>
          <w:t>©</w:t>
        </w:r>
        <w:r w:rsidRPr="00D43A1A">
          <w:rPr>
            <w:rFonts w:ascii="Garamond" w:hAnsi="Garamond"/>
            <w:sz w:val="22"/>
            <w:szCs w:val="22"/>
          </w:rPr>
          <w:t xml:space="preserve"> 20</w:t>
        </w:r>
        <w:r w:rsidR="0065685B" w:rsidRPr="00D43A1A">
          <w:rPr>
            <w:rFonts w:ascii="Garamond" w:hAnsi="Garamond"/>
            <w:sz w:val="22"/>
            <w:szCs w:val="22"/>
          </w:rPr>
          <w:t>20</w:t>
        </w:r>
        <w:r w:rsidRPr="00D43A1A">
          <w:rPr>
            <w:rFonts w:ascii="Garamond" w:hAnsi="Garamond"/>
            <w:sz w:val="22"/>
            <w:szCs w:val="22"/>
          </w:rPr>
          <w:t xml:space="preserve"> Street Law, Inc.</w:t>
        </w:r>
        <w:r w:rsidRPr="00D43A1A">
          <w:rPr>
            <w:rFonts w:ascii="Garamond" w:hAnsi="Garamond"/>
            <w:sz w:val="22"/>
            <w:szCs w:val="22"/>
          </w:rPr>
          <w:tab/>
        </w:r>
        <w:r w:rsidRPr="00D43A1A">
          <w:rPr>
            <w:rFonts w:ascii="Garamond" w:hAnsi="Garamond"/>
            <w:sz w:val="22"/>
            <w:szCs w:val="22"/>
          </w:rPr>
          <w:tab/>
        </w:r>
        <w:r w:rsidR="000A1830" w:rsidRPr="00D43A1A">
          <w:rPr>
            <w:rFonts w:ascii="Garamond" w:hAnsi="Garamond"/>
            <w:sz w:val="22"/>
            <w:szCs w:val="22"/>
          </w:rPr>
          <w:t xml:space="preserve"> </w:t>
        </w:r>
        <w:r w:rsidRPr="00D43A1A">
          <w:rPr>
            <w:rFonts w:ascii="Garamond" w:hAnsi="Garamond"/>
            <w:sz w:val="22"/>
            <w:szCs w:val="22"/>
          </w:rPr>
          <w:fldChar w:fldCharType="begin"/>
        </w:r>
        <w:r w:rsidRPr="00D43A1A">
          <w:rPr>
            <w:rFonts w:ascii="Garamond" w:hAnsi="Garamond"/>
            <w:sz w:val="22"/>
            <w:szCs w:val="22"/>
          </w:rPr>
          <w:instrText xml:space="preserve"> PAGE   \* MERGEFORMAT </w:instrText>
        </w:r>
        <w:r w:rsidRPr="00D43A1A">
          <w:rPr>
            <w:rFonts w:ascii="Garamond" w:hAnsi="Garamond"/>
            <w:sz w:val="22"/>
            <w:szCs w:val="22"/>
          </w:rPr>
          <w:fldChar w:fldCharType="separate"/>
        </w:r>
        <w:r w:rsidR="00F77CB7" w:rsidRPr="00D43A1A">
          <w:rPr>
            <w:rFonts w:ascii="Garamond" w:hAnsi="Garamond"/>
            <w:noProof/>
            <w:sz w:val="22"/>
            <w:szCs w:val="22"/>
          </w:rPr>
          <w:t>2</w:t>
        </w:r>
        <w:r w:rsidRPr="00D43A1A">
          <w:rPr>
            <w:rFonts w:ascii="Garamond" w:hAnsi="Garamond"/>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751652287"/>
      <w:docPartObj>
        <w:docPartGallery w:val="Page Numbers (Bottom of Page)"/>
        <w:docPartUnique/>
      </w:docPartObj>
    </w:sdtPr>
    <w:sdtEndPr>
      <w:rPr>
        <w:noProof/>
        <w:sz w:val="22"/>
        <w:szCs w:val="22"/>
      </w:rPr>
    </w:sdtEndPr>
    <w:sdtContent>
      <w:p w14:paraId="383A6EDE" w14:textId="082973B7" w:rsidR="000A1830" w:rsidRPr="00D43A1A" w:rsidRDefault="000A1830">
        <w:pPr>
          <w:pStyle w:val="Footer"/>
          <w:rPr>
            <w:rFonts w:ascii="Garamond" w:hAnsi="Garamond"/>
            <w:sz w:val="22"/>
            <w:szCs w:val="22"/>
          </w:rPr>
        </w:pPr>
        <w:r w:rsidRPr="00D43A1A">
          <w:rPr>
            <w:rFonts w:ascii="Garamond" w:hAnsi="Garamond" w:cstheme="minorHAnsi"/>
            <w:sz w:val="22"/>
            <w:szCs w:val="22"/>
          </w:rPr>
          <w:t>©</w:t>
        </w:r>
        <w:r w:rsidRPr="00D43A1A">
          <w:rPr>
            <w:rFonts w:ascii="Garamond" w:hAnsi="Garamond"/>
            <w:sz w:val="22"/>
            <w:szCs w:val="22"/>
          </w:rPr>
          <w:t xml:space="preserve"> 20</w:t>
        </w:r>
        <w:r w:rsidR="00A84F05" w:rsidRPr="00D43A1A">
          <w:rPr>
            <w:rFonts w:ascii="Garamond" w:hAnsi="Garamond"/>
            <w:sz w:val="22"/>
            <w:szCs w:val="22"/>
          </w:rPr>
          <w:t xml:space="preserve">20 </w:t>
        </w:r>
        <w:r w:rsidRPr="00D43A1A">
          <w:rPr>
            <w:rFonts w:ascii="Garamond" w:hAnsi="Garamond"/>
            <w:sz w:val="22"/>
            <w:szCs w:val="22"/>
          </w:rPr>
          <w:t>Street Law, Inc.</w:t>
        </w:r>
        <w:r w:rsidRPr="00D43A1A">
          <w:rPr>
            <w:rFonts w:ascii="Garamond" w:hAnsi="Garamond"/>
            <w:sz w:val="22"/>
            <w:szCs w:val="22"/>
          </w:rPr>
          <w:tab/>
        </w:r>
        <w:r w:rsidRPr="00D43A1A">
          <w:rPr>
            <w:rFonts w:ascii="Garamond" w:hAnsi="Garamond"/>
            <w:sz w:val="22"/>
            <w:szCs w:val="22"/>
          </w:rPr>
          <w:tab/>
          <w:t xml:space="preserve"> </w:t>
        </w:r>
        <w:r w:rsidR="00D43A1A" w:rsidRPr="00D43A1A">
          <w:rPr>
            <w:rFonts w:ascii="Garamond" w:hAnsi="Garamond"/>
            <w:sz w:val="22"/>
            <w:szCs w:val="22"/>
          </w:rPr>
          <w:t>Last updated: 09/15/2020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A43CD" w14:textId="77777777" w:rsidR="00EF4C2F" w:rsidRDefault="00EF4C2F" w:rsidP="0078549D">
      <w:r>
        <w:separator/>
      </w:r>
    </w:p>
  </w:footnote>
  <w:footnote w:type="continuationSeparator" w:id="0">
    <w:p w14:paraId="782DD03E" w14:textId="77777777" w:rsidR="00EF4C2F" w:rsidRDefault="00EF4C2F" w:rsidP="0078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54933" w14:textId="38A7EA2D" w:rsidR="0078549D" w:rsidRPr="00D43A1A" w:rsidRDefault="00D43A1A" w:rsidP="00D43A1A">
    <w:pPr>
      <w:pStyle w:val="Basiccopysl"/>
      <w:rPr>
        <w:sz w:val="22"/>
        <w:szCs w:val="22"/>
      </w:rPr>
    </w:pPr>
    <w:r w:rsidRPr="00BC53B8">
      <w:rPr>
        <w:sz w:val="22"/>
        <w:szCs w:val="22"/>
      </w:rPr>
      <w:t>LandmarkCases.org</w:t>
    </w:r>
    <w:r w:rsidRPr="00BC53B8">
      <w:rPr>
        <w:sz w:val="22"/>
        <w:szCs w:val="22"/>
      </w:rPr>
      <w:tab/>
    </w:r>
    <w:r w:rsidRPr="00BC53B8">
      <w:rPr>
        <w:sz w:val="22"/>
        <w:szCs w:val="22"/>
      </w:rPr>
      <w:tab/>
    </w:r>
    <w:r w:rsidRPr="00BC53B8">
      <w:rPr>
        <w:sz w:val="22"/>
        <w:szCs w:val="22"/>
      </w:rPr>
      <w:tab/>
    </w:r>
    <w:r>
      <w:rPr>
        <w:sz w:val="22"/>
        <w:szCs w:val="22"/>
      </w:rPr>
      <w:t xml:space="preserve">     </w:t>
    </w:r>
    <w:r w:rsidRPr="00BC53B8">
      <w:rPr>
        <w:i/>
        <w:iCs/>
        <w:sz w:val="22"/>
        <w:szCs w:val="22"/>
      </w:rPr>
      <w:t xml:space="preserve">Mapp v. Ohio </w:t>
    </w:r>
    <w:r w:rsidRPr="00BC53B8">
      <w:rPr>
        <w:sz w:val="22"/>
        <w:szCs w:val="22"/>
      </w:rPr>
      <w:t xml:space="preserve">/ </w:t>
    </w:r>
    <w:r>
      <w:rPr>
        <w:sz w:val="22"/>
        <w:szCs w:val="22"/>
      </w:rPr>
      <w:t>Senate Debate: Abolishing the Exclusionary Rule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F6C0B" w14:textId="17C02ADF" w:rsidR="001D03B0" w:rsidRPr="00E64C91" w:rsidRDefault="00E64C91" w:rsidP="00E64C91">
    <w:pPr>
      <w:pStyle w:val="Basiccopysl"/>
      <w:rPr>
        <w:sz w:val="22"/>
        <w:szCs w:val="22"/>
      </w:rPr>
    </w:pPr>
    <w:r w:rsidRPr="00BC53B8">
      <w:rPr>
        <w:sz w:val="22"/>
        <w:szCs w:val="22"/>
      </w:rPr>
      <w:t>LandmarkCases.org</w:t>
    </w:r>
    <w:r w:rsidRPr="00BC53B8">
      <w:rPr>
        <w:sz w:val="22"/>
        <w:szCs w:val="22"/>
      </w:rPr>
      <w:tab/>
    </w:r>
    <w:r w:rsidRPr="00BC53B8">
      <w:rPr>
        <w:sz w:val="22"/>
        <w:szCs w:val="22"/>
      </w:rPr>
      <w:tab/>
    </w:r>
    <w:r w:rsidRPr="00BC53B8">
      <w:rPr>
        <w:sz w:val="22"/>
        <w:szCs w:val="22"/>
      </w:rPr>
      <w:tab/>
    </w:r>
    <w:r w:rsidR="00633DE5">
      <w:rPr>
        <w:sz w:val="22"/>
        <w:szCs w:val="22"/>
      </w:rPr>
      <w:t xml:space="preserve">     </w:t>
    </w:r>
    <w:r w:rsidRPr="00BC53B8">
      <w:rPr>
        <w:i/>
        <w:iCs/>
        <w:sz w:val="22"/>
        <w:szCs w:val="22"/>
      </w:rPr>
      <w:t xml:space="preserve">Mapp v. Ohio </w:t>
    </w:r>
    <w:r w:rsidRPr="00BC53B8">
      <w:rPr>
        <w:sz w:val="22"/>
        <w:szCs w:val="22"/>
      </w:rPr>
      <w:t xml:space="preserve">/ </w:t>
    </w:r>
    <w:r>
      <w:rPr>
        <w:sz w:val="22"/>
        <w:szCs w:val="22"/>
      </w:rPr>
      <w:t>Senate Debate: Abolishing the Exclusionar</w:t>
    </w:r>
    <w:r w:rsidR="00633DE5">
      <w:rPr>
        <w:sz w:val="22"/>
        <w:szCs w:val="22"/>
      </w:rPr>
      <w:t>y Rule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D0E63"/>
    <w:multiLevelType w:val="hybridMultilevel"/>
    <w:tmpl w:val="25906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D7A1F"/>
    <w:multiLevelType w:val="hybridMultilevel"/>
    <w:tmpl w:val="6180F3F0"/>
    <w:lvl w:ilvl="0" w:tplc="011608A0">
      <w:numFmt w:val="bullet"/>
      <w:lvlText w:val="-"/>
      <w:lvlJc w:val="left"/>
      <w:pPr>
        <w:ind w:left="720" w:hanging="360"/>
      </w:pPr>
      <w:rPr>
        <w:rFonts w:ascii="Garamond" w:eastAsiaTheme="minorHAnsi" w:hAnsi="Garamond" w:cs="Garamond" w:hint="default"/>
        <w:color w:val="221E1F"/>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7995"/>
    <w:multiLevelType w:val="multilevel"/>
    <w:tmpl w:val="BD166994"/>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Garamond" w:eastAsia="Times New Roman" w:hAnsi="Garamond"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77D41"/>
    <w:multiLevelType w:val="hybridMultilevel"/>
    <w:tmpl w:val="15EEAA6E"/>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15937"/>
    <w:multiLevelType w:val="hybridMultilevel"/>
    <w:tmpl w:val="A7FABC5A"/>
    <w:lvl w:ilvl="0" w:tplc="2C3A2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1446C"/>
    <w:multiLevelType w:val="hybridMultilevel"/>
    <w:tmpl w:val="DB46B0D4"/>
    <w:lvl w:ilvl="0" w:tplc="56A21DE2">
      <w:numFmt w:val="bullet"/>
      <w:lvlText w:val="-"/>
      <w:lvlJc w:val="left"/>
      <w:pPr>
        <w:ind w:left="720" w:hanging="360"/>
      </w:pPr>
      <w:rPr>
        <w:rFonts w:ascii="Gill Sans MT" w:eastAsiaTheme="minorHAnsi" w:hAnsi="Gill Sans MT"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E114F"/>
    <w:multiLevelType w:val="multilevel"/>
    <w:tmpl w:val="5FFE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92E41"/>
    <w:multiLevelType w:val="multilevel"/>
    <w:tmpl w:val="7A0C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F6B84"/>
    <w:multiLevelType w:val="hybridMultilevel"/>
    <w:tmpl w:val="FD6EE7AE"/>
    <w:lvl w:ilvl="0" w:tplc="7EC0166E">
      <w:start w:val="1"/>
      <w:numFmt w:val="bullet"/>
      <w:lvlText w:val="•"/>
      <w:lvlJc w:val="left"/>
      <w:pPr>
        <w:tabs>
          <w:tab w:val="num" w:pos="720"/>
        </w:tabs>
        <w:ind w:left="720" w:hanging="360"/>
      </w:pPr>
      <w:rPr>
        <w:rFonts w:ascii="Arial" w:hAnsi="Arial" w:hint="default"/>
      </w:rPr>
    </w:lvl>
    <w:lvl w:ilvl="1" w:tplc="F72E4044" w:tentative="1">
      <w:start w:val="1"/>
      <w:numFmt w:val="bullet"/>
      <w:lvlText w:val="•"/>
      <w:lvlJc w:val="left"/>
      <w:pPr>
        <w:tabs>
          <w:tab w:val="num" w:pos="1440"/>
        </w:tabs>
        <w:ind w:left="1440" w:hanging="360"/>
      </w:pPr>
      <w:rPr>
        <w:rFonts w:ascii="Arial" w:hAnsi="Arial" w:hint="default"/>
      </w:rPr>
    </w:lvl>
    <w:lvl w:ilvl="2" w:tplc="FBC8AD7C" w:tentative="1">
      <w:start w:val="1"/>
      <w:numFmt w:val="bullet"/>
      <w:lvlText w:val="•"/>
      <w:lvlJc w:val="left"/>
      <w:pPr>
        <w:tabs>
          <w:tab w:val="num" w:pos="2160"/>
        </w:tabs>
        <w:ind w:left="2160" w:hanging="360"/>
      </w:pPr>
      <w:rPr>
        <w:rFonts w:ascii="Arial" w:hAnsi="Arial" w:hint="default"/>
      </w:rPr>
    </w:lvl>
    <w:lvl w:ilvl="3" w:tplc="10F4AA88" w:tentative="1">
      <w:start w:val="1"/>
      <w:numFmt w:val="bullet"/>
      <w:lvlText w:val="•"/>
      <w:lvlJc w:val="left"/>
      <w:pPr>
        <w:tabs>
          <w:tab w:val="num" w:pos="2880"/>
        </w:tabs>
        <w:ind w:left="2880" w:hanging="360"/>
      </w:pPr>
      <w:rPr>
        <w:rFonts w:ascii="Arial" w:hAnsi="Arial" w:hint="default"/>
      </w:rPr>
    </w:lvl>
    <w:lvl w:ilvl="4" w:tplc="B7EEB522" w:tentative="1">
      <w:start w:val="1"/>
      <w:numFmt w:val="bullet"/>
      <w:lvlText w:val="•"/>
      <w:lvlJc w:val="left"/>
      <w:pPr>
        <w:tabs>
          <w:tab w:val="num" w:pos="3600"/>
        </w:tabs>
        <w:ind w:left="3600" w:hanging="360"/>
      </w:pPr>
      <w:rPr>
        <w:rFonts w:ascii="Arial" w:hAnsi="Arial" w:hint="default"/>
      </w:rPr>
    </w:lvl>
    <w:lvl w:ilvl="5" w:tplc="59C08CB4" w:tentative="1">
      <w:start w:val="1"/>
      <w:numFmt w:val="bullet"/>
      <w:lvlText w:val="•"/>
      <w:lvlJc w:val="left"/>
      <w:pPr>
        <w:tabs>
          <w:tab w:val="num" w:pos="4320"/>
        </w:tabs>
        <w:ind w:left="4320" w:hanging="360"/>
      </w:pPr>
      <w:rPr>
        <w:rFonts w:ascii="Arial" w:hAnsi="Arial" w:hint="default"/>
      </w:rPr>
    </w:lvl>
    <w:lvl w:ilvl="6" w:tplc="35C2D172" w:tentative="1">
      <w:start w:val="1"/>
      <w:numFmt w:val="bullet"/>
      <w:lvlText w:val="•"/>
      <w:lvlJc w:val="left"/>
      <w:pPr>
        <w:tabs>
          <w:tab w:val="num" w:pos="5040"/>
        </w:tabs>
        <w:ind w:left="5040" w:hanging="360"/>
      </w:pPr>
      <w:rPr>
        <w:rFonts w:ascii="Arial" w:hAnsi="Arial" w:hint="default"/>
      </w:rPr>
    </w:lvl>
    <w:lvl w:ilvl="7" w:tplc="B4221458" w:tentative="1">
      <w:start w:val="1"/>
      <w:numFmt w:val="bullet"/>
      <w:lvlText w:val="•"/>
      <w:lvlJc w:val="left"/>
      <w:pPr>
        <w:tabs>
          <w:tab w:val="num" w:pos="5760"/>
        </w:tabs>
        <w:ind w:left="5760" w:hanging="360"/>
      </w:pPr>
      <w:rPr>
        <w:rFonts w:ascii="Arial" w:hAnsi="Arial" w:hint="default"/>
      </w:rPr>
    </w:lvl>
    <w:lvl w:ilvl="8" w:tplc="F5C421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711E8B"/>
    <w:multiLevelType w:val="hybridMultilevel"/>
    <w:tmpl w:val="E7DED250"/>
    <w:lvl w:ilvl="0" w:tplc="C270EBBE">
      <w:start w:val="1"/>
      <w:numFmt w:val="bullet"/>
      <w:lvlText w:val="•"/>
      <w:lvlJc w:val="left"/>
      <w:pPr>
        <w:tabs>
          <w:tab w:val="num" w:pos="720"/>
        </w:tabs>
        <w:ind w:left="720" w:hanging="360"/>
      </w:pPr>
      <w:rPr>
        <w:rFonts w:ascii="Arial" w:hAnsi="Arial" w:hint="default"/>
      </w:rPr>
    </w:lvl>
    <w:lvl w:ilvl="1" w:tplc="8AE4DA14" w:tentative="1">
      <w:start w:val="1"/>
      <w:numFmt w:val="bullet"/>
      <w:lvlText w:val="•"/>
      <w:lvlJc w:val="left"/>
      <w:pPr>
        <w:tabs>
          <w:tab w:val="num" w:pos="1440"/>
        </w:tabs>
        <w:ind w:left="1440" w:hanging="360"/>
      </w:pPr>
      <w:rPr>
        <w:rFonts w:ascii="Arial" w:hAnsi="Arial" w:hint="default"/>
      </w:rPr>
    </w:lvl>
    <w:lvl w:ilvl="2" w:tplc="C7D4A354" w:tentative="1">
      <w:start w:val="1"/>
      <w:numFmt w:val="bullet"/>
      <w:lvlText w:val="•"/>
      <w:lvlJc w:val="left"/>
      <w:pPr>
        <w:tabs>
          <w:tab w:val="num" w:pos="2160"/>
        </w:tabs>
        <w:ind w:left="2160" w:hanging="360"/>
      </w:pPr>
      <w:rPr>
        <w:rFonts w:ascii="Arial" w:hAnsi="Arial" w:hint="default"/>
      </w:rPr>
    </w:lvl>
    <w:lvl w:ilvl="3" w:tplc="78BE9DA6" w:tentative="1">
      <w:start w:val="1"/>
      <w:numFmt w:val="bullet"/>
      <w:lvlText w:val="•"/>
      <w:lvlJc w:val="left"/>
      <w:pPr>
        <w:tabs>
          <w:tab w:val="num" w:pos="2880"/>
        </w:tabs>
        <w:ind w:left="2880" w:hanging="360"/>
      </w:pPr>
      <w:rPr>
        <w:rFonts w:ascii="Arial" w:hAnsi="Arial" w:hint="default"/>
      </w:rPr>
    </w:lvl>
    <w:lvl w:ilvl="4" w:tplc="79228C0A" w:tentative="1">
      <w:start w:val="1"/>
      <w:numFmt w:val="bullet"/>
      <w:lvlText w:val="•"/>
      <w:lvlJc w:val="left"/>
      <w:pPr>
        <w:tabs>
          <w:tab w:val="num" w:pos="3600"/>
        </w:tabs>
        <w:ind w:left="3600" w:hanging="360"/>
      </w:pPr>
      <w:rPr>
        <w:rFonts w:ascii="Arial" w:hAnsi="Arial" w:hint="default"/>
      </w:rPr>
    </w:lvl>
    <w:lvl w:ilvl="5" w:tplc="F55C7F0A" w:tentative="1">
      <w:start w:val="1"/>
      <w:numFmt w:val="bullet"/>
      <w:lvlText w:val="•"/>
      <w:lvlJc w:val="left"/>
      <w:pPr>
        <w:tabs>
          <w:tab w:val="num" w:pos="4320"/>
        </w:tabs>
        <w:ind w:left="4320" w:hanging="360"/>
      </w:pPr>
      <w:rPr>
        <w:rFonts w:ascii="Arial" w:hAnsi="Arial" w:hint="default"/>
      </w:rPr>
    </w:lvl>
    <w:lvl w:ilvl="6" w:tplc="256AA5FE" w:tentative="1">
      <w:start w:val="1"/>
      <w:numFmt w:val="bullet"/>
      <w:lvlText w:val="•"/>
      <w:lvlJc w:val="left"/>
      <w:pPr>
        <w:tabs>
          <w:tab w:val="num" w:pos="5040"/>
        </w:tabs>
        <w:ind w:left="5040" w:hanging="360"/>
      </w:pPr>
      <w:rPr>
        <w:rFonts w:ascii="Arial" w:hAnsi="Arial" w:hint="default"/>
      </w:rPr>
    </w:lvl>
    <w:lvl w:ilvl="7" w:tplc="8A401C0A" w:tentative="1">
      <w:start w:val="1"/>
      <w:numFmt w:val="bullet"/>
      <w:lvlText w:val="•"/>
      <w:lvlJc w:val="left"/>
      <w:pPr>
        <w:tabs>
          <w:tab w:val="num" w:pos="5760"/>
        </w:tabs>
        <w:ind w:left="5760" w:hanging="360"/>
      </w:pPr>
      <w:rPr>
        <w:rFonts w:ascii="Arial" w:hAnsi="Arial" w:hint="default"/>
      </w:rPr>
    </w:lvl>
    <w:lvl w:ilvl="8" w:tplc="1B3656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A608DC"/>
    <w:multiLevelType w:val="hybridMultilevel"/>
    <w:tmpl w:val="05A6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038A7"/>
    <w:multiLevelType w:val="hybridMultilevel"/>
    <w:tmpl w:val="25A48D82"/>
    <w:lvl w:ilvl="0" w:tplc="2C3A2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95F2F"/>
    <w:multiLevelType w:val="hybridMultilevel"/>
    <w:tmpl w:val="9364F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106EE"/>
    <w:multiLevelType w:val="multilevel"/>
    <w:tmpl w:val="5FFE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1821A1"/>
    <w:multiLevelType w:val="hybridMultilevel"/>
    <w:tmpl w:val="A93E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D6DFE"/>
    <w:multiLevelType w:val="hybridMultilevel"/>
    <w:tmpl w:val="05BE9D94"/>
    <w:lvl w:ilvl="0" w:tplc="2C3A2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3185F"/>
    <w:multiLevelType w:val="multilevel"/>
    <w:tmpl w:val="5FFE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494DFE"/>
    <w:multiLevelType w:val="hybridMultilevel"/>
    <w:tmpl w:val="19FC5596"/>
    <w:lvl w:ilvl="0" w:tplc="C346CA6A">
      <w:numFmt w:val="bullet"/>
      <w:lvlText w:val=""/>
      <w:lvlJc w:val="left"/>
      <w:pPr>
        <w:ind w:left="720" w:hanging="360"/>
      </w:pPr>
      <w:rPr>
        <w:rFonts w:ascii="Wingdings" w:eastAsiaTheme="minorHAnsi" w:hAnsi="Wingdings" w:cs="Gill Sans"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83C93"/>
    <w:multiLevelType w:val="hybridMultilevel"/>
    <w:tmpl w:val="11C62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D6F7A"/>
    <w:multiLevelType w:val="multilevel"/>
    <w:tmpl w:val="C14E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09719F"/>
    <w:multiLevelType w:val="hybridMultilevel"/>
    <w:tmpl w:val="804C7430"/>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54498C"/>
    <w:multiLevelType w:val="hybridMultilevel"/>
    <w:tmpl w:val="A9940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E4923"/>
    <w:multiLevelType w:val="multilevel"/>
    <w:tmpl w:val="C940453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432A1B"/>
    <w:multiLevelType w:val="hybridMultilevel"/>
    <w:tmpl w:val="0144D1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81F58"/>
    <w:multiLevelType w:val="multilevel"/>
    <w:tmpl w:val="5FFE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C81461"/>
    <w:multiLevelType w:val="multilevel"/>
    <w:tmpl w:val="5FFE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AF2584"/>
    <w:multiLevelType w:val="multilevel"/>
    <w:tmpl w:val="C940453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
  </w:num>
  <w:num w:numId="3">
    <w:abstractNumId w:val="4"/>
  </w:num>
  <w:num w:numId="4">
    <w:abstractNumId w:val="6"/>
  </w:num>
  <w:num w:numId="5">
    <w:abstractNumId w:val="17"/>
  </w:num>
  <w:num w:numId="6">
    <w:abstractNumId w:val="9"/>
  </w:num>
  <w:num w:numId="7">
    <w:abstractNumId w:val="17"/>
    <w:lvlOverride w:ilvl="0">
      <w:startOverride w:val="1"/>
    </w:lvlOverride>
  </w:num>
  <w:num w:numId="8">
    <w:abstractNumId w:val="17"/>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8"/>
  </w:num>
  <w:num w:numId="12">
    <w:abstractNumId w:val="0"/>
  </w:num>
  <w:num w:numId="13">
    <w:abstractNumId w:val="15"/>
  </w:num>
  <w:num w:numId="14">
    <w:abstractNumId w:val="3"/>
  </w:num>
  <w:num w:numId="15">
    <w:abstractNumId w:val="26"/>
  </w:num>
  <w:num w:numId="16">
    <w:abstractNumId w:val="29"/>
  </w:num>
  <w:num w:numId="17">
    <w:abstractNumId w:val="27"/>
  </w:num>
  <w:num w:numId="18">
    <w:abstractNumId w:val="15"/>
  </w:num>
  <w:num w:numId="19">
    <w:abstractNumId w:val="15"/>
  </w:num>
  <w:num w:numId="20">
    <w:abstractNumId w:val="15"/>
  </w:num>
  <w:num w:numId="21">
    <w:abstractNumId w:val="15"/>
  </w:num>
  <w:num w:numId="22">
    <w:abstractNumId w:val="20"/>
  </w:num>
  <w:num w:numId="23">
    <w:abstractNumId w:val="21"/>
  </w:num>
  <w:num w:numId="24">
    <w:abstractNumId w:val="16"/>
  </w:num>
  <w:num w:numId="25">
    <w:abstractNumId w:val="7"/>
  </w:num>
  <w:num w:numId="26">
    <w:abstractNumId w:val="13"/>
  </w:num>
  <w:num w:numId="27">
    <w:abstractNumId w:val="12"/>
  </w:num>
  <w:num w:numId="28">
    <w:abstractNumId w:val="8"/>
  </w:num>
  <w:num w:numId="29">
    <w:abstractNumId w:val="23"/>
  </w:num>
  <w:num w:numId="30">
    <w:abstractNumId w:val="1"/>
  </w:num>
  <w:num w:numId="31">
    <w:abstractNumId w:val="24"/>
  </w:num>
  <w:num w:numId="32">
    <w:abstractNumId w:val="11"/>
  </w:num>
  <w:num w:numId="33">
    <w:abstractNumId w:val="25"/>
  </w:num>
  <w:num w:numId="34">
    <w:abstractNumId w:val="2"/>
  </w:num>
  <w:num w:numId="35">
    <w:abstractNumId w:val="10"/>
  </w:num>
  <w:num w:numId="36">
    <w:abstractNumId w:val="30"/>
  </w:num>
  <w:num w:numId="37">
    <w:abstractNumId w:val="19"/>
  </w:num>
  <w:num w:numId="38">
    <w:abstractNumId w:val="14"/>
  </w:num>
  <w:num w:numId="39">
    <w:abstractNumId w:val="32"/>
  </w:num>
  <w:num w:numId="40">
    <w:abstractNumId w:val="28"/>
  </w:num>
  <w:num w:numId="41">
    <w:abstractNumId w:val="22"/>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B0"/>
    <w:rsid w:val="000041B4"/>
    <w:rsid w:val="00031948"/>
    <w:rsid w:val="00040416"/>
    <w:rsid w:val="00047CE3"/>
    <w:rsid w:val="00053579"/>
    <w:rsid w:val="00061AC2"/>
    <w:rsid w:val="000634C8"/>
    <w:rsid w:val="000657A3"/>
    <w:rsid w:val="000746BA"/>
    <w:rsid w:val="0007568F"/>
    <w:rsid w:val="00084A9A"/>
    <w:rsid w:val="0009057A"/>
    <w:rsid w:val="000907F7"/>
    <w:rsid w:val="000A1830"/>
    <w:rsid w:val="000A3449"/>
    <w:rsid w:val="000A6456"/>
    <w:rsid w:val="000C44A6"/>
    <w:rsid w:val="000D671F"/>
    <w:rsid w:val="000D67FB"/>
    <w:rsid w:val="000E239D"/>
    <w:rsid w:val="000E2EC9"/>
    <w:rsid w:val="000F7EA2"/>
    <w:rsid w:val="00101452"/>
    <w:rsid w:val="0011217A"/>
    <w:rsid w:val="00114B2D"/>
    <w:rsid w:val="00115226"/>
    <w:rsid w:val="00126968"/>
    <w:rsid w:val="00142F77"/>
    <w:rsid w:val="001559C2"/>
    <w:rsid w:val="0016005E"/>
    <w:rsid w:val="00161C2E"/>
    <w:rsid w:val="00170B98"/>
    <w:rsid w:val="001A3A09"/>
    <w:rsid w:val="001B6AC4"/>
    <w:rsid w:val="001D0190"/>
    <w:rsid w:val="001D03B0"/>
    <w:rsid w:val="001F5727"/>
    <w:rsid w:val="002037BC"/>
    <w:rsid w:val="00206DDF"/>
    <w:rsid w:val="00212E96"/>
    <w:rsid w:val="00215174"/>
    <w:rsid w:val="0022710D"/>
    <w:rsid w:val="0023395E"/>
    <w:rsid w:val="00235B40"/>
    <w:rsid w:val="0024195E"/>
    <w:rsid w:val="00250E4E"/>
    <w:rsid w:val="00257B6F"/>
    <w:rsid w:val="002639A1"/>
    <w:rsid w:val="00271DBD"/>
    <w:rsid w:val="00275C66"/>
    <w:rsid w:val="0027693F"/>
    <w:rsid w:val="00281250"/>
    <w:rsid w:val="00281CBB"/>
    <w:rsid w:val="00286430"/>
    <w:rsid w:val="00290061"/>
    <w:rsid w:val="002B4D38"/>
    <w:rsid w:val="002C3E8C"/>
    <w:rsid w:val="002C68A3"/>
    <w:rsid w:val="002D03AB"/>
    <w:rsid w:val="002E7C68"/>
    <w:rsid w:val="00310F79"/>
    <w:rsid w:val="00311BF1"/>
    <w:rsid w:val="00311D53"/>
    <w:rsid w:val="003140FA"/>
    <w:rsid w:val="00317735"/>
    <w:rsid w:val="003512E4"/>
    <w:rsid w:val="00351CAD"/>
    <w:rsid w:val="00364E45"/>
    <w:rsid w:val="00374A60"/>
    <w:rsid w:val="00375090"/>
    <w:rsid w:val="00376E1D"/>
    <w:rsid w:val="00384B37"/>
    <w:rsid w:val="00387E81"/>
    <w:rsid w:val="00395C4F"/>
    <w:rsid w:val="00396AEB"/>
    <w:rsid w:val="00396B6D"/>
    <w:rsid w:val="003A1B9A"/>
    <w:rsid w:val="003A7F47"/>
    <w:rsid w:val="003B634A"/>
    <w:rsid w:val="003D303D"/>
    <w:rsid w:val="003D464A"/>
    <w:rsid w:val="003E52E1"/>
    <w:rsid w:val="003E702C"/>
    <w:rsid w:val="004023FD"/>
    <w:rsid w:val="00415E54"/>
    <w:rsid w:val="00425D42"/>
    <w:rsid w:val="00426E5B"/>
    <w:rsid w:val="00434FB6"/>
    <w:rsid w:val="00437374"/>
    <w:rsid w:val="00441343"/>
    <w:rsid w:val="00447039"/>
    <w:rsid w:val="00451447"/>
    <w:rsid w:val="004517DC"/>
    <w:rsid w:val="00460106"/>
    <w:rsid w:val="004736A0"/>
    <w:rsid w:val="00480F64"/>
    <w:rsid w:val="00497AC2"/>
    <w:rsid w:val="004A5AEB"/>
    <w:rsid w:val="004A7483"/>
    <w:rsid w:val="004B1FDC"/>
    <w:rsid w:val="004B560A"/>
    <w:rsid w:val="004B63CF"/>
    <w:rsid w:val="004C0C08"/>
    <w:rsid w:val="004D3057"/>
    <w:rsid w:val="004E098F"/>
    <w:rsid w:val="00501901"/>
    <w:rsid w:val="005034E4"/>
    <w:rsid w:val="005048C8"/>
    <w:rsid w:val="00512785"/>
    <w:rsid w:val="00512949"/>
    <w:rsid w:val="00514B4D"/>
    <w:rsid w:val="005311FB"/>
    <w:rsid w:val="00531832"/>
    <w:rsid w:val="005345BA"/>
    <w:rsid w:val="00550453"/>
    <w:rsid w:val="00553B24"/>
    <w:rsid w:val="00565C44"/>
    <w:rsid w:val="00583BC7"/>
    <w:rsid w:val="00584EF5"/>
    <w:rsid w:val="00585569"/>
    <w:rsid w:val="00594065"/>
    <w:rsid w:val="005A0330"/>
    <w:rsid w:val="005A66EA"/>
    <w:rsid w:val="005B5776"/>
    <w:rsid w:val="005C175C"/>
    <w:rsid w:val="005C3E6E"/>
    <w:rsid w:val="005C7EF0"/>
    <w:rsid w:val="005D61D0"/>
    <w:rsid w:val="005E7A8C"/>
    <w:rsid w:val="005F00F2"/>
    <w:rsid w:val="005F7F6B"/>
    <w:rsid w:val="006103AF"/>
    <w:rsid w:val="00610436"/>
    <w:rsid w:val="00633DE5"/>
    <w:rsid w:val="00655FA7"/>
    <w:rsid w:val="0065685B"/>
    <w:rsid w:val="00660AD9"/>
    <w:rsid w:val="0066217D"/>
    <w:rsid w:val="00666088"/>
    <w:rsid w:val="006A1C8C"/>
    <w:rsid w:val="006A5721"/>
    <w:rsid w:val="006B0ADE"/>
    <w:rsid w:val="006B418C"/>
    <w:rsid w:val="006C3A85"/>
    <w:rsid w:val="006D59A9"/>
    <w:rsid w:val="006E5DAF"/>
    <w:rsid w:val="006F6ABE"/>
    <w:rsid w:val="0070144E"/>
    <w:rsid w:val="00722867"/>
    <w:rsid w:val="00727045"/>
    <w:rsid w:val="00737D36"/>
    <w:rsid w:val="00743920"/>
    <w:rsid w:val="00752880"/>
    <w:rsid w:val="00755F7E"/>
    <w:rsid w:val="00760F71"/>
    <w:rsid w:val="00765D42"/>
    <w:rsid w:val="00781B9A"/>
    <w:rsid w:val="00783E8E"/>
    <w:rsid w:val="007847D6"/>
    <w:rsid w:val="0078549D"/>
    <w:rsid w:val="00785FE1"/>
    <w:rsid w:val="0079282E"/>
    <w:rsid w:val="007A0E15"/>
    <w:rsid w:val="007A433A"/>
    <w:rsid w:val="007B32C3"/>
    <w:rsid w:val="007C3126"/>
    <w:rsid w:val="007D1BB2"/>
    <w:rsid w:val="007D35AA"/>
    <w:rsid w:val="007D4B67"/>
    <w:rsid w:val="007E500F"/>
    <w:rsid w:val="007E6CC5"/>
    <w:rsid w:val="007F5D9F"/>
    <w:rsid w:val="007F700D"/>
    <w:rsid w:val="00815CB0"/>
    <w:rsid w:val="0081706F"/>
    <w:rsid w:val="00817462"/>
    <w:rsid w:val="00820B0B"/>
    <w:rsid w:val="00827314"/>
    <w:rsid w:val="0083426E"/>
    <w:rsid w:val="008419E6"/>
    <w:rsid w:val="00841BC3"/>
    <w:rsid w:val="0084485D"/>
    <w:rsid w:val="008474C5"/>
    <w:rsid w:val="00867989"/>
    <w:rsid w:val="00880145"/>
    <w:rsid w:val="008876E5"/>
    <w:rsid w:val="008B6FF7"/>
    <w:rsid w:val="008E399A"/>
    <w:rsid w:val="008E728D"/>
    <w:rsid w:val="008F1A58"/>
    <w:rsid w:val="008F3C2E"/>
    <w:rsid w:val="008F4F66"/>
    <w:rsid w:val="009148B6"/>
    <w:rsid w:val="00925062"/>
    <w:rsid w:val="00933154"/>
    <w:rsid w:val="00937086"/>
    <w:rsid w:val="0095406F"/>
    <w:rsid w:val="00981CD4"/>
    <w:rsid w:val="00986AD3"/>
    <w:rsid w:val="0099480B"/>
    <w:rsid w:val="0099777B"/>
    <w:rsid w:val="009A2ABF"/>
    <w:rsid w:val="009A2F3E"/>
    <w:rsid w:val="009D6B03"/>
    <w:rsid w:val="009E3E88"/>
    <w:rsid w:val="009E5E92"/>
    <w:rsid w:val="009F0FD6"/>
    <w:rsid w:val="009F2329"/>
    <w:rsid w:val="00A00A89"/>
    <w:rsid w:val="00A13A6F"/>
    <w:rsid w:val="00A14F41"/>
    <w:rsid w:val="00A265AE"/>
    <w:rsid w:val="00A32360"/>
    <w:rsid w:val="00A43854"/>
    <w:rsid w:val="00A47330"/>
    <w:rsid w:val="00A5477C"/>
    <w:rsid w:val="00A66AE3"/>
    <w:rsid w:val="00A82D15"/>
    <w:rsid w:val="00A84F05"/>
    <w:rsid w:val="00AA47AE"/>
    <w:rsid w:val="00AA5277"/>
    <w:rsid w:val="00AA635A"/>
    <w:rsid w:val="00AB2A8B"/>
    <w:rsid w:val="00AB2BB1"/>
    <w:rsid w:val="00AB719E"/>
    <w:rsid w:val="00AC4B51"/>
    <w:rsid w:val="00AD5098"/>
    <w:rsid w:val="00AE0C77"/>
    <w:rsid w:val="00AE7F92"/>
    <w:rsid w:val="00B07C38"/>
    <w:rsid w:val="00B2708E"/>
    <w:rsid w:val="00B567D9"/>
    <w:rsid w:val="00B603CF"/>
    <w:rsid w:val="00B62311"/>
    <w:rsid w:val="00B62487"/>
    <w:rsid w:val="00B63DC7"/>
    <w:rsid w:val="00B64D75"/>
    <w:rsid w:val="00B70A48"/>
    <w:rsid w:val="00B710D0"/>
    <w:rsid w:val="00B90D97"/>
    <w:rsid w:val="00B91152"/>
    <w:rsid w:val="00BE4005"/>
    <w:rsid w:val="00BE4A01"/>
    <w:rsid w:val="00BF669F"/>
    <w:rsid w:val="00BF6EC8"/>
    <w:rsid w:val="00C25FC5"/>
    <w:rsid w:val="00C33190"/>
    <w:rsid w:val="00C40F6D"/>
    <w:rsid w:val="00C42AD5"/>
    <w:rsid w:val="00C52DF1"/>
    <w:rsid w:val="00C568F0"/>
    <w:rsid w:val="00C619EB"/>
    <w:rsid w:val="00C65B4F"/>
    <w:rsid w:val="00C730CA"/>
    <w:rsid w:val="00CC741A"/>
    <w:rsid w:val="00CD6E58"/>
    <w:rsid w:val="00CF1A03"/>
    <w:rsid w:val="00CF5C1E"/>
    <w:rsid w:val="00D01FFD"/>
    <w:rsid w:val="00D064E0"/>
    <w:rsid w:val="00D30962"/>
    <w:rsid w:val="00D34939"/>
    <w:rsid w:val="00D34DFC"/>
    <w:rsid w:val="00D43A1A"/>
    <w:rsid w:val="00D500D1"/>
    <w:rsid w:val="00D52029"/>
    <w:rsid w:val="00D53A80"/>
    <w:rsid w:val="00D53C9A"/>
    <w:rsid w:val="00D646B6"/>
    <w:rsid w:val="00D6533A"/>
    <w:rsid w:val="00D66F65"/>
    <w:rsid w:val="00D67192"/>
    <w:rsid w:val="00D67D78"/>
    <w:rsid w:val="00D8707C"/>
    <w:rsid w:val="00DA3C03"/>
    <w:rsid w:val="00DB3C9F"/>
    <w:rsid w:val="00DB4F2F"/>
    <w:rsid w:val="00DC6367"/>
    <w:rsid w:val="00DD23F1"/>
    <w:rsid w:val="00DE3D18"/>
    <w:rsid w:val="00DE5070"/>
    <w:rsid w:val="00E04C4D"/>
    <w:rsid w:val="00E200DC"/>
    <w:rsid w:val="00E23A45"/>
    <w:rsid w:val="00E47010"/>
    <w:rsid w:val="00E54FB8"/>
    <w:rsid w:val="00E62C34"/>
    <w:rsid w:val="00E64C91"/>
    <w:rsid w:val="00E729BA"/>
    <w:rsid w:val="00E745DE"/>
    <w:rsid w:val="00E74BF3"/>
    <w:rsid w:val="00E74C4C"/>
    <w:rsid w:val="00E82FB4"/>
    <w:rsid w:val="00E8570D"/>
    <w:rsid w:val="00E902D0"/>
    <w:rsid w:val="00E9065A"/>
    <w:rsid w:val="00E94D2C"/>
    <w:rsid w:val="00EA0524"/>
    <w:rsid w:val="00EA60C0"/>
    <w:rsid w:val="00EB3DFA"/>
    <w:rsid w:val="00EE5548"/>
    <w:rsid w:val="00EF4C2F"/>
    <w:rsid w:val="00F13CD5"/>
    <w:rsid w:val="00F173A6"/>
    <w:rsid w:val="00F379A7"/>
    <w:rsid w:val="00F44425"/>
    <w:rsid w:val="00F5754A"/>
    <w:rsid w:val="00F714CD"/>
    <w:rsid w:val="00F77CB7"/>
    <w:rsid w:val="00F814FF"/>
    <w:rsid w:val="00F85FF4"/>
    <w:rsid w:val="00F863A6"/>
    <w:rsid w:val="00F873E7"/>
    <w:rsid w:val="00FA2463"/>
    <w:rsid w:val="00FA3BB1"/>
    <w:rsid w:val="00FB7E5E"/>
    <w:rsid w:val="00FC31A6"/>
    <w:rsid w:val="00FC5BD8"/>
    <w:rsid w:val="00FD7047"/>
    <w:rsid w:val="00FE0D0C"/>
    <w:rsid w:val="00FE25F4"/>
    <w:rsid w:val="00FE628E"/>
    <w:rsid w:val="00FF2C79"/>
    <w:rsid w:val="00FF431A"/>
    <w:rsid w:val="00FF74C4"/>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1E1E9"/>
  <w15:docId w15:val="{571A7375-67B0-4C47-A378-35CA69DB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67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6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4A60"/>
    <w:pPr>
      <w:keepNext/>
      <w:outlineLvl w:val="1"/>
    </w:pPr>
    <w:rPr>
      <w:b/>
    </w:rPr>
  </w:style>
  <w:style w:type="paragraph" w:styleId="Heading4">
    <w:name w:val="heading 4"/>
    <w:basedOn w:val="Normal"/>
    <w:next w:val="Normal"/>
    <w:link w:val="Heading4Char"/>
    <w:uiPriority w:val="9"/>
    <w:semiHidden/>
    <w:unhideWhenUsed/>
    <w:qFormat/>
    <w:rsid w:val="0070144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0144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1D03B0"/>
    <w:pPr>
      <w:spacing w:before="120" w:after="120"/>
      <w:jc w:val="center"/>
    </w:pPr>
    <w:rPr>
      <w:rFonts w:ascii="Gill Sans MT" w:hAnsi="Gill Sans MT"/>
      <w:b/>
      <w:sz w:val="32"/>
      <w:szCs w:val="32"/>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0A1830"/>
    <w:pPr>
      <w:spacing w:before="360" w:after="120"/>
    </w:pPr>
    <w:rPr>
      <w:rFonts w:ascii="Gill Sans MT" w:hAnsi="Gill Sans MT"/>
      <w:b/>
      <w:i/>
    </w:rPr>
  </w:style>
  <w:style w:type="character" w:customStyle="1" w:styleId="Subhead1slChar">
    <w:name w:val="Subhead 1_sl Char"/>
    <w:basedOn w:val="DefaultParagraphFont"/>
    <w:link w:val="Subhead1sl"/>
    <w:rsid w:val="001D03B0"/>
    <w:rPr>
      <w:rFonts w:ascii="Gill Sans MT" w:hAnsi="Gill Sans MT"/>
      <w:b/>
      <w:sz w:val="32"/>
      <w:szCs w:val="32"/>
    </w:rPr>
  </w:style>
  <w:style w:type="paragraph" w:customStyle="1" w:styleId="Basiccopysl">
    <w:name w:val="Basic copy_sl"/>
    <w:basedOn w:val="Normal"/>
    <w:link w:val="BasiccopyslChar"/>
    <w:qFormat/>
    <w:rsid w:val="009148B6"/>
    <w:pPr>
      <w:spacing w:after="120" w:line="276" w:lineRule="auto"/>
    </w:pPr>
    <w:rPr>
      <w:rFonts w:ascii="Garamond" w:hAnsi="Garamond"/>
    </w:rPr>
  </w:style>
  <w:style w:type="character" w:customStyle="1" w:styleId="Subhead2slChar">
    <w:name w:val="Subhead 2_sl Char"/>
    <w:basedOn w:val="DefaultParagraphFont"/>
    <w:link w:val="Subhead2sl"/>
    <w:rsid w:val="000A183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pPr>
    <w:rPr>
      <w:rFonts w:ascii="Garamond" w:hAnsi="Garamond"/>
    </w:rPr>
  </w:style>
  <w:style w:type="character" w:customStyle="1" w:styleId="BasiccopyslChar">
    <w:name w:val="Basic copy_sl Char"/>
    <w:basedOn w:val="DefaultParagraphFont"/>
    <w:link w:val="Basiccopysl"/>
    <w:rsid w:val="009148B6"/>
    <w:rPr>
      <w:rFonts w:ascii="Garamond" w:eastAsia="Times New Roman" w:hAnsi="Garamond" w:cs="Times New Roman"/>
      <w:sz w:val="24"/>
      <w:szCs w:val="24"/>
    </w:rPr>
  </w:style>
  <w:style w:type="paragraph" w:customStyle="1" w:styleId="Numberedlistsl">
    <w:name w:val="Numbered list_sl"/>
    <w:basedOn w:val="Normal"/>
    <w:link w:val="NumberedlistslChar"/>
    <w:qFormat/>
    <w:rsid w:val="00317735"/>
    <w:pPr>
      <w:numPr>
        <w:numId w:val="2"/>
      </w:numPr>
      <w:spacing w:after="120"/>
      <w:ind w:left="720"/>
    </w:pPr>
    <w:rPr>
      <w:rFonts w:ascii="Garamond" w:hAnsi="Garamond"/>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rFonts w:ascii="Garamond" w:hAnsi="Garamond"/>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rFonts w:ascii="Garamond" w:hAnsi="Garamond"/>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Times New Roman" w:hAnsi="Garamond" w:cs="Times New Roman"/>
      <w:b/>
      <w:sz w:val="24"/>
      <w:szCs w:val="24"/>
    </w:rPr>
  </w:style>
  <w:style w:type="paragraph" w:styleId="ListParagraph">
    <w:name w:val="List Paragraph"/>
    <w:basedOn w:val="Normal"/>
    <w:uiPriority w:val="1"/>
    <w:qFormat/>
    <w:rsid w:val="001D03B0"/>
    <w:pPr>
      <w:ind w:left="720"/>
      <w:contextualSpacing/>
    </w:pPr>
  </w:style>
  <w:style w:type="paragraph" w:customStyle="1" w:styleId="Basiccopyindentedsl">
    <w:name w:val="Basic copy_indented_sl"/>
    <w:basedOn w:val="Basiccopysl"/>
    <w:qFormat/>
    <w:rsid w:val="000A1830"/>
    <w:pPr>
      <w:ind w:left="720"/>
    </w:pPr>
  </w:style>
  <w:style w:type="paragraph" w:customStyle="1" w:styleId="Basiccopycenteredsl">
    <w:name w:val="Basic copy_centered_sl"/>
    <w:basedOn w:val="Basiccopysl"/>
    <w:qFormat/>
    <w:rsid w:val="000A1830"/>
    <w:pPr>
      <w:jc w:val="center"/>
    </w:pPr>
    <w:rPr>
      <w:b/>
    </w:rPr>
  </w:style>
  <w:style w:type="character" w:customStyle="1" w:styleId="Heading2Char">
    <w:name w:val="Heading 2 Char"/>
    <w:basedOn w:val="DefaultParagraphFont"/>
    <w:link w:val="Heading2"/>
    <w:rsid w:val="00374A60"/>
    <w:rPr>
      <w:rFonts w:ascii="Times New Roman" w:eastAsia="Times New Roman" w:hAnsi="Times New Roman" w:cs="Times New Roman"/>
      <w:b/>
      <w:sz w:val="24"/>
      <w:szCs w:val="24"/>
    </w:rPr>
  </w:style>
  <w:style w:type="paragraph" w:styleId="Revision">
    <w:name w:val="Revision"/>
    <w:hidden/>
    <w:uiPriority w:val="99"/>
    <w:semiHidden/>
    <w:rsid w:val="004023FD"/>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CF1A03"/>
    <w:pPr>
      <w:autoSpaceDE w:val="0"/>
      <w:autoSpaceDN w:val="0"/>
      <w:adjustRightInd w:val="0"/>
      <w:spacing w:line="288" w:lineRule="auto"/>
      <w:textAlignment w:val="center"/>
    </w:pPr>
    <w:rPr>
      <w:rFonts w:ascii="Minion Pro" w:eastAsiaTheme="minorHAnsi" w:hAnsi="Minion Pro" w:cs="Minion Pro"/>
      <w:color w:val="000000"/>
    </w:rPr>
  </w:style>
  <w:style w:type="paragraph" w:customStyle="1" w:styleId="Default">
    <w:name w:val="Default"/>
    <w:rsid w:val="000D67FB"/>
    <w:pPr>
      <w:autoSpaceDE w:val="0"/>
      <w:autoSpaceDN w:val="0"/>
      <w:adjustRightInd w:val="0"/>
      <w:spacing w:after="0" w:line="240" w:lineRule="auto"/>
    </w:pPr>
    <w:rPr>
      <w:rFonts w:ascii="Garamond" w:hAnsi="Garamond" w:cs="Garamond"/>
      <w:color w:val="000000"/>
      <w:sz w:val="24"/>
      <w:szCs w:val="24"/>
    </w:rPr>
  </w:style>
  <w:style w:type="character" w:customStyle="1" w:styleId="A0">
    <w:name w:val="A0"/>
    <w:uiPriority w:val="99"/>
    <w:rsid w:val="000D67FB"/>
    <w:rPr>
      <w:rFonts w:cs="Garamond"/>
      <w:color w:val="221E1F"/>
      <w:sz w:val="22"/>
      <w:szCs w:val="22"/>
    </w:rPr>
  </w:style>
  <w:style w:type="character" w:customStyle="1" w:styleId="UnresolvedMention1">
    <w:name w:val="Unresolved Mention1"/>
    <w:basedOn w:val="DefaultParagraphFont"/>
    <w:uiPriority w:val="99"/>
    <w:semiHidden/>
    <w:unhideWhenUsed/>
    <w:rsid w:val="00FB7E5E"/>
    <w:rPr>
      <w:color w:val="605E5C"/>
      <w:shd w:val="clear" w:color="auto" w:fill="E1DFDD"/>
    </w:rPr>
  </w:style>
  <w:style w:type="character" w:customStyle="1" w:styleId="Heading4Char">
    <w:name w:val="Heading 4 Char"/>
    <w:basedOn w:val="DefaultParagraphFont"/>
    <w:link w:val="Heading4"/>
    <w:uiPriority w:val="9"/>
    <w:semiHidden/>
    <w:rsid w:val="0070144E"/>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70144E"/>
    <w:rPr>
      <w:rFonts w:asciiTheme="majorHAnsi" w:eastAsiaTheme="majorEastAsia" w:hAnsiTheme="majorHAnsi" w:cstheme="majorBidi"/>
      <w:color w:val="365F91" w:themeColor="accent1" w:themeShade="BF"/>
      <w:sz w:val="24"/>
      <w:szCs w:val="24"/>
    </w:rPr>
  </w:style>
  <w:style w:type="paragraph" w:styleId="NormalWeb">
    <w:name w:val="Normal (Web)"/>
    <w:basedOn w:val="Normal"/>
    <w:uiPriority w:val="99"/>
    <w:unhideWhenUsed/>
    <w:rsid w:val="0070144E"/>
    <w:pPr>
      <w:spacing w:before="100" w:beforeAutospacing="1" w:after="100" w:afterAutospacing="1"/>
    </w:pPr>
  </w:style>
  <w:style w:type="character" w:styleId="Emphasis">
    <w:name w:val="Emphasis"/>
    <w:basedOn w:val="DefaultParagraphFont"/>
    <w:uiPriority w:val="20"/>
    <w:qFormat/>
    <w:rsid w:val="00434FB6"/>
    <w:rPr>
      <w:i/>
      <w:iCs/>
    </w:rPr>
  </w:style>
  <w:style w:type="character" w:styleId="Strong">
    <w:name w:val="Strong"/>
    <w:basedOn w:val="DefaultParagraphFont"/>
    <w:uiPriority w:val="22"/>
    <w:qFormat/>
    <w:rsid w:val="00434FB6"/>
    <w:rPr>
      <w:b/>
      <w:bCs/>
    </w:rPr>
  </w:style>
  <w:style w:type="character" w:styleId="CommentReference">
    <w:name w:val="annotation reference"/>
    <w:basedOn w:val="DefaultParagraphFont"/>
    <w:uiPriority w:val="99"/>
    <w:semiHidden/>
    <w:unhideWhenUsed/>
    <w:rsid w:val="002037BC"/>
    <w:rPr>
      <w:sz w:val="16"/>
      <w:szCs w:val="16"/>
    </w:rPr>
  </w:style>
  <w:style w:type="paragraph" w:styleId="CommentText">
    <w:name w:val="annotation text"/>
    <w:basedOn w:val="Normal"/>
    <w:link w:val="CommentTextChar"/>
    <w:uiPriority w:val="99"/>
    <w:semiHidden/>
    <w:unhideWhenUsed/>
    <w:rsid w:val="002037BC"/>
    <w:rPr>
      <w:sz w:val="20"/>
      <w:szCs w:val="20"/>
    </w:rPr>
  </w:style>
  <w:style w:type="character" w:customStyle="1" w:styleId="CommentTextChar">
    <w:name w:val="Comment Text Char"/>
    <w:basedOn w:val="DefaultParagraphFont"/>
    <w:link w:val="CommentText"/>
    <w:uiPriority w:val="99"/>
    <w:semiHidden/>
    <w:rsid w:val="002037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7BC"/>
    <w:rPr>
      <w:b/>
      <w:bCs/>
    </w:rPr>
  </w:style>
  <w:style w:type="character" w:customStyle="1" w:styleId="CommentSubjectChar">
    <w:name w:val="Comment Subject Char"/>
    <w:basedOn w:val="CommentTextChar"/>
    <w:link w:val="CommentSubject"/>
    <w:uiPriority w:val="99"/>
    <w:semiHidden/>
    <w:rsid w:val="002037BC"/>
    <w:rPr>
      <w:rFonts w:ascii="Times New Roman" w:eastAsia="Times New Roman" w:hAnsi="Times New Roman" w:cs="Times New Roman"/>
      <w:b/>
      <w:bCs/>
      <w:sz w:val="20"/>
      <w:szCs w:val="20"/>
    </w:rPr>
  </w:style>
  <w:style w:type="table" w:styleId="TableGrid">
    <w:name w:val="Table Grid"/>
    <w:basedOn w:val="TableNormal"/>
    <w:uiPriority w:val="59"/>
    <w:rsid w:val="00B71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605489">
      <w:bodyDiv w:val="1"/>
      <w:marLeft w:val="0"/>
      <w:marRight w:val="0"/>
      <w:marTop w:val="0"/>
      <w:marBottom w:val="0"/>
      <w:divBdr>
        <w:top w:val="none" w:sz="0" w:space="0" w:color="auto"/>
        <w:left w:val="none" w:sz="0" w:space="0" w:color="auto"/>
        <w:bottom w:val="none" w:sz="0" w:space="0" w:color="auto"/>
        <w:right w:val="none" w:sz="0" w:space="0" w:color="auto"/>
      </w:divBdr>
      <w:divsChild>
        <w:div w:id="1140003672">
          <w:marLeft w:val="547"/>
          <w:marRight w:val="0"/>
          <w:marTop w:val="134"/>
          <w:marBottom w:val="0"/>
          <w:divBdr>
            <w:top w:val="none" w:sz="0" w:space="0" w:color="auto"/>
            <w:left w:val="none" w:sz="0" w:space="0" w:color="auto"/>
            <w:bottom w:val="none" w:sz="0" w:space="0" w:color="auto"/>
            <w:right w:val="none" w:sz="0" w:space="0" w:color="auto"/>
          </w:divBdr>
        </w:div>
        <w:div w:id="1330863782">
          <w:marLeft w:val="547"/>
          <w:marRight w:val="0"/>
          <w:marTop w:val="134"/>
          <w:marBottom w:val="0"/>
          <w:divBdr>
            <w:top w:val="none" w:sz="0" w:space="0" w:color="auto"/>
            <w:left w:val="none" w:sz="0" w:space="0" w:color="auto"/>
            <w:bottom w:val="none" w:sz="0" w:space="0" w:color="auto"/>
            <w:right w:val="none" w:sz="0" w:space="0" w:color="auto"/>
          </w:divBdr>
        </w:div>
      </w:divsChild>
    </w:div>
    <w:div w:id="1213466498">
      <w:bodyDiv w:val="1"/>
      <w:marLeft w:val="0"/>
      <w:marRight w:val="0"/>
      <w:marTop w:val="0"/>
      <w:marBottom w:val="0"/>
      <w:divBdr>
        <w:top w:val="none" w:sz="0" w:space="0" w:color="auto"/>
        <w:left w:val="none" w:sz="0" w:space="0" w:color="auto"/>
        <w:bottom w:val="none" w:sz="0" w:space="0" w:color="auto"/>
        <w:right w:val="none" w:sz="0" w:space="0" w:color="auto"/>
      </w:divBdr>
    </w:div>
    <w:div w:id="1481844178">
      <w:bodyDiv w:val="1"/>
      <w:marLeft w:val="0"/>
      <w:marRight w:val="0"/>
      <w:marTop w:val="0"/>
      <w:marBottom w:val="0"/>
      <w:divBdr>
        <w:top w:val="none" w:sz="0" w:space="0" w:color="auto"/>
        <w:left w:val="none" w:sz="0" w:space="0" w:color="auto"/>
        <w:bottom w:val="none" w:sz="0" w:space="0" w:color="auto"/>
        <w:right w:val="none" w:sz="0" w:space="0" w:color="auto"/>
      </w:divBdr>
    </w:div>
    <w:div w:id="1522668398">
      <w:bodyDiv w:val="1"/>
      <w:marLeft w:val="0"/>
      <w:marRight w:val="0"/>
      <w:marTop w:val="0"/>
      <w:marBottom w:val="0"/>
      <w:divBdr>
        <w:top w:val="none" w:sz="0" w:space="0" w:color="auto"/>
        <w:left w:val="none" w:sz="0" w:space="0" w:color="auto"/>
        <w:bottom w:val="none" w:sz="0" w:space="0" w:color="auto"/>
        <w:right w:val="none" w:sz="0" w:space="0" w:color="auto"/>
      </w:divBdr>
    </w:div>
    <w:div w:id="2135634149">
      <w:bodyDiv w:val="1"/>
      <w:marLeft w:val="0"/>
      <w:marRight w:val="0"/>
      <w:marTop w:val="0"/>
      <w:marBottom w:val="0"/>
      <w:divBdr>
        <w:top w:val="none" w:sz="0" w:space="0" w:color="auto"/>
        <w:left w:val="none" w:sz="0" w:space="0" w:color="auto"/>
        <w:bottom w:val="none" w:sz="0" w:space="0" w:color="auto"/>
        <w:right w:val="none" w:sz="0" w:space="0" w:color="auto"/>
      </w:divBdr>
      <w:divsChild>
        <w:div w:id="1631550133">
          <w:marLeft w:val="547"/>
          <w:marRight w:val="0"/>
          <w:marTop w:val="125"/>
          <w:marBottom w:val="0"/>
          <w:divBdr>
            <w:top w:val="none" w:sz="0" w:space="0" w:color="auto"/>
            <w:left w:val="none" w:sz="0" w:space="0" w:color="auto"/>
            <w:bottom w:val="none" w:sz="0" w:space="0" w:color="auto"/>
            <w:right w:val="none" w:sz="0" w:space="0" w:color="auto"/>
          </w:divBdr>
        </w:div>
        <w:div w:id="333916179">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86809-6534-46E6-B221-3F2DCD151A66}"/>
</file>

<file path=customXml/itemProps2.xml><?xml version="1.0" encoding="utf-8"?>
<ds:datastoreItem xmlns:ds="http://schemas.openxmlformats.org/officeDocument/2006/customXml" ds:itemID="{CFBDD6BA-83E1-43C1-B899-C2BA2475AB61}">
  <ds:schemaRefs>
    <ds:schemaRef ds:uri="http://schemas.microsoft.com/sharepoint/v3/contenttype/forms"/>
  </ds:schemaRefs>
</ds:datastoreItem>
</file>

<file path=customXml/itemProps3.xml><?xml version="1.0" encoding="utf-8"?>
<ds:datastoreItem xmlns:ds="http://schemas.openxmlformats.org/officeDocument/2006/customXml" ds:itemID="{24AB0BCC-DFB2-471A-8628-73736CBE4B49}">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494134C4-B942-9C49-B7EA-263B4E2A0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7</cp:revision>
  <cp:lastPrinted>2018-10-24T20:38:00Z</cp:lastPrinted>
  <dcterms:created xsi:type="dcterms:W3CDTF">2020-09-15T20:31:00Z</dcterms:created>
  <dcterms:modified xsi:type="dcterms:W3CDTF">2020-09-16T12:46:00Z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0x010100C2E8957C50B509419C47FA4575E8EAD0</vt:lpwstr>
  </property>
</Properties>
</file>