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71FF720F" w:rsidR="007415D6" w:rsidRPr="00EF0C9F" w:rsidRDefault="009C4B9C" w:rsidP="00EF0C9F">
      <w:pPr>
        <w:pStyle w:val="Title1sl"/>
        <w:pBdr>
          <w:bottom w:val="single" w:sz="12" w:space="1" w:color="auto"/>
        </w:pBdr>
        <w:spacing w:before="240"/>
        <w:rPr>
          <w:i/>
          <w:iCs/>
          <w:sz w:val="40"/>
          <w:szCs w:val="40"/>
        </w:rPr>
      </w:pPr>
      <w:r w:rsidRPr="00EF0C9F">
        <w:rPr>
          <w:i/>
          <w:iCs/>
          <w:sz w:val="40"/>
          <w:szCs w:val="40"/>
        </w:rPr>
        <w:t>Korematsu</w:t>
      </w:r>
      <w:r w:rsidR="007415D6" w:rsidRPr="00EF0C9F">
        <w:rPr>
          <w:i/>
          <w:iCs/>
          <w:sz w:val="40"/>
          <w:szCs w:val="40"/>
        </w:rPr>
        <w:t xml:space="preserve"> v. United States</w:t>
      </w:r>
      <w:r w:rsidR="00F64E56" w:rsidRPr="00EF0C9F">
        <w:rPr>
          <w:sz w:val="40"/>
          <w:szCs w:val="40"/>
        </w:rPr>
        <w:t xml:space="preserve"> /</w:t>
      </w:r>
      <w:r w:rsidR="007A7F2A" w:rsidRPr="00EF0C9F">
        <w:rPr>
          <w:sz w:val="40"/>
          <w:szCs w:val="40"/>
        </w:rPr>
        <w:t xml:space="preserve"> Excerpts from </w:t>
      </w:r>
      <w:r w:rsidR="00181BC8" w:rsidRPr="00EF0C9F">
        <w:rPr>
          <w:sz w:val="40"/>
          <w:szCs w:val="40"/>
        </w:rPr>
        <w:t>Dissenting</w:t>
      </w:r>
      <w:r w:rsidR="007A7F2A" w:rsidRPr="00EF0C9F">
        <w:rPr>
          <w:sz w:val="40"/>
          <w:szCs w:val="40"/>
        </w:rPr>
        <w:t xml:space="preserve"> </w:t>
      </w:r>
      <w:r w:rsidR="00630DFD" w:rsidRPr="00EF0C9F">
        <w:rPr>
          <w:sz w:val="40"/>
          <w:szCs w:val="40"/>
        </w:rPr>
        <w:t>Opinion</w:t>
      </w:r>
    </w:p>
    <w:p w14:paraId="6411F7D0" w14:textId="711261D4" w:rsidR="00EF0C9F" w:rsidRDefault="00EF0C9F" w:rsidP="00EF0C9F">
      <w:pPr>
        <w:pStyle w:val="Subhead2sl"/>
        <w:spacing w:before="360"/>
      </w:pPr>
      <w:r>
        <w:t xml:space="preserve">The following are excerpts from Justice Murphy’s dissent: </w:t>
      </w:r>
    </w:p>
    <w:p w14:paraId="1762A365" w14:textId="09B7E10B" w:rsidR="00776930" w:rsidRP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 xml:space="preserve">This exclusion of </w:t>
      </w:r>
      <w:r w:rsidR="00EF0C9F">
        <w:rPr>
          <w:rFonts w:ascii="Garamond" w:eastAsia="Times New Roman" w:hAnsi="Garamond" w:cs="Times New Roman"/>
          <w:color w:val="000000"/>
          <w:sz w:val="25"/>
          <w:szCs w:val="25"/>
        </w:rPr>
        <w:t>“</w:t>
      </w:r>
      <w:r w:rsidRPr="00EF0C9F">
        <w:rPr>
          <w:rFonts w:ascii="Garamond" w:eastAsia="Times New Roman" w:hAnsi="Garamond" w:cs="Times New Roman"/>
          <w:color w:val="000000"/>
          <w:sz w:val="25"/>
          <w:szCs w:val="25"/>
        </w:rPr>
        <w:t>all persons of Japanese ancestry, both alien and non-alien,</w:t>
      </w:r>
      <w:r w:rsidR="00EF0C9F">
        <w:rPr>
          <w:rFonts w:ascii="Garamond" w:eastAsia="Times New Roman" w:hAnsi="Garamond" w:cs="Times New Roman"/>
          <w:color w:val="000000"/>
          <w:sz w:val="25"/>
          <w:szCs w:val="25"/>
        </w:rPr>
        <w:t>”</w:t>
      </w:r>
      <w:r w:rsidRPr="00EF0C9F">
        <w:rPr>
          <w:rFonts w:ascii="Garamond" w:eastAsia="Times New Roman" w:hAnsi="Garamond" w:cs="Times New Roman"/>
          <w:color w:val="000000"/>
          <w:sz w:val="25"/>
          <w:szCs w:val="25"/>
        </w:rPr>
        <w:t xml:space="preserve"> from the Pacific Coast area on a plea of military necessity in the absence of martial law ought not to be approved. Such exclusion goes over </w:t>
      </w:r>
      <w:r w:rsidR="00EF0C9F">
        <w:rPr>
          <w:rFonts w:ascii="Garamond" w:eastAsia="Times New Roman" w:hAnsi="Garamond" w:cs="Times New Roman"/>
          <w:color w:val="000000"/>
          <w:sz w:val="25"/>
          <w:szCs w:val="25"/>
        </w:rPr>
        <w:t>“</w:t>
      </w:r>
      <w:r w:rsidRPr="00EF0C9F">
        <w:rPr>
          <w:rFonts w:ascii="Garamond" w:eastAsia="Times New Roman" w:hAnsi="Garamond" w:cs="Times New Roman"/>
          <w:color w:val="000000"/>
          <w:sz w:val="25"/>
          <w:szCs w:val="25"/>
        </w:rPr>
        <w:t>the very brink of constitutional power</w:t>
      </w:r>
      <w:r w:rsidR="00EF0C9F">
        <w:rPr>
          <w:rFonts w:ascii="Garamond" w:eastAsia="Times New Roman" w:hAnsi="Garamond" w:cs="Times New Roman"/>
          <w:color w:val="000000"/>
          <w:sz w:val="25"/>
          <w:szCs w:val="25"/>
        </w:rPr>
        <w:t>”</w:t>
      </w:r>
      <w:r w:rsidRPr="00EF0C9F">
        <w:rPr>
          <w:rFonts w:ascii="Garamond" w:eastAsia="Times New Roman" w:hAnsi="Garamond" w:cs="Times New Roman"/>
          <w:color w:val="000000"/>
          <w:sz w:val="25"/>
          <w:szCs w:val="25"/>
        </w:rPr>
        <w:t xml:space="preserve"> and falls into the ugly abyss of racism.</w:t>
      </w:r>
    </w:p>
    <w:p w14:paraId="3E230899" w14:textId="48565E7D" w:rsidR="00776930" w:rsidRP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In dealing with matters relating to the prosecution and progress of a war, we must accord great respect and consideration to the judgments of the military authorities who are on the scene and who have full knowledge of the military facts</w:t>
      </w:r>
      <w:r w:rsidR="00EF0C9F">
        <w:rPr>
          <w:rFonts w:ascii="Garamond" w:eastAsia="Times New Roman" w:hAnsi="Garamond" w:cs="Times New Roman"/>
          <w:color w:val="000000"/>
          <w:sz w:val="25"/>
          <w:szCs w:val="25"/>
        </w:rPr>
        <w:t>.</w:t>
      </w:r>
    </w:p>
    <w:p w14:paraId="2190E1BA" w14:textId="77777777" w:rsid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At the same time, however, it is essential that there be definite limits to military discretion, especially where martial law has not been declared. Individuals must not be left impoverished of their constitutional rights on a plea of military necessity that has neither substance nor support</w:t>
      </w:r>
      <w:r w:rsidR="00EF0C9F">
        <w:rPr>
          <w:rFonts w:ascii="Garamond" w:eastAsia="Times New Roman" w:hAnsi="Garamond" w:cs="Times New Roman"/>
          <w:color w:val="000000"/>
          <w:sz w:val="25"/>
          <w:szCs w:val="25"/>
        </w:rPr>
        <w:t>.</w:t>
      </w:r>
    </w:p>
    <w:p w14:paraId="6519A37D" w14:textId="07A2CF31" w:rsidR="00776930" w:rsidRP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 xml:space="preserve">Being an obvious racial discrimination, the order deprives all those within its scope of the equal protection of the laws as guaranteed by the Fifth Amendment. It further deprives these individuals of their constitutional rights to live and work where they will, to establish a home where they choose and to move about freely. In excommunicating them without benefit of hearings, this order also deprives them of all their constitutional rights to procedural due process. Yet no reasonable relation to an </w:t>
      </w:r>
      <w:r w:rsidR="00EF0C9F">
        <w:rPr>
          <w:rFonts w:ascii="Garamond" w:eastAsia="Times New Roman" w:hAnsi="Garamond" w:cs="Times New Roman"/>
          <w:color w:val="000000"/>
          <w:sz w:val="25"/>
          <w:szCs w:val="25"/>
        </w:rPr>
        <w:t>“</w:t>
      </w:r>
      <w:r w:rsidRPr="00EF0C9F">
        <w:rPr>
          <w:rFonts w:ascii="Garamond" w:eastAsia="Times New Roman" w:hAnsi="Garamond" w:cs="Times New Roman"/>
          <w:color w:val="000000"/>
          <w:sz w:val="25"/>
          <w:szCs w:val="25"/>
        </w:rPr>
        <w:t>immediate, imminent, and impending</w:t>
      </w:r>
      <w:r w:rsidR="00EF0C9F">
        <w:rPr>
          <w:rFonts w:ascii="Garamond" w:eastAsia="Times New Roman" w:hAnsi="Garamond" w:cs="Times New Roman"/>
          <w:color w:val="000000"/>
          <w:sz w:val="25"/>
          <w:szCs w:val="25"/>
        </w:rPr>
        <w:t>”</w:t>
      </w:r>
      <w:r w:rsidRPr="00EF0C9F">
        <w:rPr>
          <w:rFonts w:ascii="Garamond" w:eastAsia="Times New Roman" w:hAnsi="Garamond" w:cs="Times New Roman"/>
          <w:color w:val="000000"/>
          <w:sz w:val="25"/>
          <w:szCs w:val="25"/>
        </w:rPr>
        <w:t xml:space="preserve"> public danger is evident to support this racial restriction which is one of the most sweeping and complete deprivations of constitutional rights in the history of this nation in the absence of martial law.</w:t>
      </w:r>
    </w:p>
    <w:p w14:paraId="23A1E73A" w14:textId="7B76E6EE" w:rsidR="00776930" w:rsidRP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 xml:space="preserve">The main reasons relied upon by those responsible for the forced evacuation, therefore, do not prove a reasonable relation between the group characteristics of Japanese Americans and the dangers of invasion, </w:t>
      </w:r>
      <w:proofErr w:type="gramStart"/>
      <w:r w:rsidRPr="00EF0C9F">
        <w:rPr>
          <w:rFonts w:ascii="Garamond" w:eastAsia="Times New Roman" w:hAnsi="Garamond" w:cs="Times New Roman"/>
          <w:color w:val="000000"/>
          <w:sz w:val="25"/>
          <w:szCs w:val="25"/>
        </w:rPr>
        <w:t>sabotage</w:t>
      </w:r>
      <w:proofErr w:type="gramEnd"/>
      <w:r w:rsidRPr="00EF0C9F">
        <w:rPr>
          <w:rFonts w:ascii="Garamond" w:eastAsia="Times New Roman" w:hAnsi="Garamond" w:cs="Times New Roman"/>
          <w:color w:val="000000"/>
          <w:sz w:val="25"/>
          <w:szCs w:val="25"/>
        </w:rPr>
        <w:t xml:space="preserve"> and espionage. The reasons appear, instead, to be largely an accumulation of much of the misinformation, half-truths and insinuations that for years have been directed against Japanese Americans by people with racial and economic prejudices—the same people who have been among the foremost advocates of the evacuation. </w:t>
      </w:r>
      <w:bookmarkStart w:id="0" w:name="T12"/>
      <w:bookmarkEnd w:id="0"/>
      <w:r w:rsidRPr="00EF0C9F">
        <w:rPr>
          <w:rFonts w:ascii="Garamond" w:eastAsia="Times New Roman" w:hAnsi="Garamond" w:cs="Times New Roman"/>
          <w:color w:val="000000"/>
          <w:sz w:val="25"/>
          <w:szCs w:val="25"/>
        </w:rPr>
        <w:t>A military judgment based upon such racial and sociological considerations is not entitled to the great weight ordinarily given the judgments based upon strictly military considerations. Especially is this so when every charge relative to race, religion, culture, geographical location, and legal and economic status has been substantially discredited by independent studies made by experts in these matters.</w:t>
      </w:r>
    </w:p>
    <w:p w14:paraId="1530565E" w14:textId="1B86288E" w:rsidR="00776930" w:rsidRP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 xml:space="preserve">No one denies, of course, that there were some disloyal persons of Japanese descent on the Pacific Coast who did all in their power to aid their ancestral land. Similar disloyal activities have been engaged in by many persons of German, Italian and even more pioneer stock in our </w:t>
      </w:r>
      <w:r w:rsidRPr="00EF0C9F">
        <w:rPr>
          <w:rFonts w:ascii="Garamond" w:eastAsia="Times New Roman" w:hAnsi="Garamond" w:cs="Times New Roman"/>
          <w:color w:val="000000"/>
          <w:sz w:val="25"/>
          <w:szCs w:val="25"/>
        </w:rPr>
        <w:lastRenderedPageBreak/>
        <w:t>country. But to infer that examples of individual disloyalty prove group disloyalty and justify discriminatory action against the entire group is to deny that under our system of law individual guilt is the sole basis for deprivation of rights. Moreover, this inference, which is at the very heart of the evacuation orders, has been used in support of the abhorrent and despicable treatment of minority groups by the dictatorial tyrannies which this nation is now pledged to destroy. To give constitutional sanction to that inference in this case, however well-intentioned may have been the military command on the Pacific Coast, is to adopt one of the cruelest of the rationales used by our enemies to destroy the dignity of the individual and to encourage and open the door to discriminatory actions against other minority groups in the passions of tomorrow.</w:t>
      </w:r>
    </w:p>
    <w:p w14:paraId="7A6E13C2" w14:textId="0C450EE3" w:rsidR="00776930" w:rsidRP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No adequate reason is given for the failure to treat these Japanese Americans on an individual basis by holding investigations and hearings to separate the loyal from the disloyal, as was done in the case of persons of German and Italian ancestry</w:t>
      </w:r>
      <w:r w:rsidR="00EF0C9F">
        <w:rPr>
          <w:rFonts w:ascii="Garamond" w:eastAsia="Times New Roman" w:hAnsi="Garamond" w:cs="Times New Roman"/>
          <w:color w:val="000000"/>
          <w:sz w:val="25"/>
          <w:szCs w:val="25"/>
        </w:rPr>
        <w:t>.</w:t>
      </w:r>
    </w:p>
    <w:p w14:paraId="6BF901D8" w14:textId="77777777" w:rsidR="00776930" w:rsidRPr="00EF0C9F" w:rsidRDefault="00776930" w:rsidP="00EF0C9F">
      <w:pPr>
        <w:shd w:val="clear" w:color="auto" w:fill="FFFFFF"/>
        <w:spacing w:after="120"/>
        <w:rPr>
          <w:rFonts w:ascii="Garamond" w:eastAsia="Times New Roman" w:hAnsi="Garamond" w:cs="Times New Roman"/>
          <w:color w:val="000000"/>
          <w:sz w:val="25"/>
          <w:szCs w:val="25"/>
        </w:rPr>
      </w:pPr>
      <w:r w:rsidRPr="00EF0C9F">
        <w:rPr>
          <w:rFonts w:ascii="Garamond" w:eastAsia="Times New Roman" w:hAnsi="Garamond" w:cs="Times New Roman"/>
          <w:color w:val="000000"/>
          <w:sz w:val="25"/>
          <w:szCs w:val="25"/>
        </w:rPr>
        <w:t xml:space="preserve">I dissent, therefore, from this legalization of racism. Racial discrimination in any form and in any degree has no justifiable part whatever in our democratic way of life. It is unattractive in any </w:t>
      </w:r>
      <w:proofErr w:type="gramStart"/>
      <w:r w:rsidRPr="00EF0C9F">
        <w:rPr>
          <w:rFonts w:ascii="Garamond" w:eastAsia="Times New Roman" w:hAnsi="Garamond" w:cs="Times New Roman"/>
          <w:color w:val="000000"/>
          <w:sz w:val="25"/>
          <w:szCs w:val="25"/>
        </w:rPr>
        <w:t>setting</w:t>
      </w:r>
      <w:proofErr w:type="gramEnd"/>
      <w:r w:rsidRPr="00EF0C9F">
        <w:rPr>
          <w:rFonts w:ascii="Garamond" w:eastAsia="Times New Roman" w:hAnsi="Garamond" w:cs="Times New Roman"/>
          <w:color w:val="000000"/>
          <w:sz w:val="25"/>
          <w:szCs w:val="25"/>
        </w:rPr>
        <w:t xml:space="preserve"> but it is utterly revolting among a free people who have embraced the principles set forth in the Constitution of the United States. All residents of this nation are kin in some way by blood or culture to a foreign land. Yet they are primarily and necessarily a part of the new and distinct civilization of the United States. They must accordingly be treated at all times as the heirs of the American experiment and as entitled to all the rights and freedoms guaranteed by the Constitution.</w:t>
      </w:r>
    </w:p>
    <w:p w14:paraId="73377F29" w14:textId="4989B686" w:rsidR="00630DFD" w:rsidRPr="00EF0C9F" w:rsidRDefault="007A7F2A" w:rsidP="00EF0C9F">
      <w:pPr>
        <w:pStyle w:val="Subhead1sl"/>
      </w:pPr>
      <w:r w:rsidRPr="00EF0C9F">
        <w:t>Questions to Consider</w:t>
      </w:r>
    </w:p>
    <w:p w14:paraId="4BB22FCE" w14:textId="77777777" w:rsidR="00F0330F" w:rsidRPr="00EF0C9F" w:rsidRDefault="00F0330F" w:rsidP="00EF0C9F">
      <w:pPr>
        <w:pStyle w:val="Numberedlistsl"/>
        <w:spacing w:after="1800" w:line="276" w:lineRule="auto"/>
        <w:ind w:left="360"/>
        <w:rPr>
          <w:sz w:val="25"/>
          <w:szCs w:val="25"/>
        </w:rPr>
      </w:pPr>
      <w:r w:rsidRPr="00EF0C9F">
        <w:rPr>
          <w:sz w:val="25"/>
          <w:szCs w:val="25"/>
        </w:rPr>
        <w:t>Why does Justice Murphy believe that the Court should not defer to the military decisions in this case?</w:t>
      </w:r>
    </w:p>
    <w:p w14:paraId="0DE0BD38" w14:textId="77777777" w:rsidR="00F0330F" w:rsidRPr="00EF0C9F" w:rsidRDefault="00F0330F" w:rsidP="00EF0C9F">
      <w:pPr>
        <w:pStyle w:val="Numberedlistsl"/>
        <w:spacing w:after="1800" w:line="276" w:lineRule="auto"/>
        <w:ind w:left="360"/>
        <w:rPr>
          <w:sz w:val="25"/>
          <w:szCs w:val="25"/>
        </w:rPr>
      </w:pPr>
      <w:r w:rsidRPr="00EF0C9F">
        <w:rPr>
          <w:sz w:val="25"/>
          <w:szCs w:val="25"/>
        </w:rPr>
        <w:t>What rights does Justice Murphy claim are affected by the evacuation order?</w:t>
      </w:r>
    </w:p>
    <w:p w14:paraId="01C7B67C" w14:textId="5058D8E1" w:rsidR="00F0330F" w:rsidRPr="00EF0C9F" w:rsidRDefault="00F0330F" w:rsidP="00EF0C9F">
      <w:pPr>
        <w:pStyle w:val="Numberedlistsl"/>
        <w:spacing w:after="1800" w:line="276" w:lineRule="auto"/>
        <w:ind w:left="360"/>
        <w:rPr>
          <w:sz w:val="25"/>
          <w:szCs w:val="25"/>
        </w:rPr>
      </w:pPr>
      <w:r w:rsidRPr="00EF0C9F">
        <w:rPr>
          <w:sz w:val="25"/>
          <w:szCs w:val="25"/>
        </w:rPr>
        <w:lastRenderedPageBreak/>
        <w:t>Justice Murphy acknowledges that there are some disloyal persons in the United States. How does he believe the government should treat such disloyalty?</w:t>
      </w:r>
    </w:p>
    <w:p w14:paraId="65B05BCE" w14:textId="7B851556" w:rsidR="00F0330F" w:rsidRPr="00EF0C9F" w:rsidRDefault="00F0330F" w:rsidP="00EF0C9F">
      <w:pPr>
        <w:pStyle w:val="Numberedlistsl"/>
        <w:spacing w:after="1800" w:line="276" w:lineRule="auto"/>
        <w:ind w:left="360"/>
        <w:rPr>
          <w:sz w:val="25"/>
          <w:szCs w:val="25"/>
        </w:rPr>
      </w:pPr>
      <w:r w:rsidRPr="00EF0C9F">
        <w:rPr>
          <w:sz w:val="25"/>
          <w:szCs w:val="25"/>
        </w:rPr>
        <w:t>Justice Murphy accuses the American government of engaging in the same type of racism and discrimination as the United States’ World War II enemies. Research some of the discriminatory activities in which Germany, Italy, and Japan were engaged during World War II.  Do you agree with Justice Murphy’s comparison? Explain your answer.</w:t>
      </w:r>
    </w:p>
    <w:p w14:paraId="5E4FAF6C" w14:textId="2CAF3137" w:rsidR="00630DFD" w:rsidRPr="007A7F2A" w:rsidRDefault="00630DFD" w:rsidP="00F0330F">
      <w:pPr>
        <w:pStyle w:val="Numberedlistwroomforanswerssl"/>
        <w:numPr>
          <w:ilvl w:val="0"/>
          <w:numId w:val="0"/>
        </w:numPr>
        <w:ind w:left="360"/>
      </w:pPr>
    </w:p>
    <w:sectPr w:rsidR="00630DFD" w:rsidRPr="007A7F2A"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8498" w14:textId="77777777" w:rsidR="00CC33C1" w:rsidRDefault="00CC33C1" w:rsidP="0078549D">
      <w:pPr>
        <w:spacing w:after="0" w:line="240" w:lineRule="auto"/>
      </w:pPr>
      <w:r>
        <w:separator/>
      </w:r>
    </w:p>
  </w:endnote>
  <w:endnote w:type="continuationSeparator" w:id="0">
    <w:p w14:paraId="55219FE7" w14:textId="77777777" w:rsidR="00CC33C1" w:rsidRDefault="00CC33C1"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5194" w14:textId="3E6F7E6B" w:rsidR="00987C93" w:rsidRPr="00EF0C9F" w:rsidRDefault="00CC33C1">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EF0C9F">
          <w:rPr>
            <w:rStyle w:val="BasiccopyslChar"/>
            <w:sz w:val="22"/>
            <w:szCs w:val="22"/>
          </w:rPr>
          <w:t>© 2020 Street Law, Inc.</w:t>
        </w:r>
        <w:r w:rsidR="00E64542" w:rsidRPr="00EF0C9F">
          <w:rPr>
            <w:rStyle w:val="BasiccopyslChar"/>
            <w:sz w:val="22"/>
            <w:szCs w:val="22"/>
          </w:rPr>
          <w:tab/>
        </w:r>
        <w:r w:rsidR="00E64542" w:rsidRPr="00EF0C9F">
          <w:rPr>
            <w:rStyle w:val="BasiccopyslChar"/>
            <w:sz w:val="22"/>
            <w:szCs w:val="22"/>
          </w:rPr>
          <w:tab/>
          <w:t xml:space="preserve"> Last updated: </w:t>
        </w:r>
      </w:sdtContent>
    </w:sdt>
    <w:r w:rsidR="00EF0C9F" w:rsidRPr="00EF0C9F">
      <w:rPr>
        <w:rStyle w:val="BasiccopyslChar"/>
        <w:sz w:val="22"/>
        <w:szCs w:val="22"/>
      </w:rPr>
      <w:t>07/23/2020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E2D88" w14:textId="77777777" w:rsidR="00CC33C1" w:rsidRDefault="00CC33C1" w:rsidP="0078549D">
      <w:pPr>
        <w:spacing w:after="0" w:line="240" w:lineRule="auto"/>
      </w:pPr>
      <w:r>
        <w:separator/>
      </w:r>
    </w:p>
  </w:footnote>
  <w:footnote w:type="continuationSeparator" w:id="0">
    <w:p w14:paraId="067BBF10" w14:textId="77777777" w:rsidR="00CC33C1" w:rsidRDefault="00CC33C1"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0173CD85" w:rsidR="00F64E56" w:rsidRPr="00EF0C9F" w:rsidRDefault="00EF0C9F" w:rsidP="00EF0C9F">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Korematsu v. United States </w:t>
    </w:r>
    <w:r w:rsidRPr="00987C93">
      <w:rPr>
        <w:sz w:val="22"/>
        <w:szCs w:val="22"/>
      </w:rPr>
      <w:t>/</w:t>
    </w:r>
    <w:r>
      <w:rPr>
        <w:sz w:val="22"/>
        <w:szCs w:val="22"/>
      </w:rPr>
      <w:t xml:space="preserve"> Excerpts from Dissenting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50EAD18B"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7A7F2A">
      <w:rPr>
        <w:sz w:val="22"/>
        <w:szCs w:val="22"/>
      </w:rPr>
      <w:t xml:space="preserve">        </w:t>
    </w:r>
    <w:r w:rsidR="00EA5716">
      <w:rPr>
        <w:i/>
        <w:iCs/>
        <w:sz w:val="22"/>
        <w:szCs w:val="22"/>
      </w:rPr>
      <w:t>Korematsu</w:t>
    </w:r>
    <w:r w:rsidR="007415D6">
      <w:rPr>
        <w:i/>
        <w:iCs/>
        <w:sz w:val="22"/>
        <w:szCs w:val="22"/>
      </w:rPr>
      <w:t xml:space="preserve"> v. United States</w:t>
    </w:r>
    <w:r>
      <w:rPr>
        <w:i/>
        <w:iCs/>
        <w:sz w:val="22"/>
        <w:szCs w:val="22"/>
      </w:rPr>
      <w:t xml:space="preserve"> </w:t>
    </w:r>
    <w:r w:rsidRPr="00987C93">
      <w:rPr>
        <w:sz w:val="22"/>
        <w:szCs w:val="22"/>
      </w:rPr>
      <w:t>/</w:t>
    </w:r>
    <w:r w:rsidR="007A7F2A">
      <w:rPr>
        <w:sz w:val="22"/>
        <w:szCs w:val="22"/>
      </w:rPr>
      <w:t xml:space="preserve"> Excerpts from </w:t>
    </w:r>
    <w:r w:rsidR="00181BC8">
      <w:rPr>
        <w:sz w:val="22"/>
        <w:szCs w:val="22"/>
      </w:rPr>
      <w:t>Dissenting</w:t>
    </w:r>
    <w:r w:rsidR="007A7F2A">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01BC6"/>
    <w:multiLevelType w:val="multilevel"/>
    <w:tmpl w:val="634C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4"/>
  </w:num>
  <w:num w:numId="5">
    <w:abstractNumId w:val="11"/>
  </w:num>
  <w:num w:numId="6">
    <w:abstractNumId w:val="6"/>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0"/>
  </w:num>
  <w:num w:numId="13">
    <w:abstractNumId w:val="5"/>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56C3"/>
    <w:rsid w:val="00170B98"/>
    <w:rsid w:val="00181BC8"/>
    <w:rsid w:val="001B3E05"/>
    <w:rsid w:val="0021030F"/>
    <w:rsid w:val="0025076D"/>
    <w:rsid w:val="00290061"/>
    <w:rsid w:val="002B4D38"/>
    <w:rsid w:val="002C62F2"/>
    <w:rsid w:val="002C68A3"/>
    <w:rsid w:val="002D2203"/>
    <w:rsid w:val="002F5553"/>
    <w:rsid w:val="00317735"/>
    <w:rsid w:val="00375090"/>
    <w:rsid w:val="00396AEB"/>
    <w:rsid w:val="003C6F20"/>
    <w:rsid w:val="003D1F21"/>
    <w:rsid w:val="00400A63"/>
    <w:rsid w:val="004632BE"/>
    <w:rsid w:val="004B3F0E"/>
    <w:rsid w:val="004B560A"/>
    <w:rsid w:val="004B73F9"/>
    <w:rsid w:val="004E7457"/>
    <w:rsid w:val="004F77FB"/>
    <w:rsid w:val="005311FB"/>
    <w:rsid w:val="005A0330"/>
    <w:rsid w:val="005A4E3D"/>
    <w:rsid w:val="005D058C"/>
    <w:rsid w:val="005E66CF"/>
    <w:rsid w:val="006135E5"/>
    <w:rsid w:val="00630DFD"/>
    <w:rsid w:val="00667C77"/>
    <w:rsid w:val="0069259A"/>
    <w:rsid w:val="006C3E71"/>
    <w:rsid w:val="006E09C9"/>
    <w:rsid w:val="006E3717"/>
    <w:rsid w:val="007262EE"/>
    <w:rsid w:val="00733BF4"/>
    <w:rsid w:val="007415D6"/>
    <w:rsid w:val="00776930"/>
    <w:rsid w:val="0078549D"/>
    <w:rsid w:val="007A7F2A"/>
    <w:rsid w:val="007F700D"/>
    <w:rsid w:val="00807F02"/>
    <w:rsid w:val="00815CB0"/>
    <w:rsid w:val="0081706F"/>
    <w:rsid w:val="0083004E"/>
    <w:rsid w:val="00924FA3"/>
    <w:rsid w:val="00987C93"/>
    <w:rsid w:val="009C4B9C"/>
    <w:rsid w:val="009C50F9"/>
    <w:rsid w:val="009D6B03"/>
    <w:rsid w:val="009E1A5F"/>
    <w:rsid w:val="00A14D2D"/>
    <w:rsid w:val="00A740A5"/>
    <w:rsid w:val="00A92AB3"/>
    <w:rsid w:val="00AE0C77"/>
    <w:rsid w:val="00B535F7"/>
    <w:rsid w:val="00B62487"/>
    <w:rsid w:val="00B92A79"/>
    <w:rsid w:val="00C05B0A"/>
    <w:rsid w:val="00C15DAC"/>
    <w:rsid w:val="00C87D80"/>
    <w:rsid w:val="00CC33C1"/>
    <w:rsid w:val="00CD079C"/>
    <w:rsid w:val="00CF4922"/>
    <w:rsid w:val="00CF5A7E"/>
    <w:rsid w:val="00DE3D18"/>
    <w:rsid w:val="00E3555A"/>
    <w:rsid w:val="00E64542"/>
    <w:rsid w:val="00EA5716"/>
    <w:rsid w:val="00EB20C0"/>
    <w:rsid w:val="00EF0C9F"/>
    <w:rsid w:val="00EF1078"/>
    <w:rsid w:val="00EF644E"/>
    <w:rsid w:val="00EF7C97"/>
    <w:rsid w:val="00F0330F"/>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017230">
      <w:bodyDiv w:val="1"/>
      <w:marLeft w:val="0"/>
      <w:marRight w:val="0"/>
      <w:marTop w:val="0"/>
      <w:marBottom w:val="0"/>
      <w:divBdr>
        <w:top w:val="none" w:sz="0" w:space="0" w:color="auto"/>
        <w:left w:val="none" w:sz="0" w:space="0" w:color="auto"/>
        <w:bottom w:val="none" w:sz="0" w:space="0" w:color="auto"/>
        <w:right w:val="none" w:sz="0" w:space="0" w:color="auto"/>
      </w:divBdr>
    </w:div>
    <w:div w:id="204690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3C771-E426-4A10-A28F-207D4BB32E57}"/>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2020-07-23T22:39:00Z</dcterms:created>
  <dcterms:modified xsi:type="dcterms:W3CDTF">2020-07-23T22:39:00Z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