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BC6DED" w14:textId="21AF913A" w:rsidR="00582196" w:rsidRPr="00476035" w:rsidRDefault="00742483" w:rsidP="00476035">
      <w:pPr>
        <w:pStyle w:val="Title1sl"/>
        <w:pBdr>
          <w:bottom w:val="single" w:sz="12" w:space="1" w:color="auto"/>
        </w:pBdr>
        <w:spacing w:before="240"/>
        <w:rPr>
          <w:sz w:val="40"/>
          <w:szCs w:val="40"/>
        </w:rPr>
      </w:pPr>
      <w:r w:rsidRPr="00476035">
        <w:rPr>
          <w:i/>
          <w:iCs/>
          <w:sz w:val="40"/>
          <w:szCs w:val="40"/>
        </w:rPr>
        <w:t>Gideon v. Wainwright</w:t>
      </w:r>
      <w:r w:rsidR="00582196" w:rsidRPr="00476035">
        <w:rPr>
          <w:i/>
          <w:iCs/>
          <w:sz w:val="40"/>
          <w:szCs w:val="40"/>
        </w:rPr>
        <w:t xml:space="preserve"> </w:t>
      </w:r>
      <w:r w:rsidR="00582196" w:rsidRPr="00476035">
        <w:rPr>
          <w:sz w:val="40"/>
          <w:szCs w:val="40"/>
        </w:rPr>
        <w:t>/</w:t>
      </w:r>
      <w:r w:rsidRPr="00476035">
        <w:rPr>
          <w:sz w:val="40"/>
          <w:szCs w:val="40"/>
        </w:rPr>
        <w:t xml:space="preserve"> Right to Counsel</w:t>
      </w:r>
      <w:r w:rsidR="004C5395" w:rsidRPr="00476035">
        <w:rPr>
          <w:sz w:val="40"/>
          <w:szCs w:val="40"/>
        </w:rPr>
        <w:t>:</w:t>
      </w:r>
      <w:r w:rsidRPr="00476035">
        <w:rPr>
          <w:sz w:val="40"/>
          <w:szCs w:val="40"/>
        </w:rPr>
        <w:t xml:space="preserve"> </w:t>
      </w:r>
      <w:r w:rsidR="00476035" w:rsidRPr="00476035">
        <w:rPr>
          <w:sz w:val="40"/>
          <w:szCs w:val="40"/>
        </w:rPr>
        <w:t>Quality of Representation</w:t>
      </w:r>
    </w:p>
    <w:p w14:paraId="22476F6C" w14:textId="26C438AB" w:rsidR="00DE16D6" w:rsidRDefault="00DE16D6" w:rsidP="00DE16D6">
      <w:pPr>
        <w:pStyle w:val="Subhead3sl"/>
      </w:pPr>
      <w:r>
        <w:t>Directions:</w:t>
      </w:r>
    </w:p>
    <w:p w14:paraId="50BEBDCE" w14:textId="26FB328F" w:rsidR="00DE16D6" w:rsidRDefault="00DE16D6" w:rsidP="00DE16D6">
      <w:pPr>
        <w:pStyle w:val="Numberedlistsl"/>
        <w:numPr>
          <w:ilvl w:val="0"/>
          <w:numId w:val="22"/>
        </w:numPr>
        <w:rPr>
          <w:sz w:val="25"/>
          <w:szCs w:val="25"/>
        </w:rPr>
      </w:pPr>
      <w:r w:rsidRPr="00DE16D6">
        <w:rPr>
          <w:sz w:val="25"/>
          <w:szCs w:val="25"/>
        </w:rPr>
        <w:t>Read the background, constitutional amendments, and precedents.</w:t>
      </w:r>
    </w:p>
    <w:p w14:paraId="0DCF511F" w14:textId="5B604D86" w:rsidR="00DE16D6" w:rsidRDefault="00DE16D6" w:rsidP="00DE16D6">
      <w:pPr>
        <w:pStyle w:val="Numberedlistsl"/>
        <w:numPr>
          <w:ilvl w:val="0"/>
          <w:numId w:val="22"/>
        </w:numPr>
        <w:rPr>
          <w:sz w:val="25"/>
          <w:szCs w:val="25"/>
        </w:rPr>
      </w:pPr>
      <w:r>
        <w:rPr>
          <w:sz w:val="25"/>
          <w:szCs w:val="25"/>
        </w:rPr>
        <w:t xml:space="preserve">Complete the </w:t>
      </w:r>
      <w:r w:rsidRPr="00DE16D6">
        <w:rPr>
          <w:b/>
          <w:bCs/>
          <w:sz w:val="25"/>
          <w:szCs w:val="25"/>
        </w:rPr>
        <w:t>Quality of Representation</w:t>
      </w:r>
      <w:r>
        <w:rPr>
          <w:sz w:val="25"/>
          <w:szCs w:val="25"/>
        </w:rPr>
        <w:t xml:space="preserve"> </w:t>
      </w:r>
      <w:r w:rsidR="00C17D23">
        <w:rPr>
          <w:sz w:val="25"/>
          <w:szCs w:val="25"/>
        </w:rPr>
        <w:t xml:space="preserve">(page 3) </w:t>
      </w:r>
      <w:r>
        <w:rPr>
          <w:sz w:val="25"/>
          <w:szCs w:val="25"/>
        </w:rPr>
        <w:t xml:space="preserve">table based on your own opinions about how effective or ineffective counsel was in each example.  </w:t>
      </w:r>
    </w:p>
    <w:p w14:paraId="3B8C2924" w14:textId="1030648F" w:rsidR="00C17D23" w:rsidRDefault="00C17D23" w:rsidP="00DE16D6">
      <w:pPr>
        <w:pStyle w:val="Numberedlistsl"/>
        <w:numPr>
          <w:ilvl w:val="0"/>
          <w:numId w:val="22"/>
        </w:numPr>
        <w:rPr>
          <w:sz w:val="25"/>
          <w:szCs w:val="25"/>
        </w:rPr>
      </w:pPr>
      <w:r>
        <w:rPr>
          <w:sz w:val="25"/>
          <w:szCs w:val="25"/>
        </w:rPr>
        <w:t xml:space="preserve">Read about and practice applying the </w:t>
      </w:r>
      <w:r w:rsidRPr="00C17D23">
        <w:rPr>
          <w:b/>
          <w:bCs/>
          <w:sz w:val="25"/>
          <w:szCs w:val="25"/>
        </w:rPr>
        <w:t>Strickland Test</w:t>
      </w:r>
      <w:r>
        <w:rPr>
          <w:sz w:val="25"/>
          <w:szCs w:val="25"/>
        </w:rPr>
        <w:t xml:space="preserve"> (page 4).  </w:t>
      </w:r>
    </w:p>
    <w:p w14:paraId="5EC59FA9" w14:textId="54BA47E4" w:rsidR="00DE16D6" w:rsidRDefault="00B67C5A" w:rsidP="006871E9">
      <w:pPr>
        <w:pStyle w:val="Subhead2sl"/>
        <w:spacing w:before="120"/>
      </w:pPr>
      <w:r>
        <w:pict w14:anchorId="0964C5C8">
          <v:rect id="_x0000_i1025" style="width:0;height:1.5pt" o:hralign="center" o:hrstd="t" o:hr="t" fillcolor="#a0a0a0" stroked="f"/>
        </w:pict>
      </w:r>
    </w:p>
    <w:p w14:paraId="1C927BA0" w14:textId="552DF2BA" w:rsidR="005F75AA" w:rsidRPr="005F75AA" w:rsidRDefault="005F75AA" w:rsidP="006871E9">
      <w:pPr>
        <w:pStyle w:val="Subhead2sl"/>
        <w:spacing w:before="240"/>
      </w:pPr>
      <w:r w:rsidRPr="005F75AA">
        <w:t>Background</w:t>
      </w:r>
    </w:p>
    <w:p w14:paraId="3A9D6884" w14:textId="4C447384" w:rsidR="005F75AA" w:rsidRDefault="005F75AA" w:rsidP="00FD02A6">
      <w:pPr>
        <w:pStyle w:val="Basiccopysl"/>
        <w:rPr>
          <w:rFonts w:eastAsia="Garamond" w:cs="Garamond"/>
        </w:rPr>
      </w:pPr>
      <w:r>
        <w:t xml:space="preserve">The Supreme Court of the United States has interpreted the constitutional right to counsel in several cases.  This right was incorporated against (applied to) the states in 1963 in the case of </w:t>
      </w:r>
      <w:r>
        <w:rPr>
          <w:i/>
          <w:iCs/>
        </w:rPr>
        <w:t>Gideon v. Wainwright</w:t>
      </w:r>
      <w:r>
        <w:t>.  This means that persons accused of crimes in the United States, whether in a federal court or a state court, are guaranteed the right to counsel for their defense in order to ensure that their due process right to a fair trial is ensured.</w:t>
      </w:r>
    </w:p>
    <w:p w14:paraId="1F61B868" w14:textId="77777777" w:rsidR="005F75AA" w:rsidRDefault="005F75AA" w:rsidP="00FD02A6">
      <w:pPr>
        <w:pStyle w:val="Subhead2sl"/>
        <w:rPr>
          <w:rFonts w:eastAsia="Garamond" w:cs="Garamond"/>
        </w:rPr>
      </w:pPr>
      <w:r>
        <w:t>Constitutional Amendments</w:t>
      </w:r>
    </w:p>
    <w:p w14:paraId="5ED33D74" w14:textId="77777777" w:rsidR="00FD02A6" w:rsidRPr="00A06F2D" w:rsidRDefault="00FD02A6" w:rsidP="00FD02A6">
      <w:pPr>
        <w:pStyle w:val="Bulletsl"/>
        <w:numPr>
          <w:ilvl w:val="0"/>
          <w:numId w:val="1"/>
        </w:numPr>
        <w:spacing w:before="240" w:line="276" w:lineRule="auto"/>
        <w:rPr>
          <w:rFonts w:asciiTheme="minorHAnsi" w:hAnsiTheme="minorHAnsi"/>
          <w:b/>
          <w:sz w:val="22"/>
          <w:szCs w:val="22"/>
        </w:rPr>
      </w:pPr>
      <w:r>
        <w:rPr>
          <w:b/>
        </w:rPr>
        <w:t xml:space="preserve">Sixth Amendment to the </w:t>
      </w:r>
      <w:r w:rsidRPr="00A06F2D">
        <w:rPr>
          <w:b/>
        </w:rPr>
        <w:t>U.S. Constitution</w:t>
      </w:r>
    </w:p>
    <w:p w14:paraId="68E96953" w14:textId="77777777" w:rsidR="00FD02A6" w:rsidRDefault="00FD02A6" w:rsidP="00FD02A6">
      <w:pPr>
        <w:pStyle w:val="Basiccopysl"/>
        <w:ind w:left="720"/>
      </w:pPr>
      <w:r w:rsidRPr="00ED3234">
        <w:t>“In all criminal prosecutions, the accused shall enjoy the right . . . to have the Assistance of Counsel for his defense.”</w:t>
      </w:r>
    </w:p>
    <w:p w14:paraId="5D7A7B5A" w14:textId="77777777" w:rsidR="00FD02A6" w:rsidRPr="00A06F2D" w:rsidRDefault="00FD02A6" w:rsidP="00FD02A6">
      <w:pPr>
        <w:pStyle w:val="Bulletsl"/>
        <w:numPr>
          <w:ilvl w:val="0"/>
          <w:numId w:val="1"/>
        </w:numPr>
        <w:spacing w:before="240" w:line="276" w:lineRule="auto"/>
        <w:rPr>
          <w:b/>
        </w:rPr>
      </w:pPr>
      <w:r>
        <w:rPr>
          <w:b/>
        </w:rPr>
        <w:t>14</w:t>
      </w:r>
      <w:r w:rsidRPr="00D63238">
        <w:rPr>
          <w:b/>
          <w:vertAlign w:val="superscript"/>
        </w:rPr>
        <w:t>th</w:t>
      </w:r>
      <w:r>
        <w:rPr>
          <w:b/>
        </w:rPr>
        <w:t xml:space="preserve"> Amendment to the </w:t>
      </w:r>
      <w:r w:rsidRPr="00A06F2D">
        <w:rPr>
          <w:b/>
        </w:rPr>
        <w:t>U.S. Constitution</w:t>
      </w:r>
    </w:p>
    <w:p w14:paraId="3EDB229B" w14:textId="77777777" w:rsidR="00FD02A6" w:rsidRPr="00A06F2D" w:rsidRDefault="00FD02A6" w:rsidP="00FD02A6">
      <w:pPr>
        <w:pStyle w:val="Basiccopysl"/>
        <w:ind w:left="720"/>
      </w:pPr>
      <w:r w:rsidRPr="00A06F2D">
        <w:t>“…nor shall any State deprive any person of life, liberty, or property, without due process of law….”</w:t>
      </w:r>
    </w:p>
    <w:p w14:paraId="519B2B1C" w14:textId="77777777" w:rsidR="005F75AA" w:rsidRDefault="005F75AA" w:rsidP="00FD02A6">
      <w:pPr>
        <w:pStyle w:val="Subhead2sl"/>
        <w:rPr>
          <w:rFonts w:eastAsia="Garamond" w:cs="Garamond"/>
        </w:rPr>
      </w:pPr>
      <w:r>
        <w:t>Supreme Court Precedents</w:t>
      </w:r>
    </w:p>
    <w:p w14:paraId="48D1A790" w14:textId="0E532050" w:rsidR="005F75AA" w:rsidRPr="00FD02A6" w:rsidRDefault="005F75AA" w:rsidP="00FD02A6">
      <w:pPr>
        <w:pStyle w:val="Bulletsl"/>
        <w:spacing w:line="276" w:lineRule="auto"/>
        <w:rPr>
          <w:sz w:val="25"/>
          <w:szCs w:val="25"/>
        </w:rPr>
      </w:pPr>
      <w:r w:rsidRPr="00FD02A6">
        <w:rPr>
          <w:b/>
          <w:bCs/>
          <w:i/>
          <w:iCs/>
          <w:sz w:val="25"/>
          <w:szCs w:val="25"/>
        </w:rPr>
        <w:t>Gideon v. Wainwright</w:t>
      </w:r>
      <w:r w:rsidRPr="00FD02A6">
        <w:rPr>
          <w:b/>
          <w:bCs/>
          <w:sz w:val="25"/>
          <w:szCs w:val="25"/>
        </w:rPr>
        <w:t xml:space="preserve"> </w:t>
      </w:r>
      <w:r w:rsidR="00FD02A6" w:rsidRPr="00FD02A6">
        <w:rPr>
          <w:b/>
          <w:bCs/>
          <w:sz w:val="25"/>
          <w:szCs w:val="25"/>
        </w:rPr>
        <w:t>(1963)</w:t>
      </w:r>
      <w:r w:rsidR="00FD02A6">
        <w:rPr>
          <w:sz w:val="25"/>
          <w:szCs w:val="25"/>
        </w:rPr>
        <w:t xml:space="preserve"> </w:t>
      </w:r>
      <w:r w:rsidRPr="00FD02A6">
        <w:rPr>
          <w:sz w:val="25"/>
          <w:szCs w:val="25"/>
        </w:rPr>
        <w:t>is the landmark case in which the Supreme Court decided a criminal defendant was entitled to a lawyer to make the trial fair. The 14</w:t>
      </w:r>
      <w:r w:rsidRPr="00FD02A6">
        <w:rPr>
          <w:sz w:val="25"/>
          <w:szCs w:val="25"/>
          <w:vertAlign w:val="superscript"/>
        </w:rPr>
        <w:t>th</w:t>
      </w:r>
      <w:r w:rsidRPr="00FD02A6">
        <w:rPr>
          <w:sz w:val="25"/>
          <w:szCs w:val="25"/>
        </w:rPr>
        <w:t xml:space="preserve"> Amendment gives U.S. citizens “due process” before “liberty” (freedom) can be taken away by the state. Due process provides the right to a fair trial. Since the government will always have lawyers on its side, the Supreme Court decided that defendants needed lawyers as well to guide them through their case and stand up for them. This case did not give everyone a right to an attorney, only those accused of very serious crimes (felonies). </w:t>
      </w:r>
      <w:r w:rsidRPr="00FD02A6">
        <w:rPr>
          <w:i/>
          <w:iCs/>
          <w:sz w:val="25"/>
          <w:szCs w:val="25"/>
        </w:rPr>
        <w:t>Argersinger v. Hamlin</w:t>
      </w:r>
      <w:r w:rsidRPr="00FD02A6">
        <w:rPr>
          <w:sz w:val="25"/>
          <w:szCs w:val="25"/>
        </w:rPr>
        <w:t xml:space="preserve"> changed that. </w:t>
      </w:r>
    </w:p>
    <w:p w14:paraId="2E1629B6" w14:textId="4ACA3067" w:rsidR="005F75AA" w:rsidRPr="00FD02A6" w:rsidRDefault="005F75AA" w:rsidP="00FD02A6">
      <w:pPr>
        <w:pStyle w:val="Bulletsl"/>
        <w:spacing w:line="276" w:lineRule="auto"/>
        <w:rPr>
          <w:sz w:val="25"/>
          <w:szCs w:val="25"/>
        </w:rPr>
      </w:pPr>
      <w:r w:rsidRPr="00FD02A6">
        <w:rPr>
          <w:b/>
          <w:bCs/>
          <w:i/>
          <w:iCs/>
          <w:sz w:val="25"/>
          <w:szCs w:val="25"/>
        </w:rPr>
        <w:lastRenderedPageBreak/>
        <w:t>Argersinger v. Hamlin</w:t>
      </w:r>
      <w:r w:rsidRPr="00FD02A6">
        <w:rPr>
          <w:b/>
          <w:bCs/>
          <w:sz w:val="25"/>
          <w:szCs w:val="25"/>
        </w:rPr>
        <w:t xml:space="preserve"> </w:t>
      </w:r>
      <w:r w:rsidR="00FD02A6" w:rsidRPr="00FD02A6">
        <w:rPr>
          <w:b/>
          <w:bCs/>
          <w:sz w:val="25"/>
          <w:szCs w:val="25"/>
        </w:rPr>
        <w:t>(1972)</w:t>
      </w:r>
      <w:r w:rsidR="00FD02A6">
        <w:rPr>
          <w:sz w:val="25"/>
          <w:szCs w:val="25"/>
        </w:rPr>
        <w:t xml:space="preserve"> </w:t>
      </w:r>
      <w:r w:rsidRPr="00FD02A6">
        <w:rPr>
          <w:sz w:val="25"/>
          <w:szCs w:val="25"/>
        </w:rPr>
        <w:t xml:space="preserve">is an important case about the right to an attorney. </w:t>
      </w:r>
      <w:r w:rsidR="00FD02A6">
        <w:rPr>
          <w:sz w:val="25"/>
          <w:szCs w:val="25"/>
        </w:rPr>
        <w:t xml:space="preserve">In this case the </w:t>
      </w:r>
      <w:r w:rsidR="00DE16D6">
        <w:rPr>
          <w:sz w:val="25"/>
          <w:szCs w:val="25"/>
        </w:rPr>
        <w:t xml:space="preserve">Supreme </w:t>
      </w:r>
      <w:r w:rsidR="00FD02A6">
        <w:rPr>
          <w:sz w:val="25"/>
          <w:szCs w:val="25"/>
        </w:rPr>
        <w:t>Court decided that w</w:t>
      </w:r>
      <w:r w:rsidRPr="00FD02A6">
        <w:rPr>
          <w:sz w:val="25"/>
          <w:szCs w:val="25"/>
        </w:rPr>
        <w:t xml:space="preserve">hen </w:t>
      </w:r>
      <w:r w:rsidR="00FD02A6">
        <w:rPr>
          <w:sz w:val="25"/>
          <w:szCs w:val="25"/>
        </w:rPr>
        <w:t xml:space="preserve">a person </w:t>
      </w:r>
      <w:r w:rsidRPr="00FD02A6">
        <w:rPr>
          <w:sz w:val="25"/>
          <w:szCs w:val="25"/>
        </w:rPr>
        <w:t xml:space="preserve">is charged with a crime, the court must give that person an attorney if </w:t>
      </w:r>
      <w:r w:rsidR="00FD02A6">
        <w:rPr>
          <w:sz w:val="25"/>
          <w:szCs w:val="25"/>
        </w:rPr>
        <w:t xml:space="preserve">1) they don’t </w:t>
      </w:r>
      <w:r w:rsidRPr="00FD02A6">
        <w:rPr>
          <w:sz w:val="25"/>
          <w:szCs w:val="25"/>
        </w:rPr>
        <w:t xml:space="preserve">have enough money to hire one and </w:t>
      </w:r>
      <w:r w:rsidR="00FD02A6">
        <w:rPr>
          <w:sz w:val="25"/>
          <w:szCs w:val="25"/>
        </w:rPr>
        <w:t xml:space="preserve">2) </w:t>
      </w:r>
      <w:r w:rsidRPr="00FD02A6">
        <w:rPr>
          <w:sz w:val="25"/>
          <w:szCs w:val="25"/>
        </w:rPr>
        <w:t xml:space="preserve">there is a chance that person could go to jail for </w:t>
      </w:r>
      <w:r w:rsidRPr="00FD02A6">
        <w:rPr>
          <w:sz w:val="25"/>
          <w:szCs w:val="25"/>
          <w:u w:val="single"/>
        </w:rPr>
        <w:t>any</w:t>
      </w:r>
      <w:r w:rsidRPr="00FD02A6">
        <w:rPr>
          <w:sz w:val="25"/>
          <w:szCs w:val="25"/>
        </w:rPr>
        <w:t xml:space="preserve"> amount of time (for a misdemeanor or a felony). The only way an accused person does not get an attorney is if</w:t>
      </w:r>
      <w:r w:rsidR="00FD02A6">
        <w:rPr>
          <w:sz w:val="25"/>
          <w:szCs w:val="25"/>
        </w:rPr>
        <w:t xml:space="preserve"> they </w:t>
      </w:r>
      <w:r w:rsidRPr="00FD02A6">
        <w:rPr>
          <w:sz w:val="25"/>
          <w:szCs w:val="25"/>
        </w:rPr>
        <w:t>made a knowing and intelligent choice to give that right up. Because going to prison is considered a significant punishment, the constitutional guarantee of a fair trial has been interpreted by the Supreme Court to mean that all people who might go to jail shall receive a lawyer.</w:t>
      </w:r>
    </w:p>
    <w:p w14:paraId="234B0243" w14:textId="7A08B8BB" w:rsidR="005F75AA" w:rsidRPr="00FD02A6" w:rsidRDefault="005F75AA" w:rsidP="00FD02A6">
      <w:pPr>
        <w:pStyle w:val="Bulletsl"/>
        <w:spacing w:line="276" w:lineRule="auto"/>
        <w:rPr>
          <w:sz w:val="25"/>
          <w:szCs w:val="25"/>
        </w:rPr>
      </w:pPr>
      <w:r w:rsidRPr="00FD02A6">
        <w:rPr>
          <w:b/>
          <w:bCs/>
          <w:i/>
          <w:iCs/>
          <w:sz w:val="25"/>
          <w:szCs w:val="25"/>
        </w:rPr>
        <w:t>Scott v. Illinois</w:t>
      </w:r>
      <w:r w:rsidRPr="00FD02A6">
        <w:rPr>
          <w:b/>
          <w:bCs/>
          <w:sz w:val="25"/>
          <w:szCs w:val="25"/>
        </w:rPr>
        <w:t xml:space="preserve"> </w:t>
      </w:r>
      <w:r w:rsidR="00FD02A6" w:rsidRPr="00FD02A6">
        <w:rPr>
          <w:b/>
          <w:bCs/>
          <w:sz w:val="25"/>
          <w:szCs w:val="25"/>
        </w:rPr>
        <w:t>(1979)</w:t>
      </w:r>
      <w:r w:rsidR="00FD02A6">
        <w:rPr>
          <w:sz w:val="25"/>
          <w:szCs w:val="25"/>
        </w:rPr>
        <w:t xml:space="preserve"> </w:t>
      </w:r>
      <w:r w:rsidRPr="00FD02A6">
        <w:rPr>
          <w:sz w:val="25"/>
          <w:szCs w:val="25"/>
        </w:rPr>
        <w:t xml:space="preserve">was decided after </w:t>
      </w:r>
      <w:r w:rsidRPr="00FD02A6">
        <w:rPr>
          <w:i/>
          <w:iCs/>
          <w:sz w:val="25"/>
          <w:szCs w:val="25"/>
        </w:rPr>
        <w:t>Argersinger v. Hamlin</w:t>
      </w:r>
      <w:r w:rsidRPr="00FD02A6">
        <w:rPr>
          <w:sz w:val="25"/>
          <w:szCs w:val="25"/>
        </w:rPr>
        <w:t xml:space="preserve">. </w:t>
      </w:r>
      <w:r w:rsidR="00FD02A6">
        <w:rPr>
          <w:sz w:val="25"/>
          <w:szCs w:val="25"/>
        </w:rPr>
        <w:t xml:space="preserve">In this case the </w:t>
      </w:r>
      <w:r w:rsidR="00DE16D6">
        <w:rPr>
          <w:sz w:val="25"/>
          <w:szCs w:val="25"/>
        </w:rPr>
        <w:t xml:space="preserve">Supreme </w:t>
      </w:r>
      <w:r w:rsidRPr="00FD02A6">
        <w:rPr>
          <w:sz w:val="25"/>
          <w:szCs w:val="25"/>
        </w:rPr>
        <w:t xml:space="preserve">Court decided </w:t>
      </w:r>
      <w:r w:rsidR="00FD02A6">
        <w:rPr>
          <w:sz w:val="25"/>
          <w:szCs w:val="25"/>
        </w:rPr>
        <w:t xml:space="preserve">courts are not required to provide a free, court-appointed lawyer to an </w:t>
      </w:r>
      <w:r w:rsidRPr="00FD02A6">
        <w:rPr>
          <w:sz w:val="25"/>
          <w:szCs w:val="25"/>
        </w:rPr>
        <w:t xml:space="preserve">indigent (poor) person charged with a crime if </w:t>
      </w:r>
      <w:r w:rsidR="00FD02A6">
        <w:rPr>
          <w:sz w:val="25"/>
          <w:szCs w:val="25"/>
        </w:rPr>
        <w:t xml:space="preserve">the person is not </w:t>
      </w:r>
      <w:r w:rsidRPr="00FD02A6">
        <w:rPr>
          <w:sz w:val="25"/>
          <w:szCs w:val="25"/>
        </w:rPr>
        <w:t xml:space="preserve">actually sent to jail. For example, if a crime is punishable by a fine or a term of imprisonment, and the accused person is ordered to pay a fine, the accused did not have the right to an attorney. Paying a fine is not seen as severe as a punishment as going to jail. </w:t>
      </w:r>
    </w:p>
    <w:p w14:paraId="0FA28156" w14:textId="39EE9FCF" w:rsidR="005F75AA" w:rsidRPr="00FD02A6" w:rsidRDefault="005F75AA" w:rsidP="006871E9">
      <w:pPr>
        <w:pStyle w:val="Bulletsl"/>
        <w:spacing w:after="0" w:line="276" w:lineRule="auto"/>
        <w:rPr>
          <w:sz w:val="25"/>
          <w:szCs w:val="25"/>
        </w:rPr>
      </w:pPr>
      <w:r w:rsidRPr="00DE16D6">
        <w:rPr>
          <w:b/>
          <w:bCs/>
          <w:i/>
          <w:iCs/>
          <w:sz w:val="25"/>
          <w:szCs w:val="25"/>
        </w:rPr>
        <w:t>Alabama v. Shelton</w:t>
      </w:r>
      <w:r w:rsidR="00DE16D6" w:rsidRPr="00DE16D6">
        <w:rPr>
          <w:b/>
          <w:bCs/>
          <w:i/>
          <w:iCs/>
          <w:sz w:val="25"/>
          <w:szCs w:val="25"/>
        </w:rPr>
        <w:t xml:space="preserve"> </w:t>
      </w:r>
      <w:r w:rsidR="00DE16D6" w:rsidRPr="00DE16D6">
        <w:rPr>
          <w:b/>
          <w:bCs/>
          <w:sz w:val="25"/>
          <w:szCs w:val="25"/>
        </w:rPr>
        <w:t>(2002)</w:t>
      </w:r>
      <w:r w:rsidRPr="00FD02A6">
        <w:rPr>
          <w:sz w:val="25"/>
          <w:szCs w:val="25"/>
        </w:rPr>
        <w:t xml:space="preserve"> was decided after </w:t>
      </w:r>
      <w:r w:rsidRPr="00FD02A6">
        <w:rPr>
          <w:i/>
          <w:iCs/>
          <w:sz w:val="25"/>
          <w:szCs w:val="25"/>
        </w:rPr>
        <w:t>Scott v. Illinois</w:t>
      </w:r>
      <w:r w:rsidRPr="00FD02A6">
        <w:rPr>
          <w:sz w:val="25"/>
          <w:szCs w:val="25"/>
        </w:rPr>
        <w:t xml:space="preserve">. </w:t>
      </w:r>
      <w:r w:rsidR="00DE16D6">
        <w:rPr>
          <w:sz w:val="25"/>
          <w:szCs w:val="25"/>
        </w:rPr>
        <w:t>Here, t</w:t>
      </w:r>
      <w:r w:rsidRPr="00FD02A6">
        <w:rPr>
          <w:sz w:val="25"/>
          <w:szCs w:val="25"/>
        </w:rPr>
        <w:t>he Supreme Court decided that indigent (poor) pe</w:t>
      </w:r>
      <w:r w:rsidR="00DE16D6">
        <w:rPr>
          <w:sz w:val="25"/>
          <w:szCs w:val="25"/>
        </w:rPr>
        <w:t>ople c</w:t>
      </w:r>
      <w:r w:rsidRPr="00FD02A6">
        <w:rPr>
          <w:sz w:val="25"/>
          <w:szCs w:val="25"/>
        </w:rPr>
        <w:t xml:space="preserve">harged with a crime (misdemeanor or felony) </w:t>
      </w:r>
      <w:r w:rsidRPr="00DE16D6">
        <w:rPr>
          <w:sz w:val="25"/>
          <w:szCs w:val="25"/>
        </w:rPr>
        <w:t>do</w:t>
      </w:r>
      <w:r w:rsidRPr="00FD02A6">
        <w:rPr>
          <w:sz w:val="25"/>
          <w:szCs w:val="25"/>
        </w:rPr>
        <w:t xml:space="preserve"> have a right to a court-appointed (or free) lawyer if there is even a threat of being sent to jail. </w:t>
      </w:r>
      <w:r w:rsidR="00DE16D6">
        <w:rPr>
          <w:sz w:val="25"/>
          <w:szCs w:val="25"/>
        </w:rPr>
        <w:t xml:space="preserve">In this case </w:t>
      </w:r>
      <w:proofErr w:type="spellStart"/>
      <w:r w:rsidR="00DE16D6">
        <w:rPr>
          <w:sz w:val="25"/>
          <w:szCs w:val="25"/>
        </w:rPr>
        <w:t>Lereed</w:t>
      </w:r>
      <w:proofErr w:type="spellEnd"/>
      <w:r w:rsidR="00DE16D6">
        <w:rPr>
          <w:sz w:val="25"/>
          <w:szCs w:val="25"/>
        </w:rPr>
        <w:t xml:space="preserve"> </w:t>
      </w:r>
      <w:r w:rsidRPr="00FD02A6">
        <w:rPr>
          <w:sz w:val="25"/>
          <w:szCs w:val="25"/>
        </w:rPr>
        <w:t xml:space="preserve">Shelton was </w:t>
      </w:r>
      <w:r w:rsidR="00DE16D6">
        <w:rPr>
          <w:sz w:val="25"/>
          <w:szCs w:val="25"/>
        </w:rPr>
        <w:t xml:space="preserve">fined and </w:t>
      </w:r>
      <w:r w:rsidRPr="00FD02A6">
        <w:rPr>
          <w:sz w:val="25"/>
          <w:szCs w:val="25"/>
        </w:rPr>
        <w:t xml:space="preserve">given a suspended sentence. </w:t>
      </w:r>
      <w:r w:rsidR="00DE16D6">
        <w:rPr>
          <w:sz w:val="25"/>
          <w:szCs w:val="25"/>
        </w:rPr>
        <w:t>He would only face ja</w:t>
      </w:r>
      <w:r w:rsidRPr="00FD02A6">
        <w:rPr>
          <w:sz w:val="25"/>
          <w:szCs w:val="25"/>
        </w:rPr>
        <w:t xml:space="preserve">il time if he violated his probation. </w:t>
      </w:r>
      <w:r w:rsidR="00DE16D6">
        <w:rPr>
          <w:sz w:val="25"/>
          <w:szCs w:val="25"/>
        </w:rPr>
        <w:t>Shelton</w:t>
      </w:r>
      <w:r w:rsidRPr="00FD02A6">
        <w:rPr>
          <w:sz w:val="25"/>
          <w:szCs w:val="25"/>
        </w:rPr>
        <w:t xml:space="preserve"> asked for an attorney at his trial and it was denied. The Supreme Court decided because a suspended prison sentence may result in imprisonment (going to jail), indigent defendants must be given their constitutional right to counsel to ensure a fair trial.</w:t>
      </w:r>
    </w:p>
    <w:p w14:paraId="48C66DDE" w14:textId="276E2468" w:rsidR="006871E9" w:rsidRDefault="006871E9" w:rsidP="006871E9">
      <w:pPr>
        <w:pStyle w:val="Subhead2sl"/>
        <w:spacing w:before="120"/>
      </w:pPr>
    </w:p>
    <w:p w14:paraId="455D4D60" w14:textId="77777777" w:rsidR="00C17D23" w:rsidRDefault="00C17D23" w:rsidP="006871E9">
      <w:pPr>
        <w:pStyle w:val="Subhead2sl"/>
        <w:spacing w:before="240"/>
      </w:pPr>
      <w:r>
        <w:br w:type="page"/>
      </w:r>
    </w:p>
    <w:p w14:paraId="3DB77516" w14:textId="2728053A" w:rsidR="005F75AA" w:rsidRDefault="005F75AA" w:rsidP="00C17D23">
      <w:pPr>
        <w:pStyle w:val="Subhead1sl"/>
        <w:rPr>
          <w:rFonts w:eastAsia="Garamond" w:cs="Garamond"/>
        </w:rPr>
      </w:pPr>
      <w:r>
        <w:lastRenderedPageBreak/>
        <w:t>Quality of Representation</w:t>
      </w:r>
    </w:p>
    <w:p w14:paraId="06980F31" w14:textId="10A5CECE" w:rsidR="005F75AA" w:rsidRPr="00DE16D6" w:rsidRDefault="005F75AA" w:rsidP="00DE16D6">
      <w:pPr>
        <w:pStyle w:val="Basiccopysl"/>
        <w:rPr>
          <w:rFonts w:eastAsia="Garamond" w:cs="Garamond"/>
          <w:sz w:val="25"/>
          <w:szCs w:val="25"/>
        </w:rPr>
      </w:pPr>
      <w:r w:rsidRPr="00DE16D6">
        <w:rPr>
          <w:sz w:val="25"/>
          <w:szCs w:val="25"/>
        </w:rPr>
        <w:t xml:space="preserve">Does the type of representation that a defendant receives affect whether the defendant’s right to a fair trial is upheld? For each of the following examples, indicate </w:t>
      </w:r>
      <w:r w:rsidR="00DE16D6">
        <w:rPr>
          <w:sz w:val="25"/>
          <w:szCs w:val="25"/>
        </w:rPr>
        <w:t xml:space="preserve">with an </w:t>
      </w:r>
      <w:r w:rsidR="00DE16D6" w:rsidRPr="00DE16D6">
        <w:rPr>
          <w:b/>
          <w:bCs/>
          <w:sz w:val="25"/>
          <w:szCs w:val="25"/>
          <w:u w:val="single"/>
        </w:rPr>
        <w:t>E</w:t>
      </w:r>
      <w:r w:rsidR="00DE16D6">
        <w:rPr>
          <w:sz w:val="25"/>
          <w:szCs w:val="25"/>
        </w:rPr>
        <w:t xml:space="preserve"> if you think </w:t>
      </w:r>
      <w:r w:rsidRPr="00DE16D6">
        <w:rPr>
          <w:sz w:val="25"/>
          <w:szCs w:val="25"/>
        </w:rPr>
        <w:t xml:space="preserve">the example indicates </w:t>
      </w:r>
      <w:r w:rsidRPr="00DE16D6">
        <w:rPr>
          <w:b/>
          <w:bCs/>
          <w:sz w:val="25"/>
          <w:szCs w:val="25"/>
        </w:rPr>
        <w:t>effective</w:t>
      </w:r>
      <w:r w:rsidRPr="00DE16D6">
        <w:rPr>
          <w:sz w:val="25"/>
          <w:szCs w:val="25"/>
        </w:rPr>
        <w:t xml:space="preserve"> (capable or competent) representation by </w:t>
      </w:r>
      <w:proofErr w:type="spellStart"/>
      <w:r w:rsidRPr="00DE16D6">
        <w:rPr>
          <w:sz w:val="25"/>
          <w:szCs w:val="25"/>
        </w:rPr>
        <w:t>counsel or</w:t>
      </w:r>
      <w:proofErr w:type="spellEnd"/>
      <w:r w:rsidRPr="00DE16D6">
        <w:rPr>
          <w:sz w:val="25"/>
          <w:szCs w:val="25"/>
        </w:rPr>
        <w:t xml:space="preserve"> </w:t>
      </w:r>
      <w:r w:rsidR="00DE16D6">
        <w:rPr>
          <w:sz w:val="25"/>
          <w:szCs w:val="25"/>
        </w:rPr>
        <w:t xml:space="preserve">with an </w:t>
      </w:r>
      <w:r w:rsidR="00DE16D6" w:rsidRPr="00DE16D6">
        <w:rPr>
          <w:b/>
          <w:bCs/>
          <w:sz w:val="25"/>
          <w:szCs w:val="25"/>
          <w:u w:val="single"/>
        </w:rPr>
        <w:t>I</w:t>
      </w:r>
      <w:r w:rsidR="00DE16D6">
        <w:rPr>
          <w:sz w:val="25"/>
          <w:szCs w:val="25"/>
        </w:rPr>
        <w:t xml:space="preserve"> if you think it indicates </w:t>
      </w:r>
      <w:r w:rsidRPr="00DE16D6">
        <w:rPr>
          <w:b/>
          <w:bCs/>
          <w:sz w:val="25"/>
          <w:szCs w:val="25"/>
        </w:rPr>
        <w:t>ineffective</w:t>
      </w:r>
      <w:r w:rsidRPr="00DE16D6">
        <w:rPr>
          <w:sz w:val="25"/>
          <w:szCs w:val="25"/>
        </w:rPr>
        <w:t xml:space="preserve"> (inadequate or of poor quality) representation by counsel.</w:t>
      </w:r>
      <w:r w:rsidRPr="00DE16D6">
        <w:rPr>
          <w:b/>
          <w:bCs/>
          <w:sz w:val="25"/>
          <w:szCs w:val="25"/>
        </w:rPr>
        <w:t xml:space="preserve"> </w:t>
      </w:r>
      <w:r w:rsidRPr="00DE16D6">
        <w:rPr>
          <w:sz w:val="25"/>
          <w:szCs w:val="25"/>
        </w:rPr>
        <w:t>This should reflect your opinion. You will learn more about the precedents and revisit this section later in this lesson.</w:t>
      </w:r>
    </w:p>
    <w:tbl>
      <w:tblPr>
        <w:tblW w:w="5000" w:type="pc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00A2FF"/>
        <w:tblLayout w:type="fixed"/>
        <w:tblLook w:val="04A0" w:firstRow="1" w:lastRow="0" w:firstColumn="1" w:lastColumn="0" w:noHBand="0" w:noVBand="1"/>
      </w:tblPr>
      <w:tblGrid>
        <w:gridCol w:w="1617"/>
        <w:gridCol w:w="7737"/>
      </w:tblGrid>
      <w:tr w:rsidR="005F75AA" w14:paraId="7B92FA56" w14:textId="77777777" w:rsidTr="00C17D23">
        <w:trPr>
          <w:trHeight w:val="801"/>
          <w:tblHeader/>
        </w:trPr>
        <w:tc>
          <w:tcPr>
            <w:tcW w:w="1617" w:type="dxa"/>
            <w:tcBorders>
              <w:top w:val="single" w:sz="2" w:space="0" w:color="000000"/>
              <w:left w:val="single" w:sz="2" w:space="0" w:color="000000"/>
              <w:bottom w:val="single" w:sz="6" w:space="0" w:color="000000"/>
              <w:right w:val="single" w:sz="2" w:space="0" w:color="000000"/>
            </w:tcBorders>
            <w:shd w:val="clear" w:color="auto" w:fill="BDC0BF"/>
            <w:tcMar>
              <w:top w:w="80" w:type="dxa"/>
              <w:left w:w="80" w:type="dxa"/>
              <w:bottom w:w="80" w:type="dxa"/>
              <w:right w:w="80" w:type="dxa"/>
            </w:tcMar>
          </w:tcPr>
          <w:p w14:paraId="0EEADF46" w14:textId="77777777" w:rsidR="005F75AA" w:rsidRDefault="005F75AA" w:rsidP="0028547C">
            <w:pPr>
              <w:pStyle w:val="TableStyle1"/>
              <w:jc w:val="center"/>
              <w:rPr>
                <w:rFonts w:hint="eastAsia"/>
              </w:rPr>
            </w:pPr>
            <w:r>
              <w:rPr>
                <w:rFonts w:ascii="Garamond" w:hAnsi="Garamond"/>
                <w:sz w:val="24"/>
                <w:szCs w:val="24"/>
              </w:rPr>
              <w:t>Effective (E)</w:t>
            </w:r>
          </w:p>
          <w:p w14:paraId="638449C8" w14:textId="05C79AAF" w:rsidR="005F75AA" w:rsidRDefault="006871E9" w:rsidP="0028547C">
            <w:pPr>
              <w:pStyle w:val="TableStyle1"/>
              <w:jc w:val="center"/>
              <w:rPr>
                <w:rFonts w:hint="eastAsia"/>
              </w:rPr>
            </w:pPr>
            <w:r>
              <w:rPr>
                <w:rFonts w:ascii="Garamond" w:hAnsi="Garamond"/>
                <w:sz w:val="24"/>
                <w:szCs w:val="24"/>
              </w:rPr>
              <w:t>o</w:t>
            </w:r>
            <w:r w:rsidR="005F75AA">
              <w:rPr>
                <w:rFonts w:ascii="Garamond" w:hAnsi="Garamond"/>
                <w:sz w:val="24"/>
                <w:szCs w:val="24"/>
              </w:rPr>
              <w:t>r</w:t>
            </w:r>
          </w:p>
          <w:p w14:paraId="650F7730" w14:textId="77777777" w:rsidR="005F75AA" w:rsidRDefault="005F75AA" w:rsidP="0028547C">
            <w:pPr>
              <w:pStyle w:val="TableStyle1"/>
              <w:jc w:val="center"/>
              <w:rPr>
                <w:rFonts w:hint="eastAsia"/>
              </w:rPr>
            </w:pPr>
            <w:r>
              <w:rPr>
                <w:rFonts w:ascii="Garamond" w:hAnsi="Garamond"/>
                <w:sz w:val="24"/>
                <w:szCs w:val="24"/>
              </w:rPr>
              <w:t>Ineffective (I)</w:t>
            </w:r>
          </w:p>
        </w:tc>
        <w:tc>
          <w:tcPr>
            <w:tcW w:w="7737" w:type="dxa"/>
            <w:tcBorders>
              <w:top w:val="single" w:sz="2" w:space="0" w:color="000000"/>
              <w:left w:val="single" w:sz="2" w:space="0" w:color="000000"/>
              <w:bottom w:val="single" w:sz="6" w:space="0" w:color="000000"/>
              <w:right w:val="single" w:sz="2" w:space="0" w:color="000000"/>
            </w:tcBorders>
            <w:shd w:val="clear" w:color="auto" w:fill="BDC0BF"/>
            <w:tcMar>
              <w:top w:w="80" w:type="dxa"/>
              <w:left w:w="80" w:type="dxa"/>
              <w:bottom w:w="80" w:type="dxa"/>
              <w:right w:w="80" w:type="dxa"/>
            </w:tcMar>
            <w:vAlign w:val="center"/>
          </w:tcPr>
          <w:p w14:paraId="1D5C5E1B" w14:textId="77777777" w:rsidR="005F75AA" w:rsidRDefault="005F75AA" w:rsidP="0028547C">
            <w:pPr>
              <w:pStyle w:val="TableStyle1"/>
              <w:jc w:val="center"/>
              <w:rPr>
                <w:rFonts w:hint="eastAsia"/>
              </w:rPr>
            </w:pPr>
            <w:r>
              <w:rPr>
                <w:rFonts w:ascii="Garamond" w:hAnsi="Garamond"/>
                <w:sz w:val="24"/>
                <w:szCs w:val="24"/>
              </w:rPr>
              <w:t>Example</w:t>
            </w:r>
          </w:p>
        </w:tc>
      </w:tr>
      <w:tr w:rsidR="005F75AA" w14:paraId="091EA6E1" w14:textId="77777777" w:rsidTr="00C17D23">
        <w:tblPrEx>
          <w:shd w:val="clear" w:color="auto" w:fill="CADFFF"/>
        </w:tblPrEx>
        <w:trPr>
          <w:trHeight w:val="330"/>
        </w:trPr>
        <w:tc>
          <w:tcPr>
            <w:tcW w:w="1617" w:type="dxa"/>
            <w:tcBorders>
              <w:top w:val="single" w:sz="6"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509AAEDA" w14:textId="77777777" w:rsidR="005F75AA" w:rsidRDefault="005F75AA" w:rsidP="0028547C"/>
        </w:tc>
        <w:tc>
          <w:tcPr>
            <w:tcW w:w="7737" w:type="dxa"/>
            <w:tcBorders>
              <w:top w:val="single" w:sz="6"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932B38A" w14:textId="51F83FEF" w:rsidR="005F75AA" w:rsidRPr="006871E9" w:rsidRDefault="005F75AA" w:rsidP="00C17D23">
            <w:pPr>
              <w:pStyle w:val="Basiccopysl"/>
              <w:spacing w:before="120"/>
            </w:pPr>
            <w:r w:rsidRPr="006871E9">
              <w:t>The defendan</w:t>
            </w:r>
            <w:r w:rsidR="006871E9" w:rsidRPr="006871E9">
              <w:t>t</w:t>
            </w:r>
            <w:r w:rsidR="006871E9" w:rsidRPr="006871E9">
              <w:rPr>
                <w:rtl/>
              </w:rPr>
              <w:t>’</w:t>
            </w:r>
            <w:r w:rsidRPr="006871E9">
              <w:t>s attorney does not question the prosecution</w:t>
            </w:r>
            <w:r w:rsidR="006871E9">
              <w:rPr>
                <w:rtl/>
              </w:rPr>
              <w:t>’</w:t>
            </w:r>
            <w:r w:rsidRPr="006871E9">
              <w:t>s witnesses.</w:t>
            </w:r>
          </w:p>
        </w:tc>
      </w:tr>
      <w:tr w:rsidR="005F75AA" w14:paraId="02CB7F26" w14:textId="77777777" w:rsidTr="00C17D23">
        <w:tblPrEx>
          <w:shd w:val="clear" w:color="auto" w:fill="CADFFF"/>
        </w:tblPrEx>
        <w:trPr>
          <w:trHeight w:val="325"/>
        </w:trPr>
        <w:tc>
          <w:tcPr>
            <w:tcW w:w="1617"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vAlign w:val="center"/>
          </w:tcPr>
          <w:p w14:paraId="77F4AEDF" w14:textId="77777777" w:rsidR="005F75AA" w:rsidRDefault="005F75AA" w:rsidP="0028547C"/>
        </w:tc>
        <w:tc>
          <w:tcPr>
            <w:tcW w:w="7737"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00E59681" w14:textId="60C432C2" w:rsidR="005F75AA" w:rsidRDefault="005F75AA" w:rsidP="00C17D23">
            <w:pPr>
              <w:pStyle w:val="TableStyle2"/>
              <w:spacing w:before="120" w:after="120"/>
              <w:rPr>
                <w:rFonts w:hint="eastAsia"/>
              </w:rPr>
            </w:pPr>
            <w:r>
              <w:rPr>
                <w:rFonts w:ascii="Garamond" w:hAnsi="Garamond"/>
                <w:sz w:val="24"/>
                <w:szCs w:val="24"/>
              </w:rPr>
              <w:t>The defendant</w:t>
            </w:r>
            <w:r w:rsidR="006871E9">
              <w:rPr>
                <w:rFonts w:ascii="Garamond" w:hAnsi="Garamond"/>
                <w:sz w:val="24"/>
                <w:szCs w:val="24"/>
              </w:rPr>
              <w:t>’</w:t>
            </w:r>
            <w:r>
              <w:rPr>
                <w:rFonts w:ascii="Garamond" w:hAnsi="Garamond"/>
                <w:sz w:val="24"/>
                <w:szCs w:val="24"/>
              </w:rPr>
              <w:t xml:space="preserve">s attorney does not investigate the </w:t>
            </w:r>
            <w:r w:rsidRPr="00A03F9E">
              <w:rPr>
                <w:rFonts w:ascii="Garamond" w:hAnsi="Garamond"/>
                <w:sz w:val="24"/>
                <w:szCs w:val="24"/>
              </w:rPr>
              <w:t>alibis of</w:t>
            </w:r>
            <w:r>
              <w:rPr>
                <w:rFonts w:ascii="Garamond" w:hAnsi="Garamond"/>
                <w:sz w:val="24"/>
                <w:szCs w:val="24"/>
              </w:rPr>
              <w:t xml:space="preserve"> other suspects.</w:t>
            </w:r>
          </w:p>
        </w:tc>
      </w:tr>
      <w:tr w:rsidR="005F75AA" w14:paraId="77EAE503" w14:textId="77777777" w:rsidTr="00C17D23">
        <w:tblPrEx>
          <w:shd w:val="clear" w:color="auto" w:fill="CADFFF"/>
        </w:tblPrEx>
        <w:trPr>
          <w:trHeight w:val="305"/>
        </w:trPr>
        <w:tc>
          <w:tcPr>
            <w:tcW w:w="161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53D995B1" w14:textId="77777777" w:rsidR="005F75AA" w:rsidRDefault="005F75AA" w:rsidP="0028547C"/>
        </w:tc>
        <w:tc>
          <w:tcPr>
            <w:tcW w:w="773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D50982D" w14:textId="2CBBB747" w:rsidR="005F75AA" w:rsidRDefault="005F75AA" w:rsidP="00C17D23">
            <w:pPr>
              <w:pStyle w:val="TableStyle2"/>
              <w:spacing w:before="120" w:after="120"/>
              <w:rPr>
                <w:rFonts w:hint="eastAsia"/>
              </w:rPr>
            </w:pPr>
            <w:r>
              <w:rPr>
                <w:rFonts w:ascii="Garamond" w:hAnsi="Garamond"/>
                <w:sz w:val="24"/>
                <w:szCs w:val="24"/>
              </w:rPr>
              <w:t>The defendant</w:t>
            </w:r>
            <w:r w:rsidR="006871E9">
              <w:rPr>
                <w:rFonts w:ascii="Garamond" w:hAnsi="Garamond"/>
                <w:sz w:val="24"/>
                <w:szCs w:val="24"/>
              </w:rPr>
              <w:t>’</w:t>
            </w:r>
            <w:r>
              <w:rPr>
                <w:rFonts w:ascii="Garamond" w:hAnsi="Garamond"/>
                <w:sz w:val="24"/>
                <w:szCs w:val="24"/>
              </w:rPr>
              <w:t>s attorney orders DNA analysis of evidence.</w:t>
            </w:r>
          </w:p>
        </w:tc>
      </w:tr>
      <w:tr w:rsidR="005F75AA" w14:paraId="0CD7E4E9" w14:textId="77777777" w:rsidTr="00C17D23">
        <w:tblPrEx>
          <w:shd w:val="clear" w:color="auto" w:fill="CADFFF"/>
        </w:tblPrEx>
        <w:trPr>
          <w:trHeight w:val="585"/>
        </w:trPr>
        <w:tc>
          <w:tcPr>
            <w:tcW w:w="1617"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vAlign w:val="center"/>
          </w:tcPr>
          <w:p w14:paraId="0960AF29" w14:textId="77777777" w:rsidR="005F75AA" w:rsidRDefault="005F75AA" w:rsidP="0028547C"/>
        </w:tc>
        <w:tc>
          <w:tcPr>
            <w:tcW w:w="7737"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5D2C702A" w14:textId="0788C7AF" w:rsidR="005F75AA" w:rsidRDefault="005F75AA" w:rsidP="00C17D23">
            <w:pPr>
              <w:pStyle w:val="TableStyle2"/>
              <w:spacing w:before="120" w:after="120"/>
              <w:rPr>
                <w:rFonts w:hint="eastAsia"/>
              </w:rPr>
            </w:pPr>
            <w:r>
              <w:rPr>
                <w:rFonts w:ascii="Garamond" w:hAnsi="Garamond"/>
                <w:sz w:val="24"/>
                <w:szCs w:val="24"/>
              </w:rPr>
              <w:t xml:space="preserve">The </w:t>
            </w:r>
            <w:r w:rsidR="006871E9">
              <w:rPr>
                <w:rFonts w:ascii="Garamond" w:hAnsi="Garamond"/>
                <w:sz w:val="24"/>
                <w:szCs w:val="24"/>
              </w:rPr>
              <w:t>defendant’s</w:t>
            </w:r>
            <w:r>
              <w:rPr>
                <w:rFonts w:ascii="Garamond" w:hAnsi="Garamond"/>
                <w:sz w:val="24"/>
                <w:szCs w:val="24"/>
              </w:rPr>
              <w:t xml:space="preserve"> attorney meets the defendant before trial and gets information to discover any witnesses and evidence.</w:t>
            </w:r>
          </w:p>
        </w:tc>
      </w:tr>
      <w:tr w:rsidR="005F75AA" w14:paraId="3C6107DF" w14:textId="77777777" w:rsidTr="00C17D23">
        <w:tblPrEx>
          <w:shd w:val="clear" w:color="auto" w:fill="CADFFF"/>
        </w:tblPrEx>
        <w:trPr>
          <w:trHeight w:val="537"/>
        </w:trPr>
        <w:tc>
          <w:tcPr>
            <w:tcW w:w="161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51757677" w14:textId="77777777" w:rsidR="005F75AA" w:rsidRDefault="005F75AA" w:rsidP="0028547C"/>
        </w:tc>
        <w:tc>
          <w:tcPr>
            <w:tcW w:w="773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24E996F" w14:textId="1C572BEB" w:rsidR="005F75AA" w:rsidRDefault="005F75AA" w:rsidP="00C17D23">
            <w:pPr>
              <w:pStyle w:val="TableStyle2"/>
              <w:spacing w:before="120" w:after="120"/>
              <w:rPr>
                <w:rFonts w:hint="eastAsia"/>
              </w:rPr>
            </w:pPr>
            <w:r>
              <w:rPr>
                <w:rFonts w:ascii="Garamond" w:hAnsi="Garamond"/>
                <w:sz w:val="24"/>
                <w:szCs w:val="24"/>
              </w:rPr>
              <w:t xml:space="preserve">The </w:t>
            </w:r>
            <w:r w:rsidR="006871E9">
              <w:rPr>
                <w:rFonts w:ascii="Garamond" w:hAnsi="Garamond"/>
                <w:sz w:val="24"/>
                <w:szCs w:val="24"/>
              </w:rPr>
              <w:t>defendant’s</w:t>
            </w:r>
            <w:r>
              <w:rPr>
                <w:rFonts w:ascii="Garamond" w:hAnsi="Garamond"/>
                <w:sz w:val="24"/>
                <w:szCs w:val="24"/>
              </w:rPr>
              <w:t xml:space="preserve"> attorney does not inform the defendant of the consequences of accepting a plea deal.</w:t>
            </w:r>
          </w:p>
        </w:tc>
      </w:tr>
      <w:tr w:rsidR="005F75AA" w14:paraId="5E22885A" w14:textId="77777777" w:rsidTr="00C17D23">
        <w:tblPrEx>
          <w:shd w:val="clear" w:color="auto" w:fill="CADFFF"/>
        </w:tblPrEx>
        <w:trPr>
          <w:trHeight w:val="305"/>
        </w:trPr>
        <w:tc>
          <w:tcPr>
            <w:tcW w:w="1617"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vAlign w:val="center"/>
          </w:tcPr>
          <w:p w14:paraId="7177D9F7" w14:textId="77777777" w:rsidR="005F75AA" w:rsidRDefault="005F75AA" w:rsidP="0028547C"/>
        </w:tc>
        <w:tc>
          <w:tcPr>
            <w:tcW w:w="7737"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1DF1BE69" w14:textId="47CEE386" w:rsidR="005F75AA" w:rsidRDefault="005F75AA" w:rsidP="00C17D23">
            <w:pPr>
              <w:pStyle w:val="TableStyle2"/>
              <w:spacing w:before="120" w:after="120"/>
              <w:rPr>
                <w:rFonts w:hint="eastAsia"/>
              </w:rPr>
            </w:pPr>
            <w:r>
              <w:rPr>
                <w:rFonts w:ascii="Garamond" w:hAnsi="Garamond"/>
                <w:sz w:val="24"/>
                <w:szCs w:val="24"/>
              </w:rPr>
              <w:t xml:space="preserve">The </w:t>
            </w:r>
            <w:r w:rsidR="006871E9">
              <w:rPr>
                <w:rFonts w:ascii="Garamond" w:hAnsi="Garamond"/>
                <w:sz w:val="24"/>
                <w:szCs w:val="24"/>
              </w:rPr>
              <w:t>defendant’s</w:t>
            </w:r>
            <w:r>
              <w:rPr>
                <w:rFonts w:ascii="Garamond" w:hAnsi="Garamond"/>
                <w:sz w:val="24"/>
                <w:szCs w:val="24"/>
              </w:rPr>
              <w:t xml:space="preserve"> attorney orders a psychiatric evaluation of the defendant.</w:t>
            </w:r>
          </w:p>
        </w:tc>
      </w:tr>
      <w:tr w:rsidR="005F75AA" w14:paraId="37511279" w14:textId="77777777" w:rsidTr="00C17D23">
        <w:tblPrEx>
          <w:shd w:val="clear" w:color="auto" w:fill="CADFFF"/>
        </w:tblPrEx>
        <w:trPr>
          <w:trHeight w:val="325"/>
        </w:trPr>
        <w:tc>
          <w:tcPr>
            <w:tcW w:w="161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6DD5C61A" w14:textId="77777777" w:rsidR="005F75AA" w:rsidRDefault="005F75AA" w:rsidP="0028547C"/>
        </w:tc>
        <w:tc>
          <w:tcPr>
            <w:tcW w:w="773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D1DB261" w14:textId="536D0844" w:rsidR="005F75AA" w:rsidRDefault="005F75AA" w:rsidP="00C17D23">
            <w:pPr>
              <w:pStyle w:val="TableStyle2"/>
              <w:spacing w:before="120" w:after="120"/>
              <w:rPr>
                <w:rFonts w:hint="eastAsia"/>
              </w:rPr>
            </w:pPr>
            <w:r>
              <w:rPr>
                <w:rFonts w:ascii="Garamond" w:hAnsi="Garamond"/>
                <w:sz w:val="24"/>
                <w:szCs w:val="24"/>
              </w:rPr>
              <w:t xml:space="preserve">The </w:t>
            </w:r>
            <w:r w:rsidR="006871E9">
              <w:rPr>
                <w:rFonts w:ascii="Garamond" w:hAnsi="Garamond"/>
                <w:sz w:val="24"/>
                <w:szCs w:val="24"/>
              </w:rPr>
              <w:t>defendant’s</w:t>
            </w:r>
            <w:r>
              <w:rPr>
                <w:rFonts w:ascii="Garamond" w:hAnsi="Garamond"/>
                <w:sz w:val="24"/>
                <w:szCs w:val="24"/>
              </w:rPr>
              <w:t xml:space="preserve"> attorney misses a court hearing.</w:t>
            </w:r>
          </w:p>
        </w:tc>
      </w:tr>
      <w:tr w:rsidR="005F75AA" w14:paraId="61ECAB97" w14:textId="77777777" w:rsidTr="00C17D23">
        <w:tblPrEx>
          <w:shd w:val="clear" w:color="auto" w:fill="CADFFF"/>
        </w:tblPrEx>
        <w:trPr>
          <w:trHeight w:val="585"/>
        </w:trPr>
        <w:tc>
          <w:tcPr>
            <w:tcW w:w="1617"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vAlign w:val="center"/>
          </w:tcPr>
          <w:p w14:paraId="3C3E80A0" w14:textId="77777777" w:rsidR="005F75AA" w:rsidRDefault="005F75AA" w:rsidP="0028547C"/>
        </w:tc>
        <w:tc>
          <w:tcPr>
            <w:tcW w:w="7737"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44D95DB4" w14:textId="04FA9849" w:rsidR="005F75AA" w:rsidRDefault="005F75AA" w:rsidP="00C17D23">
            <w:pPr>
              <w:pStyle w:val="Basiccopysl"/>
              <w:spacing w:before="120"/>
            </w:pPr>
            <w:r>
              <w:t xml:space="preserve">The </w:t>
            </w:r>
            <w:r w:rsidR="006871E9">
              <w:t>defendant’s</w:t>
            </w:r>
            <w:r>
              <w:t xml:space="preserve"> attorney pays close attention to the </w:t>
            </w:r>
            <w:r w:rsidR="006871E9" w:rsidRPr="006871E9">
              <w:t>prosecuto</w:t>
            </w:r>
            <w:r w:rsidR="006871E9">
              <w:t>r</w:t>
            </w:r>
            <w:r w:rsidR="006871E9">
              <w:rPr>
                <w:rtl/>
              </w:rPr>
              <w:t>’</w:t>
            </w:r>
            <w:r w:rsidR="006871E9" w:rsidRPr="006871E9">
              <w:t>s</w:t>
            </w:r>
            <w:r>
              <w:t xml:space="preserve"> questioning of witnesses and cross-examines them carefully.</w:t>
            </w:r>
          </w:p>
        </w:tc>
      </w:tr>
    </w:tbl>
    <w:p w14:paraId="682873DC" w14:textId="77777777" w:rsidR="00C17D23" w:rsidRDefault="00C17D23" w:rsidP="00C312EB">
      <w:pPr>
        <w:pStyle w:val="Subhead2sl"/>
        <w:spacing w:before="240"/>
      </w:pPr>
      <w:r>
        <w:br w:type="page"/>
      </w:r>
    </w:p>
    <w:p w14:paraId="5881D558" w14:textId="1543E157" w:rsidR="00C312EB" w:rsidRDefault="00C312EB" w:rsidP="00C17D23">
      <w:pPr>
        <w:pStyle w:val="Subhead1sl"/>
      </w:pPr>
      <w:r>
        <w:lastRenderedPageBreak/>
        <w:t>The Strickland Test</w:t>
      </w:r>
    </w:p>
    <w:p w14:paraId="41080E96" w14:textId="73B09645" w:rsidR="005F75AA" w:rsidRDefault="005F75AA" w:rsidP="006871E9">
      <w:pPr>
        <w:pStyle w:val="Basiccopysl"/>
        <w:spacing w:before="240"/>
        <w:rPr>
          <w:rFonts w:eastAsia="Garamond" w:cs="Garamond"/>
        </w:rPr>
      </w:pPr>
      <w:r>
        <w:t xml:space="preserve">In 1984, in the case of </w:t>
      </w:r>
      <w:r>
        <w:rPr>
          <w:i/>
          <w:iCs/>
        </w:rPr>
        <w:t>Strickland v. Washington</w:t>
      </w:r>
      <w:r>
        <w:t>, the Supreme Court ruled on a standard to determine whether a defendant has received effective representation in accordance with the Sixth Amendment right to counsel. David Washington was tried for capital murder</w:t>
      </w:r>
      <w:r w:rsidR="005A0818">
        <w:t xml:space="preserve"> for which the death penalty was a possible sentence</w:t>
      </w:r>
      <w:r>
        <w:t xml:space="preserve"> in the Florida court system. At his sentencing hearing, he claimed that his attorney did not take actions that would have assisted a reduced sentence after he </w:t>
      </w:r>
      <w:r w:rsidR="00E83629">
        <w:t>pleaded</w:t>
      </w:r>
      <w:r>
        <w:t xml:space="preserve"> guilty to several counts of murder. At his sentencing hearing, he was sentenced to death. Ultimately, on appeal, the cas</w:t>
      </w:r>
      <w:r w:rsidR="00E83629">
        <w:t>e was heard</w:t>
      </w:r>
      <w:r>
        <w:t xml:space="preserve"> in the Supreme Court</w:t>
      </w:r>
      <w:r w:rsidR="00E83629">
        <w:t xml:space="preserve"> of the United States</w:t>
      </w:r>
      <w:r>
        <w:t>.</w:t>
      </w:r>
    </w:p>
    <w:p w14:paraId="27698390" w14:textId="6FF45CA6" w:rsidR="005F75AA" w:rsidRPr="00C312EB" w:rsidRDefault="005F75AA" w:rsidP="00C312EB">
      <w:pPr>
        <w:pStyle w:val="Basiccopysl"/>
      </w:pPr>
      <w:r w:rsidRPr="00C312EB">
        <w:t xml:space="preserve">In their decision, the Supreme Court reaffirmed the principle that a defendant does have a Constitutional right to both effective and competent counsel, and they outlined a “test” or guidance in determining whether this </w:t>
      </w:r>
      <w:r w:rsidR="00E83629" w:rsidRPr="00C312EB">
        <w:t>c</w:t>
      </w:r>
      <w:r w:rsidRPr="00C312EB">
        <w:t xml:space="preserve">onstitutional right had been adequately protected.  </w:t>
      </w:r>
    </w:p>
    <w:p w14:paraId="26358954" w14:textId="327F0611" w:rsidR="005F75AA" w:rsidRPr="00C312EB" w:rsidRDefault="005F75AA" w:rsidP="00C312EB">
      <w:pPr>
        <w:pStyle w:val="Basiccopysl"/>
      </w:pPr>
      <w:r w:rsidRPr="00C312EB">
        <w:t>This is known as the Strickland Test. In order to prove a claim of ineffective assistance of counsel, these two points must be proven:</w:t>
      </w:r>
    </w:p>
    <w:p w14:paraId="7182B6A6" w14:textId="05069957" w:rsidR="005F75AA" w:rsidRPr="00C312EB" w:rsidRDefault="005F75AA" w:rsidP="00C312EB">
      <w:pPr>
        <w:pStyle w:val="Numberedlistsl"/>
        <w:numPr>
          <w:ilvl w:val="0"/>
          <w:numId w:val="23"/>
        </w:numPr>
        <w:spacing w:line="276" w:lineRule="auto"/>
        <w:rPr>
          <w:b/>
          <w:bCs/>
          <w:sz w:val="25"/>
          <w:szCs w:val="25"/>
        </w:rPr>
      </w:pPr>
      <w:r w:rsidRPr="00C312EB">
        <w:rPr>
          <w:sz w:val="25"/>
          <w:szCs w:val="25"/>
        </w:rPr>
        <w:t xml:space="preserve">Counsel’s performance fell below an </w:t>
      </w:r>
      <w:r w:rsidRPr="00C312EB">
        <w:rPr>
          <w:b/>
          <w:bCs/>
          <w:sz w:val="25"/>
          <w:szCs w:val="25"/>
        </w:rPr>
        <w:t>objective standard of reasonableness</w:t>
      </w:r>
      <w:r w:rsidRPr="00C312EB">
        <w:rPr>
          <w:sz w:val="25"/>
          <w:szCs w:val="25"/>
        </w:rPr>
        <w:t xml:space="preserve">. As the court stated in their majority opinion, “this requires showing that counsel made errors so serious that counsel was not functioning as the </w:t>
      </w:r>
      <w:r w:rsidR="00E83629" w:rsidRPr="00C312EB">
        <w:rPr>
          <w:sz w:val="25"/>
          <w:szCs w:val="25"/>
        </w:rPr>
        <w:t>‘</w:t>
      </w:r>
      <w:r w:rsidRPr="00C312EB">
        <w:rPr>
          <w:sz w:val="25"/>
          <w:szCs w:val="25"/>
        </w:rPr>
        <w:t>counsel</w:t>
      </w:r>
      <w:r w:rsidR="00E83629" w:rsidRPr="00C312EB">
        <w:rPr>
          <w:sz w:val="25"/>
          <w:szCs w:val="25"/>
        </w:rPr>
        <w:t>’</w:t>
      </w:r>
      <w:r w:rsidRPr="00C312EB">
        <w:rPr>
          <w:sz w:val="25"/>
          <w:szCs w:val="25"/>
        </w:rPr>
        <w:t xml:space="preserve"> guaranteed the defendant by the Sixth Amendment.</w:t>
      </w:r>
      <w:r w:rsidR="00C312EB">
        <w:rPr>
          <w:sz w:val="25"/>
          <w:szCs w:val="25"/>
        </w:rPr>
        <w:t>”</w:t>
      </w:r>
    </w:p>
    <w:p w14:paraId="3EA5FB36" w14:textId="692C0B95" w:rsidR="005F75AA" w:rsidRPr="00C312EB" w:rsidRDefault="005F75AA" w:rsidP="00C312EB">
      <w:pPr>
        <w:pStyle w:val="Numberedlistsl"/>
        <w:numPr>
          <w:ilvl w:val="0"/>
          <w:numId w:val="23"/>
        </w:numPr>
        <w:spacing w:line="276" w:lineRule="auto"/>
        <w:rPr>
          <w:b/>
          <w:bCs/>
          <w:sz w:val="25"/>
          <w:szCs w:val="25"/>
        </w:rPr>
      </w:pPr>
      <w:r w:rsidRPr="00C312EB">
        <w:rPr>
          <w:sz w:val="25"/>
          <w:szCs w:val="25"/>
        </w:rPr>
        <w:t xml:space="preserve">Counsel’s performance </w:t>
      </w:r>
      <w:r w:rsidRPr="00C312EB">
        <w:rPr>
          <w:b/>
          <w:bCs/>
          <w:sz w:val="25"/>
          <w:szCs w:val="25"/>
        </w:rPr>
        <w:t xml:space="preserve">prejudiced </w:t>
      </w:r>
      <w:r w:rsidRPr="00C312EB">
        <w:rPr>
          <w:sz w:val="25"/>
          <w:szCs w:val="25"/>
        </w:rPr>
        <w:t>the case such that the defendant has been deprived of their right to a fair trial. As the Supreme Court stated in their opinion, “this requires showing that counsel</w:t>
      </w:r>
      <w:r w:rsidR="00C312EB">
        <w:rPr>
          <w:sz w:val="25"/>
          <w:szCs w:val="25"/>
        </w:rPr>
        <w:t>’</w:t>
      </w:r>
      <w:r w:rsidRPr="00C312EB">
        <w:rPr>
          <w:sz w:val="25"/>
          <w:szCs w:val="25"/>
        </w:rPr>
        <w:t>s errors were so serious as to deprive the defendant of a fair trial, a trial whose result is reliable.”</w:t>
      </w:r>
    </w:p>
    <w:p w14:paraId="0BF607A1" w14:textId="77777777" w:rsidR="005F75AA" w:rsidRDefault="005F75AA" w:rsidP="00C312EB">
      <w:pPr>
        <w:pStyle w:val="Subhead3sl"/>
        <w:rPr>
          <w:rFonts w:eastAsia="Garamond" w:cs="Garamond"/>
        </w:rPr>
      </w:pPr>
      <w:r>
        <w:t>Apply the Strickland Test</w:t>
      </w:r>
    </w:p>
    <w:p w14:paraId="3026BC4D" w14:textId="77777777" w:rsidR="005F75AA" w:rsidRDefault="005F75AA" w:rsidP="00C312EB">
      <w:pPr>
        <w:pStyle w:val="Basiccopysl"/>
        <w:rPr>
          <w:rFonts w:eastAsia="Garamond" w:cs="Garamond"/>
        </w:rPr>
      </w:pPr>
      <w:r>
        <w:t>Review your earlier responses about effective and ineffective counsel and apply the Strickland Test.  Then, answer the following questions:</w:t>
      </w:r>
    </w:p>
    <w:p w14:paraId="39304C2B" w14:textId="77777777" w:rsidR="00223906" w:rsidRPr="00223906" w:rsidRDefault="00223906" w:rsidP="00C17D23">
      <w:pPr>
        <w:pStyle w:val="Numberedlistwroomforanswerssl"/>
        <w:numPr>
          <w:ilvl w:val="0"/>
          <w:numId w:val="24"/>
        </w:numPr>
        <w:spacing w:after="1320"/>
        <w:ind w:left="360"/>
        <w:rPr>
          <w:b/>
          <w:bCs/>
        </w:rPr>
      </w:pPr>
      <w:r>
        <w:t>Which of the actions would have passed the Strickland Test independently (and proven ineffective assistance of counsel)</w:t>
      </w:r>
      <w:r w:rsidR="005F75AA">
        <w:t>?</w:t>
      </w:r>
      <w:r>
        <w:t xml:space="preserve"> </w:t>
      </w:r>
    </w:p>
    <w:p w14:paraId="3A6BAD34" w14:textId="1512C69F" w:rsidR="005F75AA" w:rsidRDefault="00C17D23" w:rsidP="00C17D23">
      <w:pPr>
        <w:pStyle w:val="Numberedlistwroomforanswerssl"/>
        <w:numPr>
          <w:ilvl w:val="0"/>
          <w:numId w:val="24"/>
        </w:numPr>
        <w:spacing w:after="1320"/>
        <w:ind w:left="360"/>
        <w:rPr>
          <w:b/>
          <w:bCs/>
        </w:rPr>
      </w:pPr>
      <w:r>
        <w:t xml:space="preserve">Which </w:t>
      </w:r>
      <w:r w:rsidR="00223906">
        <w:t>combinations of actions that would have passed the Strickland test?</w:t>
      </w:r>
    </w:p>
    <w:p w14:paraId="729614DA" w14:textId="77777777" w:rsidR="005F75AA" w:rsidRDefault="005F75AA" w:rsidP="00345C95">
      <w:pPr>
        <w:pStyle w:val="BodyA"/>
        <w:spacing w:after="360"/>
        <w:rPr>
          <w:rFonts w:ascii="Garamond" w:eastAsia="Garamond" w:hAnsi="Garamond" w:cs="Garamond"/>
          <w:sz w:val="24"/>
          <w:szCs w:val="24"/>
        </w:rPr>
      </w:pPr>
      <w:r>
        <w:rPr>
          <w:rFonts w:ascii="Garamond" w:hAnsi="Garamond"/>
          <w:sz w:val="24"/>
          <w:szCs w:val="24"/>
        </w:rPr>
        <w:t>Discuss your choices with a partner and be prepared to share your ideas with your teacher and the class.</w:t>
      </w:r>
    </w:p>
    <w:sectPr w:rsidR="005F75AA" w:rsidSect="00C312EB">
      <w:headerReference w:type="default"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731C30" w14:textId="77777777" w:rsidR="00B67C5A" w:rsidRDefault="00B67C5A" w:rsidP="000610D1">
      <w:r>
        <w:separator/>
      </w:r>
    </w:p>
  </w:endnote>
  <w:endnote w:type="continuationSeparator" w:id="0">
    <w:p w14:paraId="41E0C98E" w14:textId="77777777" w:rsidR="00B67C5A" w:rsidRDefault="00B67C5A" w:rsidP="000610D1">
      <w:r>
        <w:continuationSeparator/>
      </w:r>
    </w:p>
  </w:endnote>
  <w:endnote w:type="continuationNotice" w:id="1">
    <w:p w14:paraId="2B4F00A7" w14:textId="77777777" w:rsidR="00B67C5A" w:rsidRDefault="00B67C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Open Sans">
    <w:altName w:val="Segoe UI"/>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3B762F" w14:textId="78F92E31" w:rsidR="000610D1" w:rsidRPr="00C17D23" w:rsidRDefault="000610D1" w:rsidP="00475558">
    <w:pPr>
      <w:pStyle w:val="BodyText"/>
      <w:tabs>
        <w:tab w:val="right" w:pos="10039"/>
      </w:tabs>
      <w:spacing w:before="269"/>
      <w:rPr>
        <w:sz w:val="22"/>
        <w:szCs w:val="22"/>
      </w:rPr>
    </w:pPr>
    <w:r w:rsidRPr="00C17D23">
      <w:rPr>
        <w:rFonts w:ascii="Garamond" w:hAnsi="Garamond"/>
        <w:sz w:val="22"/>
        <w:szCs w:val="22"/>
      </w:rPr>
      <w:t>© 2020 Street</w:t>
    </w:r>
    <w:r w:rsidRPr="00C17D23">
      <w:rPr>
        <w:rFonts w:ascii="Garamond" w:hAnsi="Garamond"/>
        <w:spacing w:val="-3"/>
        <w:sz w:val="22"/>
        <w:szCs w:val="22"/>
      </w:rPr>
      <w:t xml:space="preserve"> </w:t>
    </w:r>
    <w:r w:rsidRPr="00C17D23">
      <w:rPr>
        <w:rFonts w:ascii="Garamond" w:hAnsi="Garamond"/>
        <w:sz w:val="22"/>
        <w:szCs w:val="22"/>
      </w:rPr>
      <w:t>Law, Inc.</w:t>
    </w:r>
    <w:r w:rsidR="00475558" w:rsidRPr="00C17D23">
      <w:rPr>
        <w:rFonts w:ascii="Garamond" w:hAnsi="Garamond"/>
        <w:sz w:val="22"/>
        <w:szCs w:val="22"/>
      </w:rPr>
      <w:t xml:space="preserve"> </w:t>
    </w:r>
    <w:r w:rsidR="00475558" w:rsidRPr="00C17D23">
      <w:rPr>
        <w:rFonts w:ascii="Garamond" w:hAnsi="Garamond"/>
        <w:sz w:val="22"/>
        <w:szCs w:val="22"/>
      </w:rPr>
      <w:tab/>
    </w:r>
    <w:r w:rsidR="00C17D23" w:rsidRPr="00C17D23">
      <w:rPr>
        <w:rFonts w:ascii="Garamond" w:hAnsi="Garamond"/>
        <w:sz w:val="22"/>
        <w:szCs w:val="22"/>
      </w:rPr>
      <w:fldChar w:fldCharType="begin"/>
    </w:r>
    <w:r w:rsidR="00C17D23" w:rsidRPr="00C17D23">
      <w:rPr>
        <w:rFonts w:ascii="Garamond" w:hAnsi="Garamond"/>
        <w:sz w:val="22"/>
        <w:szCs w:val="22"/>
      </w:rPr>
      <w:instrText xml:space="preserve"> PAGE   \* MERGEFORMAT </w:instrText>
    </w:r>
    <w:r w:rsidR="00C17D23" w:rsidRPr="00C17D23">
      <w:rPr>
        <w:rFonts w:ascii="Garamond" w:hAnsi="Garamond"/>
        <w:sz w:val="22"/>
        <w:szCs w:val="22"/>
      </w:rPr>
      <w:fldChar w:fldCharType="separate"/>
    </w:r>
    <w:r w:rsidR="00C17D23" w:rsidRPr="00C17D23">
      <w:rPr>
        <w:rFonts w:ascii="Garamond" w:hAnsi="Garamond"/>
        <w:noProof/>
        <w:sz w:val="22"/>
        <w:szCs w:val="22"/>
      </w:rPr>
      <w:t>1</w:t>
    </w:r>
    <w:r w:rsidR="00C17D23" w:rsidRPr="00C17D23">
      <w:rPr>
        <w:rFonts w:ascii="Garamond" w:hAnsi="Garamond"/>
        <w:noProof/>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B147F7" w14:textId="77777777" w:rsidR="00C17D23" w:rsidRPr="00C17D23" w:rsidRDefault="00C17D23" w:rsidP="00C17D23">
    <w:pPr>
      <w:pStyle w:val="BodyText"/>
      <w:tabs>
        <w:tab w:val="right" w:pos="10039"/>
      </w:tabs>
      <w:spacing w:before="269"/>
      <w:rPr>
        <w:sz w:val="22"/>
        <w:szCs w:val="22"/>
      </w:rPr>
    </w:pPr>
    <w:r w:rsidRPr="00C17D23">
      <w:rPr>
        <w:rFonts w:ascii="Garamond" w:hAnsi="Garamond"/>
        <w:sz w:val="22"/>
        <w:szCs w:val="22"/>
      </w:rPr>
      <w:t>© 2020 Street</w:t>
    </w:r>
    <w:r w:rsidRPr="00C17D23">
      <w:rPr>
        <w:rFonts w:ascii="Garamond" w:hAnsi="Garamond"/>
        <w:spacing w:val="-3"/>
        <w:sz w:val="22"/>
        <w:szCs w:val="22"/>
      </w:rPr>
      <w:t xml:space="preserve"> </w:t>
    </w:r>
    <w:r w:rsidRPr="00C17D23">
      <w:rPr>
        <w:rFonts w:ascii="Garamond" w:hAnsi="Garamond"/>
        <w:sz w:val="22"/>
        <w:szCs w:val="22"/>
      </w:rPr>
      <w:t xml:space="preserve">Law, Inc. </w:t>
    </w:r>
    <w:r w:rsidRPr="00C17D23">
      <w:rPr>
        <w:rFonts w:ascii="Garamond" w:hAnsi="Garamond"/>
        <w:sz w:val="22"/>
        <w:szCs w:val="22"/>
      </w:rPr>
      <w:tab/>
      <w:t>Last updated: 07/21/2020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4E9875" w14:textId="77777777" w:rsidR="00B67C5A" w:rsidRDefault="00B67C5A" w:rsidP="000610D1">
      <w:r>
        <w:separator/>
      </w:r>
    </w:p>
  </w:footnote>
  <w:footnote w:type="continuationSeparator" w:id="0">
    <w:p w14:paraId="754ED499" w14:textId="77777777" w:rsidR="00B67C5A" w:rsidRDefault="00B67C5A" w:rsidP="000610D1">
      <w:r>
        <w:continuationSeparator/>
      </w:r>
    </w:p>
  </w:footnote>
  <w:footnote w:type="continuationNotice" w:id="1">
    <w:p w14:paraId="4704EFCD" w14:textId="77777777" w:rsidR="00B67C5A" w:rsidRDefault="00B67C5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3EF92D" w14:textId="71C3C132" w:rsidR="000610D1" w:rsidRPr="00476035" w:rsidRDefault="00476035" w:rsidP="00476035">
    <w:pPr>
      <w:pStyle w:val="Header"/>
      <w:rPr>
        <w:rFonts w:ascii="Garamond" w:hAnsi="Garamond"/>
      </w:rPr>
    </w:pPr>
    <w:r w:rsidRPr="003129E4">
      <w:rPr>
        <w:rFonts w:ascii="Garamond" w:hAnsi="Garamond"/>
      </w:rPr>
      <w:t>LandmarkCases.org</w:t>
    </w:r>
    <w:r>
      <w:rPr>
        <w:rFonts w:ascii="Garamond" w:hAnsi="Garamond"/>
        <w:i/>
        <w:iCs/>
      </w:rPr>
      <w:t xml:space="preserve"> </w:t>
    </w:r>
    <w:r>
      <w:rPr>
        <w:rFonts w:ascii="Garamond" w:hAnsi="Garamond"/>
        <w:i/>
        <w:iCs/>
      </w:rPr>
      <w:tab/>
      <w:t xml:space="preserve">                                    Gideon v. Wainwright</w:t>
    </w:r>
    <w:r w:rsidRPr="0022303F">
      <w:rPr>
        <w:rFonts w:ascii="Garamond" w:hAnsi="Garamond"/>
      </w:rPr>
      <w:t xml:space="preserve"> </w:t>
    </w:r>
    <w:r>
      <w:rPr>
        <w:rFonts w:ascii="Garamond" w:hAnsi="Garamond"/>
      </w:rPr>
      <w:t>/</w:t>
    </w:r>
    <w:r w:rsidRPr="0022303F">
      <w:rPr>
        <w:rFonts w:ascii="Garamond" w:hAnsi="Garamond"/>
      </w:rPr>
      <w:t xml:space="preserve"> </w:t>
    </w:r>
    <w:r>
      <w:rPr>
        <w:rFonts w:ascii="Garamond" w:hAnsi="Garamond"/>
      </w:rPr>
      <w:t>Right to Counsel: Quality of Representation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CD53BC" w14:textId="6BB0E414" w:rsidR="00C17D23" w:rsidRPr="0022303F" w:rsidRDefault="00C17D23" w:rsidP="00C17D23">
    <w:pPr>
      <w:pStyle w:val="Header"/>
      <w:rPr>
        <w:rFonts w:ascii="Garamond" w:hAnsi="Garamond"/>
      </w:rPr>
    </w:pPr>
    <w:r w:rsidRPr="003129E4">
      <w:rPr>
        <w:rFonts w:ascii="Garamond" w:hAnsi="Garamond"/>
      </w:rPr>
      <w:t>LandmarkCases.org</w:t>
    </w:r>
    <w:r>
      <w:rPr>
        <w:rFonts w:ascii="Garamond" w:hAnsi="Garamond"/>
        <w:i/>
        <w:iCs/>
      </w:rPr>
      <w:t xml:space="preserve"> </w:t>
    </w:r>
    <w:r>
      <w:rPr>
        <w:rFonts w:ascii="Garamond" w:hAnsi="Garamond"/>
        <w:i/>
        <w:iCs/>
      </w:rPr>
      <w:tab/>
      <w:t xml:space="preserve">                                   </w:t>
    </w:r>
    <w:r w:rsidR="00476035">
      <w:rPr>
        <w:rFonts w:ascii="Garamond" w:hAnsi="Garamond"/>
        <w:i/>
        <w:iCs/>
      </w:rPr>
      <w:t xml:space="preserve"> </w:t>
    </w:r>
    <w:r>
      <w:rPr>
        <w:rFonts w:ascii="Garamond" w:hAnsi="Garamond"/>
        <w:i/>
        <w:iCs/>
      </w:rPr>
      <w:t>Gideon v. Wainwright</w:t>
    </w:r>
    <w:r w:rsidRPr="0022303F">
      <w:rPr>
        <w:rFonts w:ascii="Garamond" w:hAnsi="Garamond"/>
      </w:rPr>
      <w:t xml:space="preserve"> </w:t>
    </w:r>
    <w:r>
      <w:rPr>
        <w:rFonts w:ascii="Garamond" w:hAnsi="Garamond"/>
      </w:rPr>
      <w:t>/</w:t>
    </w:r>
    <w:r w:rsidRPr="0022303F">
      <w:rPr>
        <w:rFonts w:ascii="Garamond" w:hAnsi="Garamond"/>
      </w:rPr>
      <w:t xml:space="preserve"> </w:t>
    </w:r>
    <w:r>
      <w:rPr>
        <w:rFonts w:ascii="Garamond" w:hAnsi="Garamond"/>
      </w:rPr>
      <w:t>Right to Counsel: Qua</w:t>
    </w:r>
    <w:r w:rsidR="00476035">
      <w:rPr>
        <w:rFonts w:ascii="Garamond" w:hAnsi="Garamond"/>
      </w:rPr>
      <w:t>lity of Representation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E27FC3"/>
    <w:multiLevelType w:val="hybridMultilevel"/>
    <w:tmpl w:val="642669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9A00CD"/>
    <w:multiLevelType w:val="hybridMultilevel"/>
    <w:tmpl w:val="45649D56"/>
    <w:lvl w:ilvl="0" w:tplc="8AB6FEF2">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6CD64E3"/>
    <w:multiLevelType w:val="hybridMultilevel"/>
    <w:tmpl w:val="4864B104"/>
    <w:lvl w:ilvl="0" w:tplc="12B88E3E">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3B5BBB"/>
    <w:multiLevelType w:val="hybridMultilevel"/>
    <w:tmpl w:val="BCBE6B80"/>
    <w:lvl w:ilvl="0" w:tplc="24C887EA">
      <w:start w:val="1"/>
      <w:numFmt w:val="bullet"/>
      <w:lvlText w:val=""/>
      <w:lvlJc w:val="left"/>
      <w:pPr>
        <w:ind w:left="720" w:hanging="360"/>
      </w:pPr>
      <w:rPr>
        <w:rFonts w:ascii="Symbol" w:hAnsi="Symbol" w:hint="default"/>
      </w:rPr>
    </w:lvl>
    <w:lvl w:ilvl="1" w:tplc="9142027A">
      <w:start w:val="1"/>
      <w:numFmt w:val="bullet"/>
      <w:pStyle w:val="Sub-bulletsl"/>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E837FF"/>
    <w:multiLevelType w:val="hybridMultilevel"/>
    <w:tmpl w:val="446A0A72"/>
    <w:lvl w:ilvl="0" w:tplc="12B88E3E">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A35B13"/>
    <w:multiLevelType w:val="hybridMultilevel"/>
    <w:tmpl w:val="D952A5EE"/>
    <w:lvl w:ilvl="0" w:tplc="675A570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E13646"/>
    <w:multiLevelType w:val="hybridMultilevel"/>
    <w:tmpl w:val="C9C42254"/>
    <w:styleLink w:val="ImportedStyle1"/>
    <w:lvl w:ilvl="0" w:tplc="3650EA8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1" w:tplc="B4B6594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2" w:tplc="ECD09F3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3" w:tplc="EF901BA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4" w:tplc="F092C19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5" w:tplc="F3AEF86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6" w:tplc="80B0403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7" w:tplc="DE3A0AD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8" w:tplc="72746EB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abstractNum>
  <w:abstractNum w:abstractNumId="7" w15:restartNumberingAfterBreak="0">
    <w:nsid w:val="26B352BB"/>
    <w:multiLevelType w:val="hybridMultilevel"/>
    <w:tmpl w:val="28300024"/>
    <w:styleLink w:val="Numbered"/>
    <w:lvl w:ilvl="0" w:tplc="E7182660">
      <w:start w:val="1"/>
      <w:numFmt w:val="decimal"/>
      <w:lvlText w:val="%1."/>
      <w:lvlJc w:val="left"/>
      <w:pPr>
        <w:ind w:left="425"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1" w:tplc="911EAFBE">
      <w:start w:val="1"/>
      <w:numFmt w:val="decimal"/>
      <w:lvlText w:val="%2."/>
      <w:lvlJc w:val="left"/>
      <w:pPr>
        <w:ind w:left="785"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2" w:tplc="BC80F23A">
      <w:start w:val="1"/>
      <w:numFmt w:val="decimal"/>
      <w:lvlText w:val="%3."/>
      <w:lvlJc w:val="left"/>
      <w:pPr>
        <w:ind w:left="111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3" w:tplc="4F70DAF6">
      <w:start w:val="1"/>
      <w:numFmt w:val="decimal"/>
      <w:lvlText w:val="%4."/>
      <w:lvlJc w:val="left"/>
      <w:pPr>
        <w:ind w:left="147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4" w:tplc="B0EA8006">
      <w:start w:val="1"/>
      <w:numFmt w:val="decimal"/>
      <w:lvlText w:val="%5."/>
      <w:lvlJc w:val="left"/>
      <w:pPr>
        <w:ind w:left="183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5" w:tplc="D4960B6E">
      <w:start w:val="1"/>
      <w:numFmt w:val="decimal"/>
      <w:lvlText w:val="%6."/>
      <w:lvlJc w:val="left"/>
      <w:pPr>
        <w:ind w:left="219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6" w:tplc="DA300C98">
      <w:start w:val="1"/>
      <w:numFmt w:val="decimal"/>
      <w:lvlText w:val="%7."/>
      <w:lvlJc w:val="left"/>
      <w:pPr>
        <w:ind w:left="255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7" w:tplc="6D4A070A">
      <w:start w:val="1"/>
      <w:numFmt w:val="decimal"/>
      <w:lvlText w:val="%8."/>
      <w:lvlJc w:val="left"/>
      <w:pPr>
        <w:ind w:left="291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8" w:tplc="785E21A2">
      <w:start w:val="1"/>
      <w:numFmt w:val="decimal"/>
      <w:lvlText w:val="%9."/>
      <w:lvlJc w:val="left"/>
      <w:pPr>
        <w:ind w:left="3273" w:hanging="393"/>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26C4695E"/>
    <w:multiLevelType w:val="hybridMultilevel"/>
    <w:tmpl w:val="4A0C3F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5F7BC0"/>
    <w:multiLevelType w:val="hybridMultilevel"/>
    <w:tmpl w:val="28300024"/>
    <w:numStyleLink w:val="Numbered"/>
  </w:abstractNum>
  <w:abstractNum w:abstractNumId="10" w15:restartNumberingAfterBreak="0">
    <w:nsid w:val="31640D0D"/>
    <w:multiLevelType w:val="hybridMultilevel"/>
    <w:tmpl w:val="F850CD4E"/>
    <w:lvl w:ilvl="0" w:tplc="BA7831CE">
      <w:start w:val="1"/>
      <w:numFmt w:val="bullet"/>
      <w:pStyle w:val="Bulletsl"/>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2E04CA"/>
    <w:multiLevelType w:val="hybridMultilevel"/>
    <w:tmpl w:val="4A0C3F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F96A6B"/>
    <w:multiLevelType w:val="hybridMultilevel"/>
    <w:tmpl w:val="9D5438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F52C8E"/>
    <w:multiLevelType w:val="multilevel"/>
    <w:tmpl w:val="8D022F2E"/>
    <w:lvl w:ilvl="0">
      <w:start w:val="1"/>
      <w:numFmt w:val="decimal"/>
      <w:lvlText w:val="%1."/>
      <w:lvlJc w:val="left"/>
      <w:pPr>
        <w:tabs>
          <w:tab w:val="num" w:pos="720"/>
        </w:tabs>
        <w:ind w:left="720" w:hanging="360"/>
      </w:pPr>
      <w:rPr>
        <w:rFonts w:ascii="Garamond" w:eastAsia="Garamond" w:hAnsi="Garamond" w:cs="Garamond"/>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6CA5227"/>
    <w:multiLevelType w:val="hybridMultilevel"/>
    <w:tmpl w:val="D952A5EE"/>
    <w:lvl w:ilvl="0" w:tplc="675A570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EE365C1"/>
    <w:multiLevelType w:val="hybridMultilevel"/>
    <w:tmpl w:val="BB82DC56"/>
    <w:lvl w:ilvl="0" w:tplc="12B88E3E">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87A590F"/>
    <w:multiLevelType w:val="hybridMultilevel"/>
    <w:tmpl w:val="D952A5EE"/>
    <w:lvl w:ilvl="0" w:tplc="675A570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9997004"/>
    <w:multiLevelType w:val="hybridMultilevel"/>
    <w:tmpl w:val="D952A5EE"/>
    <w:lvl w:ilvl="0" w:tplc="675A570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132FD3"/>
    <w:multiLevelType w:val="hybridMultilevel"/>
    <w:tmpl w:val="C9C42254"/>
    <w:numStyleLink w:val="ImportedStyle1"/>
  </w:abstractNum>
  <w:abstractNum w:abstractNumId="19" w15:restartNumberingAfterBreak="0">
    <w:nsid w:val="6D826C2D"/>
    <w:multiLevelType w:val="multilevel"/>
    <w:tmpl w:val="874602E4"/>
    <w:lvl w:ilvl="0">
      <w:start w:val="1"/>
      <w:numFmt w:val="decimal"/>
      <w:lvlText w:val="%1."/>
      <w:lvlJc w:val="left"/>
      <w:pPr>
        <w:ind w:left="720" w:hanging="360"/>
      </w:pPr>
      <w:rPr>
        <w:rFonts w:ascii="Open Sans" w:eastAsia="Open Sans" w:hAnsi="Open Sans" w:cs="Open Sans"/>
        <w:sz w:val="23"/>
        <w:szCs w:val="23"/>
        <w:u w:val="none"/>
      </w:rPr>
    </w:lvl>
    <w:lvl w:ilvl="1">
      <w:start w:val="1"/>
      <w:numFmt w:val="bullet"/>
      <w:lvlText w:val="○"/>
      <w:lvlJc w:val="left"/>
      <w:pPr>
        <w:ind w:left="1440" w:hanging="360"/>
      </w:pPr>
      <w:rPr>
        <w:rFonts w:ascii="Open Sans" w:eastAsia="Open Sans" w:hAnsi="Open Sans" w:cs="Open Sans"/>
        <w:sz w:val="23"/>
        <w:szCs w:val="23"/>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0" w15:restartNumberingAfterBreak="0">
    <w:nsid w:val="7B9F59EF"/>
    <w:multiLevelType w:val="hybridMultilevel"/>
    <w:tmpl w:val="035675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E106F4E"/>
    <w:multiLevelType w:val="hybridMultilevel"/>
    <w:tmpl w:val="F7D660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3"/>
  </w:num>
  <w:num w:numId="3">
    <w:abstractNumId w:val="19"/>
  </w:num>
  <w:num w:numId="4">
    <w:abstractNumId w:val="11"/>
  </w:num>
  <w:num w:numId="5">
    <w:abstractNumId w:val="8"/>
  </w:num>
  <w:num w:numId="6">
    <w:abstractNumId w:val="10"/>
  </w:num>
  <w:num w:numId="7">
    <w:abstractNumId w:val="1"/>
  </w:num>
  <w:num w:numId="8">
    <w:abstractNumId w:val="3"/>
  </w:num>
  <w:num w:numId="9">
    <w:abstractNumId w:val="0"/>
  </w:num>
  <w:num w:numId="10">
    <w:abstractNumId w:val="12"/>
  </w:num>
  <w:num w:numId="11">
    <w:abstractNumId w:val="6"/>
  </w:num>
  <w:num w:numId="12">
    <w:abstractNumId w:val="18"/>
  </w:num>
  <w:num w:numId="13">
    <w:abstractNumId w:val="18"/>
    <w:lvlOverride w:ilvl="0">
      <w:lvl w:ilvl="0" w:tplc="816ED54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2BD868C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C0BC6B3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F1D6378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AA064D1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EA741B4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C55E5EA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A79C9B3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AF5E48A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4">
    <w:abstractNumId w:val="7"/>
  </w:num>
  <w:num w:numId="15">
    <w:abstractNumId w:val="9"/>
  </w:num>
  <w:num w:numId="16">
    <w:abstractNumId w:val="9"/>
    <w:lvlOverride w:ilvl="0">
      <w:startOverride w:val="1"/>
      <w:lvl w:ilvl="0" w:tplc="03F633B2">
        <w:start w:val="1"/>
        <w:numFmt w:val="decimal"/>
        <w:lvlText w:val="%1."/>
        <w:lvlJc w:val="left"/>
        <w:pPr>
          <w:ind w:left="39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7B32D222">
        <w:start w:val="1"/>
        <w:numFmt w:val="decimal"/>
        <w:lvlText w:val="%2."/>
        <w:lvlJc w:val="left"/>
        <w:pPr>
          <w:ind w:left="75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F95867BC">
        <w:start w:val="1"/>
        <w:numFmt w:val="decimal"/>
        <w:lvlText w:val="%3."/>
        <w:lvlJc w:val="left"/>
        <w:pPr>
          <w:ind w:left="111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2F900C26">
        <w:start w:val="1"/>
        <w:numFmt w:val="decimal"/>
        <w:lvlText w:val="%4."/>
        <w:lvlJc w:val="left"/>
        <w:pPr>
          <w:ind w:left="147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7818D2F8">
        <w:start w:val="1"/>
        <w:numFmt w:val="decimal"/>
        <w:lvlText w:val="%5."/>
        <w:lvlJc w:val="left"/>
        <w:pPr>
          <w:ind w:left="183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1FAA2420">
        <w:start w:val="1"/>
        <w:numFmt w:val="decimal"/>
        <w:lvlText w:val="%6."/>
        <w:lvlJc w:val="left"/>
        <w:pPr>
          <w:ind w:left="219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243A243A">
        <w:start w:val="1"/>
        <w:numFmt w:val="decimal"/>
        <w:lvlText w:val="%7."/>
        <w:lvlJc w:val="left"/>
        <w:pPr>
          <w:ind w:left="255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3418CDD0">
        <w:start w:val="1"/>
        <w:numFmt w:val="decimal"/>
        <w:lvlText w:val="%8."/>
        <w:lvlJc w:val="left"/>
        <w:pPr>
          <w:ind w:left="291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59860510">
        <w:start w:val="1"/>
        <w:numFmt w:val="decimal"/>
        <w:lvlText w:val="%9."/>
        <w:lvlJc w:val="left"/>
        <w:pPr>
          <w:ind w:left="327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7">
    <w:abstractNumId w:val="9"/>
    <w:lvlOverride w:ilvl="0">
      <w:startOverride w:val="1"/>
      <w:lvl w:ilvl="0" w:tplc="03F633B2">
        <w:start w:val="1"/>
        <w:numFmt w:val="decimal"/>
        <w:lvlText w:val="%1."/>
        <w:lvlJc w:val="left"/>
        <w:pPr>
          <w:ind w:left="39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7B32D222">
        <w:start w:val="1"/>
        <w:numFmt w:val="decimal"/>
        <w:lvlText w:val="%2."/>
        <w:lvlJc w:val="left"/>
        <w:pPr>
          <w:ind w:left="75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F95867BC">
        <w:start w:val="1"/>
        <w:numFmt w:val="decimal"/>
        <w:lvlText w:val="%3."/>
        <w:lvlJc w:val="left"/>
        <w:pPr>
          <w:ind w:left="111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2F900C26">
        <w:start w:val="1"/>
        <w:numFmt w:val="decimal"/>
        <w:lvlText w:val="%4."/>
        <w:lvlJc w:val="left"/>
        <w:pPr>
          <w:ind w:left="147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7818D2F8">
        <w:start w:val="1"/>
        <w:numFmt w:val="decimal"/>
        <w:lvlText w:val="%5."/>
        <w:lvlJc w:val="left"/>
        <w:pPr>
          <w:ind w:left="183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1FAA2420">
        <w:start w:val="1"/>
        <w:numFmt w:val="decimal"/>
        <w:lvlText w:val="%6."/>
        <w:lvlJc w:val="left"/>
        <w:pPr>
          <w:ind w:left="219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243A243A">
        <w:start w:val="1"/>
        <w:numFmt w:val="decimal"/>
        <w:lvlText w:val="%7."/>
        <w:lvlJc w:val="left"/>
        <w:pPr>
          <w:ind w:left="255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3418CDD0">
        <w:start w:val="1"/>
        <w:numFmt w:val="decimal"/>
        <w:lvlText w:val="%8."/>
        <w:lvlJc w:val="left"/>
        <w:pPr>
          <w:ind w:left="291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59860510">
        <w:start w:val="1"/>
        <w:numFmt w:val="decimal"/>
        <w:lvlText w:val="%9."/>
        <w:lvlJc w:val="left"/>
        <w:pPr>
          <w:ind w:left="327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8">
    <w:abstractNumId w:val="9"/>
    <w:lvlOverride w:ilvl="0">
      <w:startOverride w:val="1"/>
    </w:lvlOverride>
  </w:num>
  <w:num w:numId="19">
    <w:abstractNumId w:val="9"/>
    <w:lvlOverride w:ilvl="0">
      <w:startOverride w:val="1"/>
    </w:lvlOverride>
  </w:num>
  <w:num w:numId="20">
    <w:abstractNumId w:val="9"/>
    <w:lvlOverride w:ilvl="0">
      <w:startOverride w:val="1"/>
      <w:lvl w:ilvl="0" w:tplc="03F633B2">
        <w:start w:val="1"/>
        <w:numFmt w:val="decimal"/>
        <w:lvlText w:val="%1."/>
        <w:lvlJc w:val="left"/>
        <w:pPr>
          <w:ind w:left="39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7B32D222">
        <w:start w:val="1"/>
        <w:numFmt w:val="decimal"/>
        <w:lvlText w:val="%2."/>
        <w:lvlJc w:val="left"/>
        <w:pPr>
          <w:ind w:left="75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F95867BC">
        <w:start w:val="1"/>
        <w:numFmt w:val="decimal"/>
        <w:lvlText w:val="%3."/>
        <w:lvlJc w:val="left"/>
        <w:pPr>
          <w:ind w:left="111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2F900C26">
        <w:start w:val="1"/>
        <w:numFmt w:val="decimal"/>
        <w:lvlText w:val="%4."/>
        <w:lvlJc w:val="left"/>
        <w:pPr>
          <w:ind w:left="147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7818D2F8">
        <w:start w:val="1"/>
        <w:numFmt w:val="decimal"/>
        <w:lvlText w:val="%5."/>
        <w:lvlJc w:val="left"/>
        <w:pPr>
          <w:ind w:left="183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1FAA2420">
        <w:start w:val="1"/>
        <w:numFmt w:val="decimal"/>
        <w:lvlText w:val="%6."/>
        <w:lvlJc w:val="left"/>
        <w:pPr>
          <w:ind w:left="219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243A243A">
        <w:start w:val="1"/>
        <w:numFmt w:val="decimal"/>
        <w:lvlText w:val="%7."/>
        <w:lvlJc w:val="left"/>
        <w:pPr>
          <w:ind w:left="255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3418CDD0">
        <w:start w:val="1"/>
        <w:numFmt w:val="decimal"/>
        <w:lvlText w:val="%8."/>
        <w:lvlJc w:val="left"/>
        <w:pPr>
          <w:ind w:left="291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59860510">
        <w:start w:val="1"/>
        <w:numFmt w:val="decimal"/>
        <w:lvlText w:val="%9."/>
        <w:lvlJc w:val="left"/>
        <w:pPr>
          <w:ind w:left="327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21">
    <w:abstractNumId w:val="21"/>
  </w:num>
  <w:num w:numId="22">
    <w:abstractNumId w:val="20"/>
  </w:num>
  <w:num w:numId="23">
    <w:abstractNumId w:val="4"/>
  </w:num>
  <w:num w:numId="24">
    <w:abstractNumId w:val="2"/>
  </w:num>
  <w:num w:numId="25">
    <w:abstractNumId w:val="15"/>
  </w:num>
  <w:num w:numId="26">
    <w:abstractNumId w:val="14"/>
  </w:num>
  <w:num w:numId="27">
    <w:abstractNumId w:val="16"/>
  </w:num>
  <w:num w:numId="28">
    <w:abstractNumId w:val="17"/>
  </w:num>
  <w:num w:numId="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9B3"/>
    <w:rsid w:val="00033CBD"/>
    <w:rsid w:val="00034F77"/>
    <w:rsid w:val="0003519E"/>
    <w:rsid w:val="000434F2"/>
    <w:rsid w:val="000610D1"/>
    <w:rsid w:val="000E2A92"/>
    <w:rsid w:val="000F5B4D"/>
    <w:rsid w:val="00142367"/>
    <w:rsid w:val="001424E8"/>
    <w:rsid w:val="00171674"/>
    <w:rsid w:val="001717EF"/>
    <w:rsid w:val="00184AAF"/>
    <w:rsid w:val="00186AE2"/>
    <w:rsid w:val="001C7955"/>
    <w:rsid w:val="0022303F"/>
    <w:rsid w:val="00223906"/>
    <w:rsid w:val="002751BF"/>
    <w:rsid w:val="00276EAB"/>
    <w:rsid w:val="002A2102"/>
    <w:rsid w:val="003129E4"/>
    <w:rsid w:val="00330C06"/>
    <w:rsid w:val="0033173F"/>
    <w:rsid w:val="00336455"/>
    <w:rsid w:val="00345C95"/>
    <w:rsid w:val="00352BB4"/>
    <w:rsid w:val="00371C84"/>
    <w:rsid w:val="00385DBB"/>
    <w:rsid w:val="00386D4A"/>
    <w:rsid w:val="003C3313"/>
    <w:rsid w:val="003C7970"/>
    <w:rsid w:val="00426FF0"/>
    <w:rsid w:val="00475558"/>
    <w:rsid w:val="00476035"/>
    <w:rsid w:val="00482F08"/>
    <w:rsid w:val="004C5395"/>
    <w:rsid w:val="004D0F1E"/>
    <w:rsid w:val="00502E83"/>
    <w:rsid w:val="00582196"/>
    <w:rsid w:val="00591190"/>
    <w:rsid w:val="0059340C"/>
    <w:rsid w:val="005A0818"/>
    <w:rsid w:val="005A5EB0"/>
    <w:rsid w:val="005B6F3C"/>
    <w:rsid w:val="005D0D99"/>
    <w:rsid w:val="005E58FD"/>
    <w:rsid w:val="005F75AA"/>
    <w:rsid w:val="006302A7"/>
    <w:rsid w:val="006707C0"/>
    <w:rsid w:val="006871E9"/>
    <w:rsid w:val="00695C0D"/>
    <w:rsid w:val="00695C0F"/>
    <w:rsid w:val="006A2374"/>
    <w:rsid w:val="006A6101"/>
    <w:rsid w:val="006E26A9"/>
    <w:rsid w:val="007326FF"/>
    <w:rsid w:val="00742483"/>
    <w:rsid w:val="00750F1F"/>
    <w:rsid w:val="00755F81"/>
    <w:rsid w:val="00756310"/>
    <w:rsid w:val="007570D8"/>
    <w:rsid w:val="007618CC"/>
    <w:rsid w:val="00766075"/>
    <w:rsid w:val="007D22DA"/>
    <w:rsid w:val="008824E4"/>
    <w:rsid w:val="0089122B"/>
    <w:rsid w:val="00935173"/>
    <w:rsid w:val="0093793B"/>
    <w:rsid w:val="00953BBD"/>
    <w:rsid w:val="009579A9"/>
    <w:rsid w:val="00965FE5"/>
    <w:rsid w:val="00985CD3"/>
    <w:rsid w:val="00994A8A"/>
    <w:rsid w:val="009F203E"/>
    <w:rsid w:val="009F7D24"/>
    <w:rsid w:val="00A229EA"/>
    <w:rsid w:val="00A301D5"/>
    <w:rsid w:val="00A34B16"/>
    <w:rsid w:val="00AA66A0"/>
    <w:rsid w:val="00B27445"/>
    <w:rsid w:val="00B334F6"/>
    <w:rsid w:val="00B67C5A"/>
    <w:rsid w:val="00B80EDF"/>
    <w:rsid w:val="00B824CB"/>
    <w:rsid w:val="00B86349"/>
    <w:rsid w:val="00B875B1"/>
    <w:rsid w:val="00B929D9"/>
    <w:rsid w:val="00BD4C1D"/>
    <w:rsid w:val="00C17D23"/>
    <w:rsid w:val="00C30544"/>
    <w:rsid w:val="00C312EB"/>
    <w:rsid w:val="00C510B5"/>
    <w:rsid w:val="00C53372"/>
    <w:rsid w:val="00CB0637"/>
    <w:rsid w:val="00CB20A9"/>
    <w:rsid w:val="00D02C63"/>
    <w:rsid w:val="00D049B3"/>
    <w:rsid w:val="00D073B3"/>
    <w:rsid w:val="00D11093"/>
    <w:rsid w:val="00D538C0"/>
    <w:rsid w:val="00D8601A"/>
    <w:rsid w:val="00D955D9"/>
    <w:rsid w:val="00DD44CA"/>
    <w:rsid w:val="00DD6D44"/>
    <w:rsid w:val="00DE16D6"/>
    <w:rsid w:val="00E83629"/>
    <w:rsid w:val="00EA13FB"/>
    <w:rsid w:val="00F213A7"/>
    <w:rsid w:val="00F248DC"/>
    <w:rsid w:val="00F33310"/>
    <w:rsid w:val="00F511B5"/>
    <w:rsid w:val="00F7470A"/>
    <w:rsid w:val="00F74EDB"/>
    <w:rsid w:val="00F85185"/>
    <w:rsid w:val="00FD02A6"/>
    <w:rsid w:val="00FE28E8"/>
    <w:rsid w:val="00FF04B4"/>
    <w:rsid w:val="00FF6231"/>
    <w:rsid w:val="03300C2C"/>
    <w:rsid w:val="0DB8F5D8"/>
    <w:rsid w:val="1AC89C0D"/>
    <w:rsid w:val="5C09F9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AC89D"/>
  <w15:chartTrackingRefBased/>
  <w15:docId w15:val="{B24C478D-8251-45E8-A6D5-AACA974CC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6101"/>
    <w:pPr>
      <w:spacing w:after="0" w:line="240" w:lineRule="auto"/>
    </w:pPr>
    <w:rPr>
      <w:rFonts w:ascii="Calibri" w:hAnsi="Calibri" w:cs="Calibri"/>
    </w:rPr>
  </w:style>
  <w:style w:type="paragraph" w:styleId="Heading3">
    <w:name w:val="heading 3"/>
    <w:basedOn w:val="Normal"/>
    <w:next w:val="Normal"/>
    <w:link w:val="Heading3Char"/>
    <w:uiPriority w:val="9"/>
    <w:semiHidden/>
    <w:unhideWhenUsed/>
    <w:qFormat/>
    <w:rsid w:val="003C3313"/>
    <w:pPr>
      <w:keepNext/>
      <w:keepLines/>
      <w:spacing w:before="40" w:line="259" w:lineRule="auto"/>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A6101"/>
    <w:rPr>
      <w:color w:val="0563C1"/>
      <w:u w:val="single"/>
    </w:rPr>
  </w:style>
  <w:style w:type="paragraph" w:styleId="BodyText">
    <w:name w:val="Body Text"/>
    <w:basedOn w:val="Normal"/>
    <w:link w:val="BodyTextChar"/>
    <w:uiPriority w:val="1"/>
    <w:qFormat/>
    <w:rsid w:val="008824E4"/>
    <w:pPr>
      <w:widowControl w:val="0"/>
      <w:autoSpaceDE w:val="0"/>
      <w:autoSpaceDN w:val="0"/>
    </w:pPr>
    <w:rPr>
      <w:rFonts w:ascii="Times New Roman" w:eastAsia="Times New Roman" w:hAnsi="Times New Roman" w:cs="Times New Roman"/>
      <w:sz w:val="24"/>
      <w:szCs w:val="24"/>
      <w:lang w:bidi="en-US"/>
    </w:rPr>
  </w:style>
  <w:style w:type="character" w:customStyle="1" w:styleId="BodyTextChar">
    <w:name w:val="Body Text Char"/>
    <w:basedOn w:val="DefaultParagraphFont"/>
    <w:link w:val="BodyText"/>
    <w:uiPriority w:val="1"/>
    <w:rsid w:val="008824E4"/>
    <w:rPr>
      <w:rFonts w:ascii="Times New Roman" w:eastAsia="Times New Roman" w:hAnsi="Times New Roman" w:cs="Times New Roman"/>
      <w:sz w:val="24"/>
      <w:szCs w:val="24"/>
      <w:lang w:bidi="en-US"/>
    </w:rPr>
  </w:style>
  <w:style w:type="paragraph" w:customStyle="1" w:styleId="Bulletsl">
    <w:name w:val="Bullet_sl"/>
    <w:basedOn w:val="Normal"/>
    <w:link w:val="BulletslChar"/>
    <w:qFormat/>
    <w:rsid w:val="003129E4"/>
    <w:pPr>
      <w:numPr>
        <w:numId w:val="6"/>
      </w:numPr>
      <w:spacing w:after="120"/>
    </w:pPr>
    <w:rPr>
      <w:rFonts w:ascii="Garamond" w:hAnsi="Garamond" w:cstheme="minorBidi"/>
      <w:sz w:val="24"/>
      <w:szCs w:val="24"/>
    </w:rPr>
  </w:style>
  <w:style w:type="character" w:customStyle="1" w:styleId="BulletslChar">
    <w:name w:val="Bullet_sl Char"/>
    <w:basedOn w:val="DefaultParagraphFont"/>
    <w:link w:val="Bulletsl"/>
    <w:rsid w:val="003129E4"/>
    <w:rPr>
      <w:rFonts w:ascii="Garamond" w:hAnsi="Garamond"/>
      <w:sz w:val="24"/>
      <w:szCs w:val="24"/>
    </w:rPr>
  </w:style>
  <w:style w:type="paragraph" w:styleId="Header">
    <w:name w:val="header"/>
    <w:basedOn w:val="Normal"/>
    <w:link w:val="HeaderChar"/>
    <w:uiPriority w:val="99"/>
    <w:unhideWhenUsed/>
    <w:rsid w:val="000610D1"/>
    <w:pPr>
      <w:tabs>
        <w:tab w:val="center" w:pos="4680"/>
        <w:tab w:val="right" w:pos="9360"/>
      </w:tabs>
    </w:pPr>
  </w:style>
  <w:style w:type="character" w:customStyle="1" w:styleId="HeaderChar">
    <w:name w:val="Header Char"/>
    <w:basedOn w:val="DefaultParagraphFont"/>
    <w:link w:val="Header"/>
    <w:uiPriority w:val="99"/>
    <w:rsid w:val="000610D1"/>
    <w:rPr>
      <w:rFonts w:ascii="Calibri" w:hAnsi="Calibri" w:cs="Calibri"/>
    </w:rPr>
  </w:style>
  <w:style w:type="paragraph" w:styleId="Footer">
    <w:name w:val="footer"/>
    <w:basedOn w:val="Normal"/>
    <w:link w:val="FooterChar"/>
    <w:uiPriority w:val="99"/>
    <w:unhideWhenUsed/>
    <w:rsid w:val="000610D1"/>
    <w:pPr>
      <w:tabs>
        <w:tab w:val="center" w:pos="4680"/>
        <w:tab w:val="right" w:pos="9360"/>
      </w:tabs>
    </w:pPr>
  </w:style>
  <w:style w:type="character" w:customStyle="1" w:styleId="FooterChar">
    <w:name w:val="Footer Char"/>
    <w:basedOn w:val="DefaultParagraphFont"/>
    <w:link w:val="Footer"/>
    <w:uiPriority w:val="99"/>
    <w:rsid w:val="000610D1"/>
    <w:rPr>
      <w:rFonts w:ascii="Calibri" w:hAnsi="Calibri" w:cs="Calibri"/>
    </w:rPr>
  </w:style>
  <w:style w:type="table" w:styleId="TableGrid">
    <w:name w:val="Table Grid"/>
    <w:basedOn w:val="TableNormal"/>
    <w:uiPriority w:val="59"/>
    <w:rsid w:val="00994A8A"/>
    <w:pPr>
      <w:spacing w:after="0" w:line="240" w:lineRule="auto"/>
    </w:pPr>
    <w:rPr>
      <w:rFonts w:ascii="Times New Roman" w:hAnsi="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994A8A"/>
    <w:rPr>
      <w:color w:val="605E5C"/>
      <w:shd w:val="clear" w:color="auto" w:fill="E1DFDD"/>
    </w:rPr>
  </w:style>
  <w:style w:type="paragraph" w:styleId="BalloonText">
    <w:name w:val="Balloon Text"/>
    <w:basedOn w:val="Normal"/>
    <w:link w:val="BalloonTextChar"/>
    <w:uiPriority w:val="99"/>
    <w:semiHidden/>
    <w:unhideWhenUsed/>
    <w:rsid w:val="00426F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6FF0"/>
    <w:rPr>
      <w:rFonts w:ascii="Segoe UI" w:hAnsi="Segoe UI" w:cs="Segoe UI"/>
      <w:sz w:val="18"/>
      <w:szCs w:val="18"/>
    </w:rPr>
  </w:style>
  <w:style w:type="paragraph" w:styleId="ListParagraph">
    <w:name w:val="List Paragraph"/>
    <w:basedOn w:val="Normal"/>
    <w:uiPriority w:val="34"/>
    <w:qFormat/>
    <w:rsid w:val="00A301D5"/>
    <w:pPr>
      <w:ind w:left="720"/>
      <w:contextualSpacing/>
    </w:pPr>
  </w:style>
  <w:style w:type="character" w:customStyle="1" w:styleId="Heading3Char">
    <w:name w:val="Heading 3 Char"/>
    <w:basedOn w:val="DefaultParagraphFont"/>
    <w:link w:val="Heading3"/>
    <w:uiPriority w:val="9"/>
    <w:semiHidden/>
    <w:rsid w:val="003C3313"/>
    <w:rPr>
      <w:rFonts w:asciiTheme="majorHAnsi" w:eastAsiaTheme="majorEastAsia" w:hAnsiTheme="majorHAnsi" w:cstheme="majorBidi"/>
      <w:color w:val="1F3763" w:themeColor="accent1" w:themeShade="7F"/>
      <w:sz w:val="24"/>
      <w:szCs w:val="24"/>
    </w:rPr>
  </w:style>
  <w:style w:type="paragraph" w:customStyle="1" w:styleId="Default">
    <w:name w:val="Default"/>
    <w:rsid w:val="00985CD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Basiccopysl">
    <w:name w:val="Basic copy_sl"/>
    <w:basedOn w:val="Normal"/>
    <w:link w:val="BasiccopyslChar"/>
    <w:qFormat/>
    <w:rsid w:val="003129E4"/>
    <w:pPr>
      <w:spacing w:after="120" w:line="276" w:lineRule="auto"/>
    </w:pPr>
    <w:rPr>
      <w:rFonts w:ascii="Garamond" w:hAnsi="Garamond" w:cstheme="minorBidi"/>
      <w:sz w:val="24"/>
      <w:szCs w:val="24"/>
    </w:rPr>
  </w:style>
  <w:style w:type="character" w:customStyle="1" w:styleId="BasiccopyslChar">
    <w:name w:val="Basic copy_sl Char"/>
    <w:basedOn w:val="DefaultParagraphFont"/>
    <w:link w:val="Basiccopysl"/>
    <w:rsid w:val="003129E4"/>
    <w:rPr>
      <w:rFonts w:ascii="Garamond" w:hAnsi="Garamond"/>
      <w:sz w:val="24"/>
      <w:szCs w:val="24"/>
    </w:rPr>
  </w:style>
  <w:style w:type="paragraph" w:customStyle="1" w:styleId="Hyperlinksl">
    <w:name w:val="Hyperlink_sl"/>
    <w:basedOn w:val="Normal"/>
    <w:link w:val="HyperlinkslChar"/>
    <w:rsid w:val="003129E4"/>
    <w:pPr>
      <w:spacing w:after="120"/>
    </w:pPr>
    <w:rPr>
      <w:rFonts w:ascii="Garamond" w:hAnsi="Garamond" w:cstheme="minorBidi"/>
      <w:sz w:val="24"/>
      <w:szCs w:val="24"/>
    </w:rPr>
  </w:style>
  <w:style w:type="character" w:customStyle="1" w:styleId="HyperlinkslChar">
    <w:name w:val="Hyperlink_sl Char"/>
    <w:basedOn w:val="DefaultParagraphFont"/>
    <w:link w:val="Hyperlinksl"/>
    <w:rsid w:val="003129E4"/>
    <w:rPr>
      <w:rFonts w:ascii="Garamond" w:hAnsi="Garamond"/>
      <w:sz w:val="24"/>
      <w:szCs w:val="24"/>
    </w:rPr>
  </w:style>
  <w:style w:type="paragraph" w:customStyle="1" w:styleId="Numberedlistsl">
    <w:name w:val="Numbered list_sl"/>
    <w:basedOn w:val="Normal"/>
    <w:link w:val="NumberedlistslChar"/>
    <w:qFormat/>
    <w:rsid w:val="003129E4"/>
    <w:pPr>
      <w:spacing w:after="120"/>
    </w:pPr>
    <w:rPr>
      <w:rFonts w:ascii="Garamond" w:hAnsi="Garamond" w:cstheme="minorBidi"/>
      <w:sz w:val="24"/>
      <w:szCs w:val="24"/>
    </w:rPr>
  </w:style>
  <w:style w:type="character" w:customStyle="1" w:styleId="NumberedlistslChar">
    <w:name w:val="Numbered list_sl Char"/>
    <w:basedOn w:val="DefaultParagraphFont"/>
    <w:link w:val="Numberedlistsl"/>
    <w:rsid w:val="003129E4"/>
    <w:rPr>
      <w:rFonts w:ascii="Garamond" w:hAnsi="Garamond"/>
      <w:sz w:val="24"/>
      <w:szCs w:val="24"/>
    </w:rPr>
  </w:style>
  <w:style w:type="paragraph" w:customStyle="1" w:styleId="Sub-bulletsl">
    <w:name w:val="Sub-bullet_sl"/>
    <w:basedOn w:val="Bulletsl"/>
    <w:link w:val="Sub-bulletslChar"/>
    <w:qFormat/>
    <w:rsid w:val="003129E4"/>
    <w:pPr>
      <w:numPr>
        <w:ilvl w:val="1"/>
        <w:numId w:val="8"/>
      </w:numPr>
    </w:pPr>
  </w:style>
  <w:style w:type="character" w:customStyle="1" w:styleId="Sub-bulletslChar">
    <w:name w:val="Sub-bullet_sl Char"/>
    <w:basedOn w:val="BulletslChar"/>
    <w:link w:val="Sub-bulletsl"/>
    <w:rsid w:val="003129E4"/>
    <w:rPr>
      <w:rFonts w:ascii="Garamond" w:hAnsi="Garamond"/>
      <w:sz w:val="24"/>
      <w:szCs w:val="24"/>
    </w:rPr>
  </w:style>
  <w:style w:type="paragraph" w:customStyle="1" w:styleId="Subhead1sl">
    <w:name w:val="Subhead 1_sl"/>
    <w:basedOn w:val="Normal"/>
    <w:link w:val="Subhead1slChar"/>
    <w:qFormat/>
    <w:rsid w:val="003129E4"/>
    <w:pPr>
      <w:spacing w:before="360" w:after="120"/>
    </w:pPr>
    <w:rPr>
      <w:rFonts w:ascii="Gill Sans MT" w:hAnsi="Gill Sans MT" w:cstheme="minorBidi"/>
      <w:b/>
      <w:sz w:val="28"/>
      <w:szCs w:val="28"/>
    </w:rPr>
  </w:style>
  <w:style w:type="character" w:customStyle="1" w:styleId="Subhead1slChar">
    <w:name w:val="Subhead 1_sl Char"/>
    <w:basedOn w:val="DefaultParagraphFont"/>
    <w:link w:val="Subhead1sl"/>
    <w:rsid w:val="003129E4"/>
    <w:rPr>
      <w:rFonts w:ascii="Gill Sans MT" w:hAnsi="Gill Sans MT"/>
      <w:b/>
      <w:sz w:val="28"/>
      <w:szCs w:val="28"/>
    </w:rPr>
  </w:style>
  <w:style w:type="paragraph" w:customStyle="1" w:styleId="Subhead2sl">
    <w:name w:val="Subhead 2_sl"/>
    <w:basedOn w:val="Normal"/>
    <w:link w:val="Subhead2slChar"/>
    <w:qFormat/>
    <w:rsid w:val="003129E4"/>
    <w:pPr>
      <w:spacing w:before="360" w:after="120"/>
    </w:pPr>
    <w:rPr>
      <w:rFonts w:ascii="Gill Sans MT" w:hAnsi="Gill Sans MT" w:cstheme="minorBidi"/>
      <w:b/>
      <w:i/>
      <w:sz w:val="24"/>
      <w:szCs w:val="24"/>
    </w:rPr>
  </w:style>
  <w:style w:type="character" w:customStyle="1" w:styleId="Subhead2slChar">
    <w:name w:val="Subhead 2_sl Char"/>
    <w:basedOn w:val="DefaultParagraphFont"/>
    <w:link w:val="Subhead2sl"/>
    <w:rsid w:val="003129E4"/>
    <w:rPr>
      <w:rFonts w:ascii="Gill Sans MT" w:hAnsi="Gill Sans MT"/>
      <w:b/>
      <w:i/>
      <w:sz w:val="24"/>
      <w:szCs w:val="24"/>
    </w:rPr>
  </w:style>
  <w:style w:type="paragraph" w:customStyle="1" w:styleId="Subhead3sl">
    <w:name w:val="Subhead 3_sl"/>
    <w:basedOn w:val="Basiccopysl"/>
    <w:link w:val="Subhead3slChar"/>
    <w:qFormat/>
    <w:rsid w:val="003129E4"/>
    <w:pPr>
      <w:spacing w:before="360"/>
    </w:pPr>
    <w:rPr>
      <w:b/>
    </w:rPr>
  </w:style>
  <w:style w:type="character" w:customStyle="1" w:styleId="Subhead3slChar">
    <w:name w:val="Subhead 3_sl Char"/>
    <w:basedOn w:val="BasiccopyslChar"/>
    <w:link w:val="Subhead3sl"/>
    <w:rsid w:val="003129E4"/>
    <w:rPr>
      <w:rFonts w:ascii="Garamond" w:hAnsi="Garamond"/>
      <w:b/>
      <w:sz w:val="24"/>
      <w:szCs w:val="24"/>
    </w:rPr>
  </w:style>
  <w:style w:type="paragraph" w:customStyle="1" w:styleId="Title1sl">
    <w:name w:val="Title 1_sl"/>
    <w:basedOn w:val="Normal"/>
    <w:link w:val="Title1slChar"/>
    <w:qFormat/>
    <w:rsid w:val="003129E4"/>
    <w:pPr>
      <w:spacing w:before="360" w:after="240"/>
    </w:pPr>
    <w:rPr>
      <w:rFonts w:ascii="Gill Sans MT" w:hAnsi="Gill Sans MT" w:cstheme="minorBidi"/>
      <w:b/>
      <w:sz w:val="48"/>
      <w:szCs w:val="48"/>
    </w:rPr>
  </w:style>
  <w:style w:type="character" w:customStyle="1" w:styleId="Title1slChar">
    <w:name w:val="Title 1_sl Char"/>
    <w:basedOn w:val="DefaultParagraphFont"/>
    <w:link w:val="Title1sl"/>
    <w:rsid w:val="003129E4"/>
    <w:rPr>
      <w:rFonts w:ascii="Gill Sans MT" w:hAnsi="Gill Sans MT"/>
      <w:b/>
      <w:sz w:val="48"/>
      <w:szCs w:val="48"/>
    </w:rPr>
  </w:style>
  <w:style w:type="paragraph" w:customStyle="1" w:styleId="Title2sl">
    <w:name w:val="Title 2_sl"/>
    <w:basedOn w:val="Normal"/>
    <w:link w:val="Title2slChar"/>
    <w:qFormat/>
    <w:rsid w:val="003129E4"/>
    <w:pPr>
      <w:spacing w:before="360" w:after="240"/>
    </w:pPr>
    <w:rPr>
      <w:rFonts w:ascii="Gill Sans MT" w:hAnsi="Gill Sans MT" w:cstheme="minorBidi"/>
      <w:b/>
      <w:sz w:val="36"/>
      <w:szCs w:val="36"/>
    </w:rPr>
  </w:style>
  <w:style w:type="character" w:customStyle="1" w:styleId="Title2slChar">
    <w:name w:val="Title 2_sl Char"/>
    <w:basedOn w:val="DefaultParagraphFont"/>
    <w:link w:val="Title2sl"/>
    <w:rsid w:val="003129E4"/>
    <w:rPr>
      <w:rFonts w:ascii="Gill Sans MT" w:hAnsi="Gill Sans MT"/>
      <w:b/>
      <w:sz w:val="36"/>
      <w:szCs w:val="36"/>
    </w:rPr>
  </w:style>
  <w:style w:type="paragraph" w:customStyle="1" w:styleId="Title3sl">
    <w:name w:val="Title 3_sl"/>
    <w:basedOn w:val="Subhead1sl"/>
    <w:link w:val="Title3slChar"/>
    <w:qFormat/>
    <w:rsid w:val="003129E4"/>
    <w:pPr>
      <w:spacing w:after="240"/>
    </w:pPr>
    <w:rPr>
      <w:rFonts w:ascii="Garamond" w:hAnsi="Garamond"/>
      <w:sz w:val="36"/>
      <w:szCs w:val="36"/>
    </w:rPr>
  </w:style>
  <w:style w:type="character" w:customStyle="1" w:styleId="Title3slChar">
    <w:name w:val="Title 3_sl Char"/>
    <w:basedOn w:val="Subhead1slChar"/>
    <w:link w:val="Title3sl"/>
    <w:rsid w:val="003129E4"/>
    <w:rPr>
      <w:rFonts w:ascii="Garamond" w:hAnsi="Garamond"/>
      <w:b/>
      <w:sz w:val="36"/>
      <w:szCs w:val="36"/>
    </w:rPr>
  </w:style>
  <w:style w:type="paragraph" w:customStyle="1" w:styleId="Numberedlistwroomforanswerssl">
    <w:name w:val="Numbered list w/ room for answers_sl"/>
    <w:basedOn w:val="Numberedlistsl"/>
    <w:qFormat/>
    <w:rsid w:val="00276EAB"/>
    <w:pPr>
      <w:tabs>
        <w:tab w:val="num" w:pos="720"/>
      </w:tabs>
      <w:spacing w:after="840"/>
      <w:ind w:left="360" w:hanging="360"/>
    </w:pPr>
    <w:rPr>
      <w:rFonts w:eastAsia="Garamond" w:cs="Garamond"/>
      <w:sz w:val="25"/>
      <w:szCs w:val="25"/>
    </w:rPr>
  </w:style>
  <w:style w:type="paragraph" w:customStyle="1" w:styleId="BodyA">
    <w:name w:val="Body A"/>
    <w:rsid w:val="005F75AA"/>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14:textOutline w14:w="12700" w14:cap="flat" w14:cmpd="sng" w14:algn="ctr">
        <w14:noFill/>
        <w14:prstDash w14:val="solid"/>
        <w14:miter w14:lim="400000"/>
      </w14:textOutline>
    </w:rPr>
  </w:style>
  <w:style w:type="paragraph" w:customStyle="1" w:styleId="BodyB">
    <w:name w:val="Body B"/>
    <w:rsid w:val="005F75AA"/>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style>
  <w:style w:type="numbering" w:customStyle="1" w:styleId="ImportedStyle1">
    <w:name w:val="Imported Style 1"/>
    <w:rsid w:val="005F75AA"/>
    <w:pPr>
      <w:numPr>
        <w:numId w:val="11"/>
      </w:numPr>
    </w:pPr>
  </w:style>
  <w:style w:type="paragraph" w:customStyle="1" w:styleId="TableStyle1">
    <w:name w:val="Table Style 1"/>
    <w:rsid w:val="005F75AA"/>
    <w:pPr>
      <w:pBdr>
        <w:top w:val="nil"/>
        <w:left w:val="nil"/>
        <w:bottom w:val="nil"/>
        <w:right w:val="nil"/>
        <w:between w:val="nil"/>
        <w:bar w:val="nil"/>
      </w:pBdr>
      <w:spacing w:after="0" w:line="240" w:lineRule="auto"/>
    </w:pPr>
    <w:rPr>
      <w:rFonts w:ascii="Helvetica Neue" w:eastAsia="Arial Unicode MS" w:hAnsi="Helvetica Neue" w:cs="Arial Unicode MS"/>
      <w:b/>
      <w:bCs/>
      <w:color w:val="000000"/>
      <w:sz w:val="20"/>
      <w:szCs w:val="20"/>
      <w:u w:color="000000"/>
      <w:bdr w:val="nil"/>
      <w14:textOutline w14:w="12700" w14:cap="flat" w14:cmpd="sng" w14:algn="ctr">
        <w14:noFill/>
        <w14:prstDash w14:val="solid"/>
        <w14:miter w14:lim="400000"/>
      </w14:textOutline>
    </w:rPr>
  </w:style>
  <w:style w:type="paragraph" w:customStyle="1" w:styleId="TableStyle2">
    <w:name w:val="Table Style 2"/>
    <w:rsid w:val="005F75AA"/>
    <w:pPr>
      <w:pBdr>
        <w:top w:val="nil"/>
        <w:left w:val="nil"/>
        <w:bottom w:val="nil"/>
        <w:right w:val="nil"/>
        <w:between w:val="nil"/>
        <w:bar w:val="nil"/>
      </w:pBdr>
      <w:spacing w:after="0" w:line="240" w:lineRule="auto"/>
    </w:pPr>
    <w:rPr>
      <w:rFonts w:ascii="Helvetica Neue" w:eastAsia="Arial Unicode MS" w:hAnsi="Helvetica Neue" w:cs="Arial Unicode MS"/>
      <w:color w:val="000000"/>
      <w:sz w:val="20"/>
      <w:szCs w:val="20"/>
      <w:u w:color="000000"/>
      <w:bdr w:val="nil"/>
      <w14:textOutline w14:w="12700" w14:cap="flat" w14:cmpd="sng" w14:algn="ctr">
        <w14:noFill/>
        <w14:prstDash w14:val="solid"/>
        <w14:miter w14:lim="400000"/>
      </w14:textOutline>
    </w:rPr>
  </w:style>
  <w:style w:type="numbering" w:customStyle="1" w:styleId="Numbered">
    <w:name w:val="Numbered"/>
    <w:rsid w:val="005F75AA"/>
    <w:pPr>
      <w:numPr>
        <w:numId w:val="14"/>
      </w:numPr>
    </w:pPr>
  </w:style>
  <w:style w:type="character" w:customStyle="1" w:styleId="None">
    <w:name w:val="None"/>
    <w:rsid w:val="005F75AA"/>
  </w:style>
  <w:style w:type="character" w:customStyle="1" w:styleId="Hyperlink0">
    <w:name w:val="Hyperlink.0"/>
    <w:basedOn w:val="None"/>
    <w:rsid w:val="005F75AA"/>
    <w:rPr>
      <w:rFonts w:ascii="Garamond" w:eastAsia="Garamond" w:hAnsi="Garamond" w:cs="Garamond"/>
      <w:b/>
      <w:bCs/>
      <w:sz w:val="24"/>
      <w:szCs w:val="24"/>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0791326">
      <w:bodyDiv w:val="1"/>
      <w:marLeft w:val="0"/>
      <w:marRight w:val="0"/>
      <w:marTop w:val="0"/>
      <w:marBottom w:val="0"/>
      <w:divBdr>
        <w:top w:val="none" w:sz="0" w:space="0" w:color="auto"/>
        <w:left w:val="none" w:sz="0" w:space="0" w:color="auto"/>
        <w:bottom w:val="none" w:sz="0" w:space="0" w:color="auto"/>
        <w:right w:val="none" w:sz="0" w:space="0" w:color="auto"/>
      </w:divBdr>
    </w:div>
    <w:div w:id="757676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odified_x0020_Date_x0020__x0026__x0020_Time xmlns="9af227aa-5493-4bfe-a302-9771bcf92926" xsi:nil="true"/>
    <date xmlns="9af227aa-5493-4bfe-a302-9771bcf92926" xsi:nil="true"/>
    <_ip_UnifiedCompliancePolicyUIAction xmlns="http://schemas.microsoft.com/sharepoint/v3" xsi:nil="true"/>
    <_ip_UnifiedCompliancePolicyProperties xmlns="http://schemas.microsoft.com/sharepoint/v3" xsi:nil="true"/>
    <lcf76f155ced4ddcb4097134ff3c332f xmlns="9af227aa-5493-4bfe-a302-9771bcf92926">
      <Terms xmlns="http://schemas.microsoft.com/office/infopath/2007/PartnerControls"/>
    </lcf76f155ced4ddcb4097134ff3c332f>
    <TaxCatchAll xmlns="f90ba59e-6231-420d-b202-993c3441322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2E8957C50B509419C47FA4575E8EAD0" ma:contentTypeVersion="20" ma:contentTypeDescription="Create a new document." ma:contentTypeScope="" ma:versionID="fc8c0677e962d65f958a5a5e8b28ee46">
  <xsd:schema xmlns:xsd="http://www.w3.org/2001/XMLSchema" xmlns:xs="http://www.w3.org/2001/XMLSchema" xmlns:p="http://schemas.microsoft.com/office/2006/metadata/properties" xmlns:ns1="http://schemas.microsoft.com/sharepoint/v3" xmlns:ns2="9af227aa-5493-4bfe-a302-9771bcf92926" xmlns:ns3="f90ba59e-6231-420d-b202-993c3441322c" targetNamespace="http://schemas.microsoft.com/office/2006/metadata/properties" ma:root="true" ma:fieldsID="462ceb61a163fbe822a5d9f8cd91f5d7" ns1:_="" ns2:_="" ns3:_="">
    <xsd:import namespace="http://schemas.microsoft.com/sharepoint/v3"/>
    <xsd:import namespace="9af227aa-5493-4bfe-a302-9771bcf92926"/>
    <xsd:import namespace="f90ba59e-6231-420d-b202-993c3441322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date" minOccurs="0"/>
                <xsd:element ref="ns2:Modified_x0020_Date_x0020__x0026__x0020_Time"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f227aa-5493-4bfe-a302-9771bcf929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date" ma:index="20" nillable="true" ma:displayName="date" ma:format="DateOnly" ma:internalName="date">
      <xsd:simpleType>
        <xsd:restriction base="dms:DateTime"/>
      </xsd:simpleType>
    </xsd:element>
    <xsd:element name="Modified_x0020_Date_x0020__x0026__x0020_Time" ma:index="21" nillable="true" ma:displayName="Modified Date &amp; Time" ma:format="DateOnly" ma:internalName="Modified_x0020_Date_x0020__x0026__x0020_Time">
      <xsd:simpleType>
        <xsd:restriction base="dms:DateTime"/>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90ba59e-6231-420d-b202-993c3441322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0abc53e2-4c27-4b85-a379-acbab1a1b851}" ma:internalName="TaxCatchAll" ma:showField="CatchAllData" ma:web="f90ba59e-6231-420d-b202-993c344132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0D34FF-A1B7-4F53-B817-44E6A1DC9F1D}">
  <ds:schemaRefs>
    <ds:schemaRef ds:uri="http://schemas.microsoft.com/sharepoint/v3/contenttype/forms"/>
  </ds:schemaRefs>
</ds:datastoreItem>
</file>

<file path=customXml/itemProps2.xml><?xml version="1.0" encoding="utf-8"?>
<ds:datastoreItem xmlns:ds="http://schemas.openxmlformats.org/officeDocument/2006/customXml" ds:itemID="{0594257D-85F6-4EDB-8DED-DF8C9145321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4CEC933-29FF-4DC6-B5EC-B6B708987B1D}"/>
</file>

<file path=docProps/app.xml><?xml version="1.0" encoding="utf-8"?>
<Properties xmlns="http://schemas.openxmlformats.org/officeDocument/2006/extended-properties" xmlns:vt="http://schemas.openxmlformats.org/officeDocument/2006/docPropsVTypes">
  <Template>Normal</Template>
  <TotalTime>8</TotalTime>
  <Pages>4</Pages>
  <Words>1061</Words>
  <Characters>6052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Ruffing</dc:creator>
  <cp:keywords/>
  <dc:description/>
  <cp:lastModifiedBy>Allison Hawkins</cp:lastModifiedBy>
  <cp:revision>3</cp:revision>
  <dcterms:created xsi:type="dcterms:W3CDTF">2020-07-23T19:28:00Z</dcterms:created>
  <dcterms:modified xsi:type="dcterms:W3CDTF">2020-07-23T19:36:00Z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0x010100C2E8957C50B509419C47FA4575E8EAD0</vt:lpwstr>
  </property>
</Properties>
</file>