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1FB" w:rsidP="00F64E56" w:rsidRDefault="00876739" w14:paraId="06C09063" w14:textId="03F7FE67">
      <w:pPr>
        <w:pStyle w:val="Title1sl"/>
        <w:pBdr>
          <w:bottom w:val="single" w:color="auto" w:sz="12" w:space="1"/>
        </w:pBdr>
      </w:pPr>
      <w:r>
        <w:rPr>
          <w:i/>
          <w:iCs/>
        </w:rPr>
        <w:t>Gibbons v. Ogden</w:t>
      </w:r>
      <w:r w:rsidR="00F64E56">
        <w:t xml:space="preserve"> /</w:t>
      </w:r>
      <w:r w:rsidR="00463036">
        <w:t xml:space="preserve"> What Does that Law Have to Do with Interstate Commerce?</w:t>
      </w:r>
      <w:r w:rsidR="00F64E56">
        <w:t xml:space="preserve"> </w:t>
      </w:r>
    </w:p>
    <w:p w:rsidRPr="00203A87" w:rsidR="00486AC1" w:rsidP="00C00855" w:rsidRDefault="00486AC1" w14:paraId="6FD10168" w14:textId="5B721046">
      <w:pPr>
        <w:pStyle w:val="NormalWeb"/>
        <w:shd w:val="clear" w:color="auto" w:fill="FFFFFF" w:themeFill="background1"/>
        <w:spacing w:before="0" w:beforeAutospacing="off" w:after="120" w:afterAutospacing="off" w:line="276" w:lineRule="auto"/>
        <w:rPr>
          <w:rFonts w:ascii="Garamond" w:hAnsi="Garamond"/>
          <w:color w:val="000000"/>
          <w:sz w:val="25"/>
          <w:szCs w:val="25"/>
        </w:rPr>
      </w:pPr>
      <w:r w:rsidRPr="00C00855" w:rsidR="00486AC1">
        <w:rPr>
          <w:rFonts w:ascii="Garamond" w:hAnsi="Garamond"/>
          <w:color w:val="000000" w:themeColor="text1" w:themeTint="FF" w:themeShade="FF"/>
          <w:sz w:val="25"/>
          <w:szCs w:val="25"/>
        </w:rPr>
        <w:t xml:space="preserve">Among the </w:t>
      </w:r>
      <w:r w:rsidRPr="00C00855" w:rsidR="00340962">
        <w:rPr>
          <w:rFonts w:ascii="Garamond" w:hAnsi="Garamond"/>
          <w:color w:val="000000" w:themeColor="text1" w:themeTint="FF" w:themeShade="FF"/>
          <w:sz w:val="25"/>
          <w:szCs w:val="25"/>
        </w:rPr>
        <w:t xml:space="preserve">enumerated </w:t>
      </w:r>
      <w:r w:rsidRPr="00C00855" w:rsidR="00486AC1">
        <w:rPr>
          <w:rFonts w:ascii="Garamond" w:hAnsi="Garamond"/>
          <w:color w:val="000000" w:themeColor="text1" w:themeTint="FF" w:themeShade="FF"/>
          <w:sz w:val="25"/>
          <w:szCs w:val="25"/>
        </w:rPr>
        <w:t>powers granted to Congress in Article I</w:t>
      </w:r>
      <w:r w:rsidRPr="00C00855" w:rsidR="00340962">
        <w:rPr>
          <w:rFonts w:ascii="Garamond" w:hAnsi="Garamond"/>
          <w:color w:val="000000" w:themeColor="text1" w:themeTint="FF" w:themeShade="FF"/>
          <w:sz w:val="25"/>
          <w:szCs w:val="25"/>
        </w:rPr>
        <w:t xml:space="preserve"> </w:t>
      </w:r>
      <w:r w:rsidRPr="00C00855" w:rsidR="00486AC1">
        <w:rPr>
          <w:rFonts w:ascii="Garamond" w:hAnsi="Garamond"/>
          <w:color w:val="000000" w:themeColor="text1" w:themeTint="FF" w:themeShade="FF"/>
          <w:sz w:val="25"/>
          <w:szCs w:val="25"/>
        </w:rPr>
        <w:t xml:space="preserve">of the U.S. Constitution is the power to regulate interstate commerce. </w:t>
      </w:r>
      <w:r w:rsidRPr="00C00855" w:rsidR="00340962">
        <w:rPr>
          <w:rFonts w:ascii="Garamond" w:hAnsi="Garamond"/>
          <w:color w:val="000000" w:themeColor="text1" w:themeTint="FF" w:themeShade="FF"/>
          <w:sz w:val="25"/>
          <w:szCs w:val="25"/>
        </w:rPr>
        <w:t xml:space="preserve">Article I, Section 8, Clause 3 is known as the Commerce Clause. </w:t>
      </w:r>
      <w:r w:rsidRPr="00C00855" w:rsidR="00486AC1">
        <w:rPr>
          <w:rFonts w:ascii="Garamond" w:hAnsi="Garamond"/>
          <w:color w:val="000000" w:themeColor="text1" w:themeTint="FF" w:themeShade="FF"/>
          <w:sz w:val="25"/>
          <w:szCs w:val="25"/>
        </w:rPr>
        <w:t>Over time, legislators, lawyers, politicians, and businesspeople have argued over just what the commerce power means. For instance, it may be clear that the commerce power would give Congress the ability to make laws regarding transportation networks, such as train lines and highways, that cross state lines. However, would the commerce power give Congress the ability to establish regulations on the </w:t>
      </w:r>
      <w:r w:rsidRPr="00C00855" w:rsidR="00486AC1">
        <w:rPr>
          <w:rStyle w:val="Emphasis"/>
          <w:rFonts w:ascii="Garamond" w:hAnsi="Garamond"/>
          <w:color w:val="000000" w:themeColor="text1" w:themeTint="FF" w:themeShade="FF"/>
          <w:sz w:val="25"/>
          <w:szCs w:val="25"/>
        </w:rPr>
        <w:t>production</w:t>
      </w:r>
      <w:r w:rsidRPr="00C00855" w:rsidR="00486AC1">
        <w:rPr>
          <w:rFonts w:ascii="Garamond" w:hAnsi="Garamond"/>
          <w:color w:val="000000" w:themeColor="text1" w:themeTint="FF" w:themeShade="FF"/>
          <w:sz w:val="25"/>
          <w:szCs w:val="25"/>
        </w:rPr>
        <w:t xml:space="preserve"> of goods and services that may </w:t>
      </w:r>
      <w:r w:rsidRPr="00C00855" w:rsidR="00486AC1">
        <w:rPr>
          <w:rStyle w:val="Emphasis"/>
          <w:rFonts w:ascii="Garamond" w:hAnsi="Garamond"/>
          <w:color w:val="000000" w:themeColor="text1" w:themeTint="FF" w:themeShade="FF"/>
          <w:sz w:val="25"/>
          <w:szCs w:val="25"/>
        </w:rPr>
        <w:t>eventuall</w:t>
      </w:r>
      <w:r w:rsidRPr="00C00855" w:rsidR="00486AC1">
        <w:rPr>
          <w:rFonts w:ascii="Garamond" w:hAnsi="Garamond"/>
          <w:color w:val="000000" w:themeColor="text1" w:themeTint="FF" w:themeShade="FF"/>
          <w:sz w:val="25"/>
          <w:szCs w:val="25"/>
        </w:rPr>
        <w:t>y cross state lines? These and other questions regarding the commerce power have been answered by numerous cases heard by the Supreme Court of the United States</w:t>
      </w:r>
      <w:r w:rsidRPr="00C00855" w:rsidR="00486AC1">
        <w:rPr>
          <w:rFonts w:ascii="Garamond" w:hAnsi="Garamond"/>
          <w:color w:val="000000" w:themeColor="text1" w:themeTint="FF" w:themeShade="FF"/>
          <w:sz w:val="25"/>
          <w:szCs w:val="25"/>
        </w:rPr>
        <w:t xml:space="preserve">. </w:t>
      </w:r>
      <w:r w:rsidRPr="00C00855" w:rsidR="00486AC1">
        <w:rPr>
          <w:rFonts w:ascii="Garamond" w:hAnsi="Garamond"/>
          <w:color w:val="000000" w:themeColor="text1" w:themeTint="FF" w:themeShade="FF"/>
          <w:sz w:val="25"/>
          <w:szCs w:val="25"/>
        </w:rPr>
        <w:t>However, the question of what the Commerce Clause entitles Congress to do and legislate on is still a very open question.</w:t>
      </w:r>
    </w:p>
    <w:p w:rsidRPr="00203A87" w:rsidR="00486AC1" w:rsidP="001C2011" w:rsidRDefault="00486AC1" w14:paraId="402FF588" w14:textId="2D1DDAA7">
      <w:pPr>
        <w:pStyle w:val="NormalWeb"/>
        <w:shd w:val="clear" w:color="auto" w:fill="FFFFFF"/>
        <w:spacing w:before="0" w:beforeAutospacing="0" w:after="120" w:afterAutospacing="0" w:line="276" w:lineRule="auto"/>
        <w:rPr>
          <w:rFonts w:ascii="Garamond" w:hAnsi="Garamond"/>
          <w:color w:val="000000"/>
          <w:sz w:val="25"/>
          <w:szCs w:val="25"/>
        </w:rPr>
      </w:pPr>
      <w:r w:rsidRPr="00203A87">
        <w:rPr>
          <w:rFonts w:ascii="Garamond" w:hAnsi="Garamond"/>
          <w:color w:val="000000"/>
          <w:sz w:val="25"/>
          <w:szCs w:val="25"/>
        </w:rPr>
        <w:t>Since the mid-1930s, Congress and the Supreme Court of the United States have tended to view the commerce power rather expansively. In other words, the commerce power is used to justify a wide range of powers and legislation, some of which have only a marginal link to interstate commerce. For an idea of how Congress views the link between its lawmaking and commerce, go to the </w:t>
      </w:r>
      <w:hyperlink w:tgtFrame="_blank" w:history="1" r:id="rId13">
        <w:r w:rsidRPr="001C2011">
          <w:rPr>
            <w:rStyle w:val="Hyperlink"/>
            <w:sz w:val="25"/>
            <w:szCs w:val="25"/>
          </w:rPr>
          <w:t xml:space="preserve">THOMAS Legislative </w:t>
        </w:r>
        <w:r w:rsidRPr="001C2011">
          <w:rPr>
            <w:rStyle w:val="Hyperlink"/>
            <w:sz w:val="25"/>
            <w:szCs w:val="25"/>
          </w:rPr>
          <w:t>I</w:t>
        </w:r>
        <w:r w:rsidRPr="001C2011">
          <w:rPr>
            <w:rStyle w:val="Hyperlink"/>
            <w:sz w:val="25"/>
            <w:szCs w:val="25"/>
          </w:rPr>
          <w:t>nformation section</w:t>
        </w:r>
        <w:r w:rsidRPr="001C2011">
          <w:rPr>
            <w:rStyle w:val="Hyperlink"/>
            <w:sz w:val="25"/>
            <w:szCs w:val="25"/>
            <w:u w:val="none"/>
          </w:rPr>
          <w:t> </w:t>
        </w:r>
      </w:hyperlink>
      <w:r w:rsidRPr="00203A87">
        <w:rPr>
          <w:rFonts w:ascii="Garamond" w:hAnsi="Garamond"/>
          <w:color w:val="000000"/>
          <w:sz w:val="25"/>
          <w:szCs w:val="25"/>
        </w:rPr>
        <w:t xml:space="preserve">of the Library of Congress website. </w:t>
      </w:r>
      <w:r w:rsidRPr="00203A87" w:rsidR="005F7309">
        <w:rPr>
          <w:rFonts w:ascii="Garamond" w:hAnsi="Garamond"/>
          <w:color w:val="000000"/>
          <w:sz w:val="25"/>
          <w:szCs w:val="25"/>
        </w:rPr>
        <w:t>S</w:t>
      </w:r>
      <w:r w:rsidRPr="00203A87">
        <w:rPr>
          <w:rFonts w:ascii="Garamond" w:hAnsi="Garamond"/>
          <w:color w:val="000000"/>
          <w:sz w:val="25"/>
          <w:szCs w:val="25"/>
        </w:rPr>
        <w:t xml:space="preserve">earch for legislation by typing in the word </w:t>
      </w:r>
      <w:r w:rsidRPr="00203A87" w:rsidR="002E65F3">
        <w:rPr>
          <w:rFonts w:ascii="Garamond" w:hAnsi="Garamond"/>
          <w:color w:val="000000"/>
          <w:sz w:val="25"/>
          <w:szCs w:val="25"/>
        </w:rPr>
        <w:t>“</w:t>
      </w:r>
      <w:r w:rsidRPr="001C2011">
        <w:rPr>
          <w:rFonts w:ascii="Garamond" w:hAnsi="Garamond"/>
          <w:color w:val="000000"/>
          <w:sz w:val="25"/>
          <w:szCs w:val="25"/>
        </w:rPr>
        <w:t>commerce</w:t>
      </w:r>
      <w:r w:rsidRPr="001C2011" w:rsidR="005F7309">
        <w:rPr>
          <w:rFonts w:ascii="Garamond" w:hAnsi="Garamond"/>
          <w:color w:val="000000"/>
          <w:sz w:val="25"/>
          <w:szCs w:val="25"/>
        </w:rPr>
        <w:t>.</w:t>
      </w:r>
      <w:r w:rsidRPr="001C2011" w:rsidR="002E65F3">
        <w:rPr>
          <w:rFonts w:ascii="Garamond" w:hAnsi="Garamond"/>
          <w:color w:val="000000"/>
          <w:sz w:val="25"/>
          <w:szCs w:val="25"/>
        </w:rPr>
        <w:t>”</w:t>
      </w:r>
      <w:r w:rsidRPr="00203A87">
        <w:rPr>
          <w:rFonts w:ascii="Garamond" w:hAnsi="Garamond"/>
          <w:color w:val="000000"/>
          <w:sz w:val="25"/>
          <w:szCs w:val="25"/>
        </w:rPr>
        <w:t xml:space="preserve"> </w:t>
      </w:r>
      <w:r w:rsidRPr="00203A87" w:rsidR="005F7309">
        <w:rPr>
          <w:rFonts w:ascii="Garamond" w:hAnsi="Garamond"/>
          <w:color w:val="000000"/>
          <w:sz w:val="25"/>
          <w:szCs w:val="25"/>
        </w:rPr>
        <w:t>You will</w:t>
      </w:r>
      <w:r w:rsidRPr="00203A87">
        <w:rPr>
          <w:rFonts w:ascii="Garamond" w:hAnsi="Garamond"/>
          <w:color w:val="000000"/>
          <w:sz w:val="25"/>
          <w:szCs w:val="25"/>
        </w:rPr>
        <w:t xml:space="preserve"> find bills </w:t>
      </w:r>
      <w:r w:rsidRPr="00203A87" w:rsidR="005F7309">
        <w:rPr>
          <w:rFonts w:ascii="Garamond" w:hAnsi="Garamond"/>
          <w:color w:val="000000"/>
          <w:sz w:val="25"/>
          <w:szCs w:val="25"/>
        </w:rPr>
        <w:t xml:space="preserve">that </w:t>
      </w:r>
      <w:r w:rsidRPr="00203A87">
        <w:rPr>
          <w:rFonts w:ascii="Garamond" w:hAnsi="Garamond"/>
          <w:color w:val="000000"/>
          <w:sz w:val="25"/>
          <w:szCs w:val="25"/>
        </w:rPr>
        <w:t>have somehow been linked to commerce. Some of them might surprise you!</w:t>
      </w:r>
    </w:p>
    <w:p w:rsidR="00486AC1" w:rsidP="001C2011" w:rsidRDefault="00486AC1" w14:paraId="7D3F50E2" w14:textId="380892E1">
      <w:pPr>
        <w:pStyle w:val="Subhead3sl"/>
        <w:spacing w:before="240"/>
        <w:rPr>
          <w:color w:val="000000"/>
        </w:rPr>
      </w:pPr>
      <w:r w:rsidRPr="005F7309">
        <w:t>Directions</w:t>
      </w:r>
      <w:r w:rsidR="009B1DB3">
        <w:t xml:space="preserve">: </w:t>
      </w:r>
      <w:r w:rsidRPr="009B1DB3" w:rsidR="005F7309">
        <w:rPr>
          <w:b w:val="0"/>
          <w:bCs/>
          <w:color w:val="000000"/>
        </w:rPr>
        <w:t>Below are short summaries</w:t>
      </w:r>
      <w:r w:rsidRPr="009B1DB3">
        <w:rPr>
          <w:b w:val="0"/>
          <w:bCs/>
          <w:color w:val="000000"/>
        </w:rPr>
        <w:t xml:space="preserve"> of bills the </w:t>
      </w:r>
      <w:r w:rsidRPr="009B1DB3" w:rsidR="005F7309">
        <w:rPr>
          <w:b w:val="0"/>
          <w:bCs/>
          <w:color w:val="000000"/>
        </w:rPr>
        <w:t>116</w:t>
      </w:r>
      <w:r w:rsidRPr="009B1DB3" w:rsidR="005F7309">
        <w:rPr>
          <w:b w:val="0"/>
          <w:bCs/>
          <w:color w:val="000000"/>
          <w:vertAlign w:val="superscript"/>
        </w:rPr>
        <w:t>t</w:t>
      </w:r>
      <w:r w:rsidRPr="009B1DB3">
        <w:rPr>
          <w:b w:val="0"/>
          <w:bCs/>
          <w:color w:val="000000"/>
          <w:vertAlign w:val="superscript"/>
        </w:rPr>
        <w:t>h</w:t>
      </w:r>
      <w:r w:rsidRPr="009B1DB3">
        <w:rPr>
          <w:b w:val="0"/>
          <w:bCs/>
          <w:color w:val="000000"/>
        </w:rPr>
        <w:t xml:space="preserve"> Congress was considering in </w:t>
      </w:r>
      <w:r w:rsidRPr="009B1DB3" w:rsidR="005F7309">
        <w:rPr>
          <w:b w:val="0"/>
          <w:bCs/>
          <w:color w:val="000000"/>
        </w:rPr>
        <w:t>2019</w:t>
      </w:r>
      <w:r w:rsidRPr="009B1DB3" w:rsidR="002E65F3">
        <w:rPr>
          <w:b w:val="0"/>
          <w:bCs/>
          <w:color w:val="000000"/>
        </w:rPr>
        <w:t>–</w:t>
      </w:r>
      <w:r w:rsidRPr="009B1DB3" w:rsidR="005F7309">
        <w:rPr>
          <w:b w:val="0"/>
          <w:bCs/>
          <w:color w:val="000000"/>
        </w:rPr>
        <w:t>2020</w:t>
      </w:r>
      <w:r w:rsidRPr="009B1DB3">
        <w:rPr>
          <w:b w:val="0"/>
          <w:bCs/>
          <w:color w:val="000000"/>
        </w:rPr>
        <w:t xml:space="preserve"> that have some connection to commerce. After reading the description of each bill, discuss</w:t>
      </w:r>
      <w:r w:rsidRPr="009B1DB3" w:rsidR="005F7309">
        <w:rPr>
          <w:b w:val="0"/>
          <w:bCs/>
          <w:color w:val="000000"/>
        </w:rPr>
        <w:t xml:space="preserve"> with a group or partner</w:t>
      </w:r>
      <w:r w:rsidRPr="009B1DB3">
        <w:rPr>
          <w:b w:val="0"/>
          <w:bCs/>
          <w:color w:val="000000"/>
        </w:rPr>
        <w:t xml:space="preserve"> </w:t>
      </w:r>
      <w:r w:rsidRPr="009B1DB3" w:rsidR="005F7309">
        <w:rPr>
          <w:b w:val="0"/>
          <w:bCs/>
          <w:color w:val="000000"/>
        </w:rPr>
        <w:t>the connection that legislation has to interstate commerce</w:t>
      </w:r>
      <w:r w:rsidRPr="009B1DB3">
        <w:rPr>
          <w:b w:val="0"/>
          <w:bCs/>
          <w:color w:val="000000"/>
        </w:rPr>
        <w:t xml:space="preserve">. Then </w:t>
      </w:r>
      <w:r w:rsidRPr="009B1DB3" w:rsidR="005F7309">
        <w:rPr>
          <w:b w:val="0"/>
          <w:bCs/>
          <w:color w:val="000000"/>
        </w:rPr>
        <w:t>rate</w:t>
      </w:r>
      <w:r w:rsidRPr="009B1DB3">
        <w:rPr>
          <w:b w:val="0"/>
          <w:bCs/>
          <w:color w:val="000000"/>
        </w:rPr>
        <w:t xml:space="preserve"> that connection on a scale of </w:t>
      </w:r>
      <w:r w:rsidRPr="009B1DB3" w:rsidR="002E65F3">
        <w:rPr>
          <w:b w:val="0"/>
          <w:bCs/>
          <w:color w:val="000000"/>
        </w:rPr>
        <w:t>0–5</w:t>
      </w:r>
      <w:r w:rsidRPr="009B1DB3" w:rsidR="00203A87">
        <w:rPr>
          <w:b w:val="0"/>
          <w:bCs/>
          <w:color w:val="000000"/>
        </w:rPr>
        <w:t>.</w:t>
      </w:r>
      <w:r w:rsidRPr="009B1DB3" w:rsidR="00340962">
        <w:rPr>
          <w:b w:val="0"/>
          <w:bCs/>
          <w:color w:val="000000"/>
        </w:rPr>
        <w:t xml:space="preserve"> Note the reasons for your rating.</w:t>
      </w:r>
      <w:r w:rsidRPr="009B1DB3">
        <w:rPr>
          <w:b w:val="0"/>
          <w:bCs/>
          <w:color w:val="000000"/>
        </w:rPr>
        <w:t xml:space="preserve"> </w:t>
      </w:r>
      <w:r w:rsidRPr="009B1DB3" w:rsidR="005F7309">
        <w:rPr>
          <w:b w:val="0"/>
          <w:bCs/>
          <w:color w:val="000000"/>
        </w:rPr>
        <w:t>Compare your</w:t>
      </w:r>
      <w:r w:rsidRPr="009B1DB3">
        <w:rPr>
          <w:b w:val="0"/>
          <w:bCs/>
          <w:color w:val="000000"/>
        </w:rPr>
        <w:t xml:space="preserve"> ratings to those of other </w:t>
      </w:r>
      <w:r w:rsidRPr="009B1DB3" w:rsidR="005F7309">
        <w:rPr>
          <w:b w:val="0"/>
          <w:bCs/>
          <w:color w:val="000000"/>
        </w:rPr>
        <w:t>groups or pairs of students</w:t>
      </w:r>
      <w:r w:rsidRPr="009B1DB3">
        <w:rPr>
          <w:b w:val="0"/>
          <w:bCs/>
          <w:color w:val="000000"/>
        </w:rPr>
        <w:t>.</w:t>
      </w:r>
    </w:p>
    <w:p w:rsidRPr="00486AC1" w:rsidR="00203A87" w:rsidP="00203A87" w:rsidRDefault="00203A87" w14:paraId="5DCEAF8F" w14:textId="0FF73047">
      <w:pPr>
        <w:pStyle w:val="NormalWeb"/>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pict w14:anchorId="1903C865">
          <v:rect id="_x0000_i1025" style="width:0;height:1.5pt" o:hr="t" o:hrstd="t" o:hralign="center" fillcolor="#a0a0a0" stroked="f"/>
        </w:pict>
      </w:r>
    </w:p>
    <w:p w:rsidRPr="00203A87" w:rsidR="00353D4D" w:rsidP="001C2011" w:rsidRDefault="00353D4D" w14:paraId="6E2F4ED8" w14:textId="14C5F281">
      <w:pPr>
        <w:pStyle w:val="ListParagraph"/>
        <w:numPr>
          <w:ilvl w:val="0"/>
          <w:numId w:val="22"/>
        </w:numPr>
        <w:spacing w:after="120"/>
        <w:ind w:left="360"/>
        <w:rPr>
          <w:rFonts w:ascii="Garamond" w:hAnsi="Garamond"/>
          <w:b/>
          <w:bCs/>
          <w:sz w:val="25"/>
          <w:szCs w:val="25"/>
        </w:rPr>
      </w:pPr>
      <w:r w:rsidRPr="00203A87">
        <w:rPr>
          <w:rFonts w:ascii="Garamond" w:hAnsi="Garamond"/>
          <w:b/>
          <w:bCs/>
          <w:sz w:val="25"/>
          <w:szCs w:val="25"/>
        </w:rPr>
        <w:t>S.2030</w:t>
      </w:r>
      <w:r w:rsidR="00203A87">
        <w:rPr>
          <w:rFonts w:ascii="Garamond" w:hAnsi="Garamond"/>
          <w:b/>
          <w:bCs/>
          <w:sz w:val="25"/>
          <w:szCs w:val="25"/>
        </w:rPr>
        <w:t>—</w:t>
      </w:r>
      <w:r w:rsidRPr="00203A87">
        <w:rPr>
          <w:rFonts w:ascii="Garamond" w:hAnsi="Garamond"/>
          <w:b/>
          <w:bCs/>
          <w:sz w:val="25"/>
          <w:szCs w:val="25"/>
        </w:rPr>
        <w:t>State Cannabis Commerce Act</w:t>
      </w:r>
    </w:p>
    <w:p w:rsidR="00353D4D" w:rsidP="009B1DB3" w:rsidRDefault="00353D4D" w14:paraId="27F09F8B" w14:textId="2E51E444">
      <w:pPr>
        <w:spacing w:after="360"/>
        <w:ind w:left="360"/>
        <w:rPr>
          <w:rFonts w:ascii="Garamond" w:hAnsi="Garamond"/>
          <w:sz w:val="25"/>
          <w:szCs w:val="25"/>
        </w:rPr>
      </w:pPr>
      <w:r w:rsidRPr="00BA7FE9">
        <w:rPr>
          <w:rFonts w:ascii="Garamond" w:hAnsi="Garamond"/>
          <w:sz w:val="25"/>
          <w:szCs w:val="25"/>
        </w:rPr>
        <w:t>This bill prohibits the use of federal funds to prevent a state from implementing a law that authorizes certain marijuana-related activities.</w:t>
      </w:r>
    </w:p>
    <w:tbl>
      <w:tblPr>
        <w:tblStyle w:val="TableGrid0"/>
        <w:tblW w:w="5000"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9"/>
        <w:gridCol w:w="1559"/>
        <w:gridCol w:w="1560"/>
        <w:gridCol w:w="1560"/>
        <w:gridCol w:w="1561"/>
        <w:gridCol w:w="1561"/>
      </w:tblGrid>
      <w:tr w:rsidR="00203A87" w:rsidTr="00203A87" w14:paraId="5D18BB7F" w14:textId="77777777">
        <w:trPr>
          <w:jc w:val="right"/>
        </w:trPr>
        <w:tc>
          <w:tcPr>
            <w:tcW w:w="1558" w:type="dxa"/>
          </w:tcPr>
          <w:p w:rsidRPr="00203A87" w:rsidR="00203A87" w:rsidP="00203A87" w:rsidRDefault="00203A87" w14:paraId="78FD0251" w14:textId="7EE90C39">
            <w:pPr>
              <w:spacing w:after="240"/>
              <w:jc w:val="center"/>
              <w:rPr>
                <w:rFonts w:ascii="Garamond" w:hAnsi="Garamond"/>
              </w:rPr>
            </w:pPr>
            <w:r w:rsidRPr="00203A87">
              <w:rPr>
                <w:rFonts w:ascii="Garamond" w:hAnsi="Garamond"/>
              </w:rPr>
              <w:t>1</w:t>
            </w:r>
          </w:p>
        </w:tc>
        <w:tc>
          <w:tcPr>
            <w:tcW w:w="1558" w:type="dxa"/>
          </w:tcPr>
          <w:p w:rsidRPr="00203A87" w:rsidR="00203A87" w:rsidP="00203A87" w:rsidRDefault="00203A87" w14:paraId="1D4EDF81" w14:textId="4D86EBDB">
            <w:pPr>
              <w:spacing w:after="240"/>
              <w:jc w:val="center"/>
              <w:rPr>
                <w:rFonts w:ascii="Garamond" w:hAnsi="Garamond"/>
              </w:rPr>
            </w:pPr>
            <w:r w:rsidRPr="00203A87">
              <w:rPr>
                <w:rFonts w:ascii="Garamond" w:hAnsi="Garamond"/>
              </w:rPr>
              <w:t>2</w:t>
            </w:r>
          </w:p>
        </w:tc>
        <w:tc>
          <w:tcPr>
            <w:tcW w:w="1558" w:type="dxa"/>
          </w:tcPr>
          <w:p w:rsidRPr="00203A87" w:rsidR="00203A87" w:rsidP="00203A87" w:rsidRDefault="00203A87" w14:paraId="75E117ED" w14:textId="4C1301DB">
            <w:pPr>
              <w:spacing w:after="240"/>
              <w:jc w:val="center"/>
              <w:rPr>
                <w:rFonts w:ascii="Garamond" w:hAnsi="Garamond"/>
              </w:rPr>
            </w:pPr>
            <w:r w:rsidRPr="00203A87">
              <w:rPr>
                <w:rFonts w:ascii="Garamond" w:hAnsi="Garamond"/>
              </w:rPr>
              <w:t>3</w:t>
            </w:r>
          </w:p>
        </w:tc>
        <w:tc>
          <w:tcPr>
            <w:tcW w:w="1558" w:type="dxa"/>
          </w:tcPr>
          <w:p w:rsidRPr="00203A87" w:rsidR="00203A87" w:rsidP="00203A87" w:rsidRDefault="00203A87" w14:paraId="575FC48D" w14:textId="103B0B79">
            <w:pPr>
              <w:spacing w:after="240"/>
              <w:jc w:val="center"/>
              <w:rPr>
                <w:rFonts w:ascii="Garamond" w:hAnsi="Garamond"/>
              </w:rPr>
            </w:pPr>
            <w:r w:rsidRPr="00203A87">
              <w:rPr>
                <w:rFonts w:ascii="Garamond" w:hAnsi="Garamond"/>
              </w:rPr>
              <w:t>4</w:t>
            </w:r>
          </w:p>
        </w:tc>
        <w:tc>
          <w:tcPr>
            <w:tcW w:w="1559" w:type="dxa"/>
          </w:tcPr>
          <w:p w:rsidRPr="00203A87" w:rsidR="00203A87" w:rsidP="00203A87" w:rsidRDefault="00203A87" w14:paraId="10042CF8" w14:textId="4433DD6D">
            <w:pPr>
              <w:spacing w:after="240"/>
              <w:jc w:val="center"/>
              <w:rPr>
                <w:rFonts w:ascii="Garamond" w:hAnsi="Garamond"/>
              </w:rPr>
            </w:pPr>
            <w:r w:rsidRPr="00203A87">
              <w:rPr>
                <w:rFonts w:ascii="Garamond" w:hAnsi="Garamond"/>
              </w:rPr>
              <w:t>5</w:t>
            </w:r>
          </w:p>
        </w:tc>
        <w:tc>
          <w:tcPr>
            <w:tcW w:w="1559" w:type="dxa"/>
          </w:tcPr>
          <w:p w:rsidRPr="00203A87" w:rsidR="00203A87" w:rsidP="00203A87" w:rsidRDefault="00203A87" w14:paraId="0B3DCE1C" w14:textId="14C2687B">
            <w:pPr>
              <w:spacing w:after="240"/>
              <w:jc w:val="center"/>
              <w:rPr>
                <w:rFonts w:ascii="Garamond" w:hAnsi="Garamond"/>
              </w:rPr>
            </w:pPr>
            <w:r w:rsidRPr="00203A87">
              <w:rPr>
                <w:rFonts w:ascii="Garamond" w:hAnsi="Garamond"/>
              </w:rPr>
              <w:t>6</w:t>
            </w:r>
          </w:p>
        </w:tc>
      </w:tr>
      <w:tr w:rsidR="00203A87" w:rsidTr="00203A87" w14:paraId="71C0722D" w14:textId="77777777">
        <w:trPr>
          <w:jc w:val="right"/>
        </w:trPr>
        <w:tc>
          <w:tcPr>
            <w:tcW w:w="1558" w:type="dxa"/>
          </w:tcPr>
          <w:p w:rsidRPr="00203A87" w:rsidR="00203A87" w:rsidP="00203A87" w:rsidRDefault="001C11F7" w14:paraId="18DDE13D" w14:textId="7635312B">
            <w:pPr>
              <w:jc w:val="center"/>
              <w:rPr>
                <w:rFonts w:ascii="Garamond" w:hAnsi="Garamond"/>
                <w:i/>
                <w:iCs/>
              </w:rPr>
            </w:pPr>
            <w:r>
              <w:rPr>
                <w:rFonts w:ascii="Garamond" w:hAnsi="Garamond"/>
                <w:i/>
                <w:iCs/>
              </w:rPr>
              <w:t xml:space="preserve">    </w:t>
            </w:r>
            <w:r w:rsidRPr="00203A87" w:rsidR="00203A87">
              <w:rPr>
                <w:rFonts w:ascii="Garamond" w:hAnsi="Garamond"/>
                <w:i/>
                <w:iCs/>
              </w:rPr>
              <w:t>No connection</w:t>
            </w:r>
          </w:p>
        </w:tc>
        <w:tc>
          <w:tcPr>
            <w:tcW w:w="1558" w:type="dxa"/>
          </w:tcPr>
          <w:p w:rsidRPr="00203A87" w:rsidR="00203A87" w:rsidP="00BA7FE9" w:rsidRDefault="00203A87" w14:paraId="13169C6E" w14:textId="77777777">
            <w:pPr>
              <w:rPr>
                <w:rFonts w:ascii="Garamond" w:hAnsi="Garamond"/>
                <w:i/>
                <w:iCs/>
              </w:rPr>
            </w:pPr>
          </w:p>
        </w:tc>
        <w:tc>
          <w:tcPr>
            <w:tcW w:w="1558" w:type="dxa"/>
          </w:tcPr>
          <w:p w:rsidRPr="00203A87" w:rsidR="00203A87" w:rsidP="00BA7FE9" w:rsidRDefault="00203A87" w14:paraId="657BF56F" w14:textId="77777777">
            <w:pPr>
              <w:rPr>
                <w:rFonts w:ascii="Garamond" w:hAnsi="Garamond"/>
                <w:i/>
                <w:iCs/>
              </w:rPr>
            </w:pPr>
          </w:p>
        </w:tc>
        <w:tc>
          <w:tcPr>
            <w:tcW w:w="1558" w:type="dxa"/>
          </w:tcPr>
          <w:p w:rsidRPr="00203A87" w:rsidR="00203A87" w:rsidP="00BA7FE9" w:rsidRDefault="00203A87" w14:paraId="5F839C7B" w14:textId="77777777">
            <w:pPr>
              <w:rPr>
                <w:rFonts w:ascii="Garamond" w:hAnsi="Garamond"/>
                <w:i/>
                <w:iCs/>
              </w:rPr>
            </w:pPr>
          </w:p>
        </w:tc>
        <w:tc>
          <w:tcPr>
            <w:tcW w:w="1559" w:type="dxa"/>
          </w:tcPr>
          <w:p w:rsidRPr="00203A87" w:rsidR="00203A87" w:rsidP="00BA7FE9" w:rsidRDefault="00203A87" w14:paraId="57170FDF" w14:textId="77777777">
            <w:pPr>
              <w:rPr>
                <w:rFonts w:ascii="Garamond" w:hAnsi="Garamond"/>
                <w:i/>
                <w:iCs/>
              </w:rPr>
            </w:pPr>
          </w:p>
        </w:tc>
        <w:tc>
          <w:tcPr>
            <w:tcW w:w="1559" w:type="dxa"/>
          </w:tcPr>
          <w:p w:rsidRPr="00203A87" w:rsidR="00203A87" w:rsidP="00203A87" w:rsidRDefault="00203A87" w14:paraId="2AC8BB26" w14:textId="10A8E5E0">
            <w:pPr>
              <w:jc w:val="center"/>
              <w:rPr>
                <w:rFonts w:ascii="Garamond" w:hAnsi="Garamond"/>
                <w:i/>
                <w:iCs/>
              </w:rPr>
            </w:pPr>
            <w:r w:rsidRPr="00203A87">
              <w:rPr>
                <w:rFonts w:ascii="Garamond" w:hAnsi="Garamond"/>
                <w:i/>
                <w:iCs/>
              </w:rPr>
              <w:t>Strong Connection</w:t>
            </w:r>
          </w:p>
        </w:tc>
      </w:tr>
    </w:tbl>
    <w:p w:rsidR="00340962" w:rsidP="001C2011" w:rsidRDefault="00340962" w14:paraId="4B6A06CE" w14:textId="1E294E81">
      <w:pPr>
        <w:keepNext/>
        <w:spacing w:before="240" w:after="1200"/>
        <w:ind w:left="360"/>
        <w:rPr>
          <w:rFonts w:ascii="Garamond" w:hAnsi="Garamond"/>
          <w:sz w:val="25"/>
          <w:szCs w:val="25"/>
        </w:rPr>
      </w:pPr>
      <w:r>
        <w:rPr>
          <w:rFonts w:ascii="Garamond" w:hAnsi="Garamond"/>
          <w:sz w:val="25"/>
          <w:szCs w:val="25"/>
        </w:rPr>
        <w:lastRenderedPageBreak/>
        <w:t xml:space="preserve">Reasons for the rating: </w:t>
      </w:r>
    </w:p>
    <w:p w:rsidRPr="00BA7FE9" w:rsidR="00A13665" w:rsidP="001C2011" w:rsidRDefault="00A13665" w14:paraId="67D8F4B9" w14:textId="3BB37ABB">
      <w:pPr>
        <w:pStyle w:val="ListParagraph"/>
        <w:numPr>
          <w:ilvl w:val="0"/>
          <w:numId w:val="22"/>
        </w:numPr>
        <w:spacing w:after="120"/>
        <w:ind w:left="360"/>
        <w:rPr>
          <w:rFonts w:ascii="Garamond" w:hAnsi="Garamond"/>
          <w:b/>
          <w:bCs/>
          <w:sz w:val="25"/>
          <w:szCs w:val="25"/>
        </w:rPr>
      </w:pPr>
      <w:r w:rsidRPr="00BA7FE9">
        <w:rPr>
          <w:rFonts w:ascii="Garamond" w:hAnsi="Garamond"/>
          <w:b/>
          <w:bCs/>
          <w:sz w:val="25"/>
          <w:szCs w:val="25"/>
        </w:rPr>
        <w:t>H.R.2443</w:t>
      </w:r>
      <w:r w:rsidR="00203A87">
        <w:rPr>
          <w:rFonts w:ascii="Garamond" w:hAnsi="Garamond"/>
          <w:b/>
          <w:bCs/>
          <w:sz w:val="25"/>
          <w:szCs w:val="25"/>
        </w:rPr>
        <w:t>—</w:t>
      </w:r>
      <w:r w:rsidRPr="00BA7FE9">
        <w:rPr>
          <w:rFonts w:ascii="Garamond" w:hAnsi="Garamond"/>
          <w:b/>
          <w:bCs/>
          <w:sz w:val="25"/>
          <w:szCs w:val="25"/>
        </w:rPr>
        <w:t>Firearms Interstate Commerce Reform Act</w:t>
      </w:r>
    </w:p>
    <w:p w:rsidRPr="00203A87" w:rsidR="00A13665" w:rsidP="00203A87" w:rsidRDefault="00A13665" w14:paraId="09314536" w14:textId="77777777">
      <w:pPr>
        <w:spacing w:after="120"/>
        <w:ind w:left="360"/>
        <w:rPr>
          <w:rFonts w:ascii="Garamond" w:hAnsi="Garamond"/>
          <w:sz w:val="25"/>
          <w:szCs w:val="25"/>
        </w:rPr>
      </w:pPr>
      <w:r w:rsidRPr="00203A87">
        <w:rPr>
          <w:rFonts w:ascii="Garamond" w:hAnsi="Garamond"/>
          <w:sz w:val="25"/>
          <w:szCs w:val="25"/>
        </w:rPr>
        <w:t>This bill removes certain restrictions on interstate firearms transactions.</w:t>
      </w:r>
    </w:p>
    <w:p w:rsidRPr="00203A87" w:rsidR="00A13665" w:rsidP="00203A87" w:rsidRDefault="00A13665" w14:paraId="4238E097" w14:textId="77777777">
      <w:pPr>
        <w:spacing w:after="60"/>
        <w:ind w:left="360"/>
        <w:rPr>
          <w:rFonts w:ascii="Garamond" w:hAnsi="Garamond"/>
          <w:sz w:val="25"/>
          <w:szCs w:val="25"/>
        </w:rPr>
      </w:pPr>
      <w:r w:rsidRPr="00203A87">
        <w:rPr>
          <w:rFonts w:ascii="Garamond" w:hAnsi="Garamond"/>
          <w:sz w:val="25"/>
          <w:szCs w:val="25"/>
        </w:rPr>
        <w:t>Among other things, the bill does the following:</w:t>
      </w:r>
    </w:p>
    <w:p w:rsidRPr="00203A87" w:rsidR="00A13665" w:rsidP="00203A87" w:rsidRDefault="00A13665" w14:paraId="1B0CCEA2" w14:textId="77777777">
      <w:pPr>
        <w:pStyle w:val="Bulletsl"/>
        <w:spacing w:after="60"/>
        <w:ind w:left="1080"/>
        <w:rPr>
          <w:sz w:val="25"/>
          <w:szCs w:val="25"/>
        </w:rPr>
      </w:pPr>
      <w:r w:rsidRPr="00203A87">
        <w:rPr>
          <w:sz w:val="25"/>
          <w:szCs w:val="25"/>
        </w:rPr>
        <w:t>permits a licensed firearms dealer to sell firearms at an out-of-state gun show, subject to compliance with state laws; and</w:t>
      </w:r>
    </w:p>
    <w:p w:rsidR="00A13665" w:rsidP="00203A87" w:rsidRDefault="00A13665" w14:paraId="555FE528" w14:textId="5E071DDE">
      <w:pPr>
        <w:pStyle w:val="Bulletsl"/>
        <w:spacing w:after="360"/>
        <w:ind w:left="1080"/>
        <w:rPr>
          <w:sz w:val="25"/>
          <w:szCs w:val="25"/>
        </w:rPr>
      </w:pPr>
      <w:r w:rsidRPr="00203A87">
        <w:rPr>
          <w:sz w:val="25"/>
          <w:szCs w:val="25"/>
        </w:rPr>
        <w:t xml:space="preserve">specifies the particular states in which a member of the </w:t>
      </w:r>
      <w:r w:rsidR="001C11F7">
        <w:rPr>
          <w:sz w:val="25"/>
          <w:szCs w:val="25"/>
        </w:rPr>
        <w:t>a</w:t>
      </w:r>
      <w:r w:rsidRPr="00203A87">
        <w:rPr>
          <w:sz w:val="25"/>
          <w:szCs w:val="25"/>
        </w:rPr>
        <w:t xml:space="preserve">rmed </w:t>
      </w:r>
      <w:r w:rsidR="001C11F7">
        <w:rPr>
          <w:sz w:val="25"/>
          <w:szCs w:val="25"/>
        </w:rPr>
        <w:t>f</w:t>
      </w:r>
      <w:r w:rsidRPr="00203A87">
        <w:rPr>
          <w:sz w:val="25"/>
          <w:szCs w:val="25"/>
        </w:rPr>
        <w:t xml:space="preserve">orces, or his or her spouse, is a resident for purposes of federal firearms laws. </w:t>
      </w:r>
    </w:p>
    <w:tbl>
      <w:tblPr>
        <w:tblStyle w:val="TableGrid0"/>
        <w:tblW w:w="5000"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9"/>
        <w:gridCol w:w="1559"/>
        <w:gridCol w:w="1560"/>
        <w:gridCol w:w="1560"/>
        <w:gridCol w:w="1561"/>
        <w:gridCol w:w="1561"/>
      </w:tblGrid>
      <w:tr w:rsidR="00203A87" w:rsidTr="00A50EE6" w14:paraId="6DB2F074" w14:textId="77777777">
        <w:trPr>
          <w:jc w:val="right"/>
        </w:trPr>
        <w:tc>
          <w:tcPr>
            <w:tcW w:w="1558" w:type="dxa"/>
          </w:tcPr>
          <w:p w:rsidRPr="00203A87" w:rsidR="00203A87" w:rsidP="00A50EE6" w:rsidRDefault="00203A87" w14:paraId="44A6CA81" w14:textId="77777777">
            <w:pPr>
              <w:spacing w:after="240"/>
              <w:jc w:val="center"/>
              <w:rPr>
                <w:rFonts w:ascii="Garamond" w:hAnsi="Garamond"/>
              </w:rPr>
            </w:pPr>
            <w:r w:rsidRPr="00203A87">
              <w:rPr>
                <w:rFonts w:ascii="Garamond" w:hAnsi="Garamond"/>
              </w:rPr>
              <w:t>1</w:t>
            </w:r>
          </w:p>
        </w:tc>
        <w:tc>
          <w:tcPr>
            <w:tcW w:w="1558" w:type="dxa"/>
          </w:tcPr>
          <w:p w:rsidRPr="00203A87" w:rsidR="00203A87" w:rsidP="00A50EE6" w:rsidRDefault="00203A87" w14:paraId="4DB3840A" w14:textId="77777777">
            <w:pPr>
              <w:spacing w:after="240"/>
              <w:jc w:val="center"/>
              <w:rPr>
                <w:rFonts w:ascii="Garamond" w:hAnsi="Garamond"/>
              </w:rPr>
            </w:pPr>
            <w:r w:rsidRPr="00203A87">
              <w:rPr>
                <w:rFonts w:ascii="Garamond" w:hAnsi="Garamond"/>
              </w:rPr>
              <w:t>2</w:t>
            </w:r>
          </w:p>
        </w:tc>
        <w:tc>
          <w:tcPr>
            <w:tcW w:w="1558" w:type="dxa"/>
          </w:tcPr>
          <w:p w:rsidRPr="00203A87" w:rsidR="00203A87" w:rsidP="00A50EE6" w:rsidRDefault="00203A87" w14:paraId="7ADD50EA" w14:textId="77777777">
            <w:pPr>
              <w:spacing w:after="240"/>
              <w:jc w:val="center"/>
              <w:rPr>
                <w:rFonts w:ascii="Garamond" w:hAnsi="Garamond"/>
              </w:rPr>
            </w:pPr>
            <w:r w:rsidRPr="00203A87">
              <w:rPr>
                <w:rFonts w:ascii="Garamond" w:hAnsi="Garamond"/>
              </w:rPr>
              <w:t>3</w:t>
            </w:r>
          </w:p>
        </w:tc>
        <w:tc>
          <w:tcPr>
            <w:tcW w:w="1558" w:type="dxa"/>
          </w:tcPr>
          <w:p w:rsidRPr="00203A87" w:rsidR="00203A87" w:rsidP="00A50EE6" w:rsidRDefault="00203A87" w14:paraId="177626AF" w14:textId="77777777">
            <w:pPr>
              <w:spacing w:after="240"/>
              <w:jc w:val="center"/>
              <w:rPr>
                <w:rFonts w:ascii="Garamond" w:hAnsi="Garamond"/>
              </w:rPr>
            </w:pPr>
            <w:r w:rsidRPr="00203A87">
              <w:rPr>
                <w:rFonts w:ascii="Garamond" w:hAnsi="Garamond"/>
              </w:rPr>
              <w:t>4</w:t>
            </w:r>
          </w:p>
        </w:tc>
        <w:tc>
          <w:tcPr>
            <w:tcW w:w="1559" w:type="dxa"/>
          </w:tcPr>
          <w:p w:rsidRPr="00203A87" w:rsidR="00203A87" w:rsidP="00A50EE6" w:rsidRDefault="00203A87" w14:paraId="2AB6BCDA" w14:textId="77777777">
            <w:pPr>
              <w:spacing w:after="240"/>
              <w:jc w:val="center"/>
              <w:rPr>
                <w:rFonts w:ascii="Garamond" w:hAnsi="Garamond"/>
              </w:rPr>
            </w:pPr>
            <w:r w:rsidRPr="00203A87">
              <w:rPr>
                <w:rFonts w:ascii="Garamond" w:hAnsi="Garamond"/>
              </w:rPr>
              <w:t>5</w:t>
            </w:r>
          </w:p>
        </w:tc>
        <w:tc>
          <w:tcPr>
            <w:tcW w:w="1559" w:type="dxa"/>
          </w:tcPr>
          <w:p w:rsidRPr="00203A87" w:rsidR="00203A87" w:rsidP="00A50EE6" w:rsidRDefault="00203A87" w14:paraId="3F77B04B" w14:textId="77777777">
            <w:pPr>
              <w:spacing w:after="240"/>
              <w:jc w:val="center"/>
              <w:rPr>
                <w:rFonts w:ascii="Garamond" w:hAnsi="Garamond"/>
              </w:rPr>
            </w:pPr>
            <w:r w:rsidRPr="00203A87">
              <w:rPr>
                <w:rFonts w:ascii="Garamond" w:hAnsi="Garamond"/>
              </w:rPr>
              <w:t>6</w:t>
            </w:r>
          </w:p>
        </w:tc>
      </w:tr>
      <w:tr w:rsidR="00203A87" w:rsidTr="00A50EE6" w14:paraId="1D518D70" w14:textId="77777777">
        <w:trPr>
          <w:jc w:val="right"/>
        </w:trPr>
        <w:tc>
          <w:tcPr>
            <w:tcW w:w="1558" w:type="dxa"/>
          </w:tcPr>
          <w:p w:rsidRPr="00203A87" w:rsidR="00203A87" w:rsidP="00A50EE6" w:rsidRDefault="001C11F7" w14:paraId="04BF8FB9" w14:textId="0797FEF2">
            <w:pPr>
              <w:jc w:val="center"/>
              <w:rPr>
                <w:rFonts w:ascii="Garamond" w:hAnsi="Garamond"/>
                <w:i/>
                <w:iCs/>
              </w:rPr>
            </w:pPr>
            <w:r>
              <w:rPr>
                <w:rFonts w:ascii="Garamond" w:hAnsi="Garamond"/>
                <w:i/>
                <w:iCs/>
              </w:rPr>
              <w:t xml:space="preserve">    </w:t>
            </w:r>
            <w:r w:rsidRPr="00203A87" w:rsidR="00203A87">
              <w:rPr>
                <w:rFonts w:ascii="Garamond" w:hAnsi="Garamond"/>
                <w:i/>
                <w:iCs/>
              </w:rPr>
              <w:t>No connection</w:t>
            </w:r>
          </w:p>
        </w:tc>
        <w:tc>
          <w:tcPr>
            <w:tcW w:w="1558" w:type="dxa"/>
          </w:tcPr>
          <w:p w:rsidRPr="00203A87" w:rsidR="00203A87" w:rsidP="00A50EE6" w:rsidRDefault="00203A87" w14:paraId="43F9702B" w14:textId="77777777">
            <w:pPr>
              <w:rPr>
                <w:rFonts w:ascii="Garamond" w:hAnsi="Garamond"/>
                <w:i/>
                <w:iCs/>
              </w:rPr>
            </w:pPr>
          </w:p>
        </w:tc>
        <w:tc>
          <w:tcPr>
            <w:tcW w:w="1558" w:type="dxa"/>
          </w:tcPr>
          <w:p w:rsidRPr="00203A87" w:rsidR="00203A87" w:rsidP="00A50EE6" w:rsidRDefault="00203A87" w14:paraId="5350F1CB" w14:textId="77777777">
            <w:pPr>
              <w:rPr>
                <w:rFonts w:ascii="Garamond" w:hAnsi="Garamond"/>
                <w:i/>
                <w:iCs/>
              </w:rPr>
            </w:pPr>
          </w:p>
        </w:tc>
        <w:tc>
          <w:tcPr>
            <w:tcW w:w="1558" w:type="dxa"/>
          </w:tcPr>
          <w:p w:rsidRPr="00203A87" w:rsidR="00203A87" w:rsidP="00A50EE6" w:rsidRDefault="00203A87" w14:paraId="6358E038" w14:textId="77777777">
            <w:pPr>
              <w:rPr>
                <w:rFonts w:ascii="Garamond" w:hAnsi="Garamond"/>
                <w:i/>
                <w:iCs/>
              </w:rPr>
            </w:pPr>
          </w:p>
        </w:tc>
        <w:tc>
          <w:tcPr>
            <w:tcW w:w="1559" w:type="dxa"/>
          </w:tcPr>
          <w:p w:rsidRPr="00203A87" w:rsidR="00203A87" w:rsidP="00A50EE6" w:rsidRDefault="00203A87" w14:paraId="639EBEA0" w14:textId="77777777">
            <w:pPr>
              <w:rPr>
                <w:rFonts w:ascii="Garamond" w:hAnsi="Garamond"/>
                <w:i/>
                <w:iCs/>
              </w:rPr>
            </w:pPr>
          </w:p>
        </w:tc>
        <w:tc>
          <w:tcPr>
            <w:tcW w:w="1559" w:type="dxa"/>
          </w:tcPr>
          <w:p w:rsidRPr="00203A87" w:rsidR="00203A87" w:rsidP="00A50EE6" w:rsidRDefault="00203A87" w14:paraId="5C03EABF" w14:textId="77777777">
            <w:pPr>
              <w:jc w:val="center"/>
              <w:rPr>
                <w:rFonts w:ascii="Garamond" w:hAnsi="Garamond"/>
                <w:i/>
                <w:iCs/>
              </w:rPr>
            </w:pPr>
            <w:r w:rsidRPr="00203A87">
              <w:rPr>
                <w:rFonts w:ascii="Garamond" w:hAnsi="Garamond"/>
                <w:i/>
                <w:iCs/>
              </w:rPr>
              <w:t>Strong Connection</w:t>
            </w:r>
          </w:p>
        </w:tc>
      </w:tr>
    </w:tbl>
    <w:p w:rsidRPr="00B23CF8" w:rsidR="00340962" w:rsidP="009B1DB3" w:rsidRDefault="00340962" w14:paraId="2CDD4D92" w14:textId="77777777">
      <w:pPr>
        <w:spacing w:before="240" w:after="1200"/>
        <w:ind w:left="360"/>
        <w:rPr>
          <w:rFonts w:ascii="Garamond" w:hAnsi="Garamond"/>
          <w:sz w:val="25"/>
          <w:szCs w:val="25"/>
        </w:rPr>
      </w:pPr>
      <w:r w:rsidRPr="00B23CF8">
        <w:rPr>
          <w:rFonts w:ascii="Garamond" w:hAnsi="Garamond"/>
          <w:sz w:val="25"/>
          <w:szCs w:val="25"/>
        </w:rPr>
        <w:t xml:space="preserve">Reasons for the rating: </w:t>
      </w:r>
    </w:p>
    <w:p w:rsidRPr="00BA7FE9" w:rsidR="001878F3" w:rsidP="001C2011" w:rsidRDefault="001878F3" w14:paraId="3386EC9A" w14:textId="3E855622">
      <w:pPr>
        <w:pStyle w:val="ListParagraph"/>
        <w:numPr>
          <w:ilvl w:val="0"/>
          <w:numId w:val="22"/>
        </w:numPr>
        <w:spacing w:after="120"/>
        <w:ind w:left="360"/>
        <w:rPr>
          <w:rFonts w:ascii="Garamond" w:hAnsi="Garamond"/>
          <w:b/>
          <w:bCs/>
          <w:sz w:val="25"/>
          <w:szCs w:val="25"/>
        </w:rPr>
      </w:pPr>
      <w:r w:rsidRPr="00BA7FE9">
        <w:rPr>
          <w:rFonts w:ascii="Garamond" w:hAnsi="Garamond"/>
          <w:b/>
          <w:bCs/>
          <w:sz w:val="25"/>
          <w:szCs w:val="25"/>
        </w:rPr>
        <w:t>H.R.6783</w:t>
      </w:r>
      <w:r w:rsidR="009B1DB3">
        <w:rPr>
          <w:rFonts w:ascii="Garamond" w:hAnsi="Garamond"/>
          <w:b/>
          <w:bCs/>
          <w:sz w:val="25"/>
          <w:szCs w:val="25"/>
        </w:rPr>
        <w:t>—</w:t>
      </w:r>
      <w:r w:rsidRPr="00BA7FE9">
        <w:rPr>
          <w:rFonts w:ascii="Garamond" w:hAnsi="Garamond"/>
          <w:b/>
          <w:bCs/>
          <w:sz w:val="25"/>
          <w:szCs w:val="25"/>
        </w:rPr>
        <w:t>American Space Commerce Act of 2020</w:t>
      </w:r>
    </w:p>
    <w:p w:rsidR="001878F3" w:rsidP="001C11F7" w:rsidRDefault="001878F3" w14:paraId="5A2F8C30" w14:textId="77777777">
      <w:pPr>
        <w:spacing w:after="360"/>
        <w:ind w:left="360"/>
        <w:rPr>
          <w:rFonts w:ascii="Garamond" w:hAnsi="Garamond"/>
          <w:sz w:val="25"/>
          <w:szCs w:val="25"/>
        </w:rPr>
      </w:pPr>
      <w:r w:rsidRPr="00BA7FE9">
        <w:rPr>
          <w:rFonts w:ascii="Garamond" w:hAnsi="Garamond"/>
          <w:sz w:val="25"/>
          <w:szCs w:val="25"/>
        </w:rPr>
        <w:t xml:space="preserve">This bill allows a special allowance for bonus depreciation for qualified domestic space launch property and extends the termination of such allowance until the end of 2032. The bill defines qualified domestic space launch property as property placed in service before January 1, 2023, that is (1) a space transportation vehicle or payload that is launched from the United States, or (2) other property or equipment placed in service to facilitate a space launch from the United States. </w:t>
      </w:r>
    </w:p>
    <w:tbl>
      <w:tblPr>
        <w:tblStyle w:val="TableGrid0"/>
        <w:tblW w:w="5000"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9"/>
        <w:gridCol w:w="1559"/>
        <w:gridCol w:w="1560"/>
        <w:gridCol w:w="1560"/>
        <w:gridCol w:w="1561"/>
        <w:gridCol w:w="1561"/>
      </w:tblGrid>
      <w:tr w:rsidR="001C11F7" w:rsidTr="00A50EE6" w14:paraId="2C6A222D" w14:textId="77777777">
        <w:trPr>
          <w:jc w:val="right"/>
        </w:trPr>
        <w:tc>
          <w:tcPr>
            <w:tcW w:w="1558" w:type="dxa"/>
          </w:tcPr>
          <w:p w:rsidRPr="00203A87" w:rsidR="001C11F7" w:rsidP="00A50EE6" w:rsidRDefault="001C11F7" w14:paraId="1E9A0D5A" w14:textId="77777777">
            <w:pPr>
              <w:spacing w:after="240"/>
              <w:jc w:val="center"/>
              <w:rPr>
                <w:rFonts w:ascii="Garamond" w:hAnsi="Garamond"/>
              </w:rPr>
            </w:pPr>
            <w:r w:rsidRPr="00203A87">
              <w:rPr>
                <w:rFonts w:ascii="Garamond" w:hAnsi="Garamond"/>
              </w:rPr>
              <w:t>1</w:t>
            </w:r>
          </w:p>
        </w:tc>
        <w:tc>
          <w:tcPr>
            <w:tcW w:w="1558" w:type="dxa"/>
          </w:tcPr>
          <w:p w:rsidRPr="00203A87" w:rsidR="001C11F7" w:rsidP="00A50EE6" w:rsidRDefault="001C11F7" w14:paraId="16FEF589" w14:textId="77777777">
            <w:pPr>
              <w:spacing w:after="240"/>
              <w:jc w:val="center"/>
              <w:rPr>
                <w:rFonts w:ascii="Garamond" w:hAnsi="Garamond"/>
              </w:rPr>
            </w:pPr>
            <w:r w:rsidRPr="00203A87">
              <w:rPr>
                <w:rFonts w:ascii="Garamond" w:hAnsi="Garamond"/>
              </w:rPr>
              <w:t>2</w:t>
            </w:r>
          </w:p>
        </w:tc>
        <w:tc>
          <w:tcPr>
            <w:tcW w:w="1558" w:type="dxa"/>
          </w:tcPr>
          <w:p w:rsidRPr="00203A87" w:rsidR="001C11F7" w:rsidP="00A50EE6" w:rsidRDefault="001C11F7" w14:paraId="4E1E5951" w14:textId="77777777">
            <w:pPr>
              <w:spacing w:after="240"/>
              <w:jc w:val="center"/>
              <w:rPr>
                <w:rFonts w:ascii="Garamond" w:hAnsi="Garamond"/>
              </w:rPr>
            </w:pPr>
            <w:r w:rsidRPr="00203A87">
              <w:rPr>
                <w:rFonts w:ascii="Garamond" w:hAnsi="Garamond"/>
              </w:rPr>
              <w:t>3</w:t>
            </w:r>
          </w:p>
        </w:tc>
        <w:tc>
          <w:tcPr>
            <w:tcW w:w="1558" w:type="dxa"/>
          </w:tcPr>
          <w:p w:rsidRPr="00203A87" w:rsidR="001C11F7" w:rsidP="00A50EE6" w:rsidRDefault="001C11F7" w14:paraId="7D555C60" w14:textId="77777777">
            <w:pPr>
              <w:spacing w:after="240"/>
              <w:jc w:val="center"/>
              <w:rPr>
                <w:rFonts w:ascii="Garamond" w:hAnsi="Garamond"/>
              </w:rPr>
            </w:pPr>
            <w:r w:rsidRPr="00203A87">
              <w:rPr>
                <w:rFonts w:ascii="Garamond" w:hAnsi="Garamond"/>
              </w:rPr>
              <w:t>4</w:t>
            </w:r>
          </w:p>
        </w:tc>
        <w:tc>
          <w:tcPr>
            <w:tcW w:w="1559" w:type="dxa"/>
          </w:tcPr>
          <w:p w:rsidRPr="00203A87" w:rsidR="001C11F7" w:rsidP="00A50EE6" w:rsidRDefault="001C11F7" w14:paraId="4EC5DAEA" w14:textId="77777777">
            <w:pPr>
              <w:spacing w:after="240"/>
              <w:jc w:val="center"/>
              <w:rPr>
                <w:rFonts w:ascii="Garamond" w:hAnsi="Garamond"/>
              </w:rPr>
            </w:pPr>
            <w:r w:rsidRPr="00203A87">
              <w:rPr>
                <w:rFonts w:ascii="Garamond" w:hAnsi="Garamond"/>
              </w:rPr>
              <w:t>5</w:t>
            </w:r>
          </w:p>
        </w:tc>
        <w:tc>
          <w:tcPr>
            <w:tcW w:w="1559" w:type="dxa"/>
          </w:tcPr>
          <w:p w:rsidRPr="00203A87" w:rsidR="001C11F7" w:rsidP="00A50EE6" w:rsidRDefault="001C11F7" w14:paraId="176C2F95" w14:textId="77777777">
            <w:pPr>
              <w:spacing w:after="240"/>
              <w:jc w:val="center"/>
              <w:rPr>
                <w:rFonts w:ascii="Garamond" w:hAnsi="Garamond"/>
              </w:rPr>
            </w:pPr>
            <w:r w:rsidRPr="00203A87">
              <w:rPr>
                <w:rFonts w:ascii="Garamond" w:hAnsi="Garamond"/>
              </w:rPr>
              <w:t>6</w:t>
            </w:r>
          </w:p>
        </w:tc>
      </w:tr>
      <w:tr w:rsidR="001C11F7" w:rsidTr="00A50EE6" w14:paraId="0B17694C" w14:textId="77777777">
        <w:trPr>
          <w:jc w:val="right"/>
        </w:trPr>
        <w:tc>
          <w:tcPr>
            <w:tcW w:w="1558" w:type="dxa"/>
          </w:tcPr>
          <w:p w:rsidRPr="00203A87" w:rsidR="001C11F7" w:rsidP="00A50EE6" w:rsidRDefault="001C11F7" w14:paraId="7EADD0EA" w14:textId="77777777">
            <w:pPr>
              <w:jc w:val="center"/>
              <w:rPr>
                <w:rFonts w:ascii="Garamond" w:hAnsi="Garamond"/>
                <w:i/>
                <w:iCs/>
              </w:rPr>
            </w:pPr>
            <w:r>
              <w:rPr>
                <w:rFonts w:ascii="Garamond" w:hAnsi="Garamond"/>
                <w:i/>
                <w:iCs/>
              </w:rPr>
              <w:t xml:space="preserve">    </w:t>
            </w:r>
            <w:r w:rsidRPr="00203A87">
              <w:rPr>
                <w:rFonts w:ascii="Garamond" w:hAnsi="Garamond"/>
                <w:i/>
                <w:iCs/>
              </w:rPr>
              <w:t>No connection</w:t>
            </w:r>
          </w:p>
        </w:tc>
        <w:tc>
          <w:tcPr>
            <w:tcW w:w="1558" w:type="dxa"/>
          </w:tcPr>
          <w:p w:rsidRPr="00203A87" w:rsidR="001C11F7" w:rsidP="00A50EE6" w:rsidRDefault="001C11F7" w14:paraId="6D34A687" w14:textId="77777777">
            <w:pPr>
              <w:rPr>
                <w:rFonts w:ascii="Garamond" w:hAnsi="Garamond"/>
                <w:i/>
                <w:iCs/>
              </w:rPr>
            </w:pPr>
          </w:p>
        </w:tc>
        <w:tc>
          <w:tcPr>
            <w:tcW w:w="1558" w:type="dxa"/>
          </w:tcPr>
          <w:p w:rsidRPr="00203A87" w:rsidR="001C11F7" w:rsidP="00A50EE6" w:rsidRDefault="001C11F7" w14:paraId="17E57D42" w14:textId="77777777">
            <w:pPr>
              <w:rPr>
                <w:rFonts w:ascii="Garamond" w:hAnsi="Garamond"/>
                <w:i/>
                <w:iCs/>
              </w:rPr>
            </w:pPr>
          </w:p>
        </w:tc>
        <w:tc>
          <w:tcPr>
            <w:tcW w:w="1558" w:type="dxa"/>
          </w:tcPr>
          <w:p w:rsidRPr="00203A87" w:rsidR="001C11F7" w:rsidP="00A50EE6" w:rsidRDefault="001C11F7" w14:paraId="5A031C53" w14:textId="77777777">
            <w:pPr>
              <w:rPr>
                <w:rFonts w:ascii="Garamond" w:hAnsi="Garamond"/>
                <w:i/>
                <w:iCs/>
              </w:rPr>
            </w:pPr>
          </w:p>
        </w:tc>
        <w:tc>
          <w:tcPr>
            <w:tcW w:w="1559" w:type="dxa"/>
          </w:tcPr>
          <w:p w:rsidRPr="00203A87" w:rsidR="001C11F7" w:rsidP="00A50EE6" w:rsidRDefault="001C11F7" w14:paraId="446283B4" w14:textId="77777777">
            <w:pPr>
              <w:rPr>
                <w:rFonts w:ascii="Garamond" w:hAnsi="Garamond"/>
                <w:i/>
                <w:iCs/>
              </w:rPr>
            </w:pPr>
          </w:p>
        </w:tc>
        <w:tc>
          <w:tcPr>
            <w:tcW w:w="1559" w:type="dxa"/>
          </w:tcPr>
          <w:p w:rsidRPr="00203A87" w:rsidR="001C11F7" w:rsidP="00A50EE6" w:rsidRDefault="001C11F7" w14:paraId="12636B48" w14:textId="77777777">
            <w:pPr>
              <w:jc w:val="center"/>
              <w:rPr>
                <w:rFonts w:ascii="Garamond" w:hAnsi="Garamond"/>
                <w:i/>
                <w:iCs/>
              </w:rPr>
            </w:pPr>
            <w:r w:rsidRPr="00203A87">
              <w:rPr>
                <w:rFonts w:ascii="Garamond" w:hAnsi="Garamond"/>
                <w:i/>
                <w:iCs/>
              </w:rPr>
              <w:t>Strong Connection</w:t>
            </w:r>
          </w:p>
        </w:tc>
      </w:tr>
    </w:tbl>
    <w:p w:rsidR="001878F3" w:rsidP="001C11F7" w:rsidRDefault="001878F3" w14:paraId="1BABD496" w14:textId="77777777">
      <w:pPr>
        <w:spacing w:before="240" w:after="1200"/>
        <w:ind w:left="360"/>
        <w:rPr>
          <w:rFonts w:ascii="Garamond" w:hAnsi="Garamond"/>
          <w:sz w:val="25"/>
          <w:szCs w:val="25"/>
        </w:rPr>
      </w:pPr>
      <w:r>
        <w:rPr>
          <w:rFonts w:ascii="Garamond" w:hAnsi="Garamond"/>
          <w:sz w:val="25"/>
          <w:szCs w:val="25"/>
        </w:rPr>
        <w:t xml:space="preserve">Reasons for the rating: </w:t>
      </w:r>
    </w:p>
    <w:p w:rsidRPr="00BA7FE9" w:rsidR="00A13665" w:rsidP="001C2011" w:rsidRDefault="00A13665" w14:paraId="4101AD1E" w14:textId="2B7B6690">
      <w:pPr>
        <w:pStyle w:val="ListParagraph"/>
        <w:keepNext/>
        <w:numPr>
          <w:ilvl w:val="0"/>
          <w:numId w:val="22"/>
        </w:numPr>
        <w:spacing w:after="120" w:line="257" w:lineRule="auto"/>
        <w:ind w:left="360"/>
        <w:rPr>
          <w:rFonts w:ascii="Garamond" w:hAnsi="Garamond"/>
          <w:b/>
          <w:bCs/>
          <w:sz w:val="25"/>
          <w:szCs w:val="25"/>
        </w:rPr>
      </w:pPr>
      <w:r w:rsidRPr="00BA7FE9">
        <w:rPr>
          <w:rFonts w:ascii="Garamond" w:hAnsi="Garamond"/>
          <w:b/>
          <w:bCs/>
          <w:sz w:val="25"/>
          <w:szCs w:val="25"/>
        </w:rPr>
        <w:lastRenderedPageBreak/>
        <w:t>S.1768</w:t>
      </w:r>
      <w:r w:rsidR="0099142B">
        <w:rPr>
          <w:rFonts w:ascii="Garamond" w:hAnsi="Garamond"/>
          <w:b/>
          <w:bCs/>
          <w:sz w:val="25"/>
          <w:szCs w:val="25"/>
        </w:rPr>
        <w:t>—</w:t>
      </w:r>
      <w:r w:rsidRPr="00BA7FE9">
        <w:rPr>
          <w:rFonts w:ascii="Garamond" w:hAnsi="Garamond"/>
          <w:b/>
          <w:bCs/>
          <w:sz w:val="25"/>
          <w:szCs w:val="25"/>
        </w:rPr>
        <w:t>Native Species Protection Act</w:t>
      </w:r>
    </w:p>
    <w:p w:rsidRPr="00BA7FE9" w:rsidR="00A13665" w:rsidP="0099142B" w:rsidRDefault="00A13665" w14:paraId="785B2B24" w14:textId="77777777">
      <w:pPr>
        <w:spacing w:after="120"/>
        <w:ind w:left="360"/>
        <w:rPr>
          <w:rFonts w:ascii="Garamond" w:hAnsi="Garamond"/>
          <w:sz w:val="25"/>
          <w:szCs w:val="25"/>
        </w:rPr>
      </w:pPr>
      <w:r w:rsidRPr="00BA7FE9">
        <w:rPr>
          <w:rFonts w:ascii="Garamond" w:hAnsi="Garamond"/>
          <w:sz w:val="25"/>
          <w:szCs w:val="25"/>
        </w:rPr>
        <w:t>This bill prohibits an intrastate species from being subject to (1) regulation governing the protection of endangered or threatened species, or (2) provisions of law under which regulatory authority is based on the power of Congress to regulate interstate commerce under the Commerce Clause.</w:t>
      </w:r>
    </w:p>
    <w:p w:rsidR="00A13665" w:rsidP="0099142B" w:rsidRDefault="00A13665" w14:paraId="5C92FCB6" w14:textId="1A12D1B0">
      <w:pPr>
        <w:spacing w:after="360"/>
        <w:ind w:left="360"/>
        <w:rPr>
          <w:rFonts w:ascii="Garamond" w:hAnsi="Garamond"/>
          <w:sz w:val="25"/>
          <w:szCs w:val="25"/>
        </w:rPr>
      </w:pPr>
      <w:r w:rsidRPr="00BA7FE9">
        <w:rPr>
          <w:rFonts w:ascii="Garamond" w:hAnsi="Garamond"/>
          <w:sz w:val="25"/>
          <w:szCs w:val="25"/>
        </w:rPr>
        <w:t xml:space="preserve">An intrastate species is any species of plant or fish or wildlife that is found entirely within the borders of a single state and is not part of a national market for any commodity. </w:t>
      </w:r>
    </w:p>
    <w:tbl>
      <w:tblPr>
        <w:tblStyle w:val="TableGrid0"/>
        <w:tblW w:w="5000"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9"/>
        <w:gridCol w:w="1559"/>
        <w:gridCol w:w="1560"/>
        <w:gridCol w:w="1560"/>
        <w:gridCol w:w="1561"/>
        <w:gridCol w:w="1561"/>
      </w:tblGrid>
      <w:tr w:rsidR="0099142B" w:rsidTr="00A50EE6" w14:paraId="0223A8F1" w14:textId="77777777">
        <w:trPr>
          <w:jc w:val="right"/>
        </w:trPr>
        <w:tc>
          <w:tcPr>
            <w:tcW w:w="1558" w:type="dxa"/>
          </w:tcPr>
          <w:p w:rsidRPr="00203A87" w:rsidR="0099142B" w:rsidP="00A50EE6" w:rsidRDefault="0099142B" w14:paraId="37CBDD0D" w14:textId="77777777">
            <w:pPr>
              <w:spacing w:after="240"/>
              <w:jc w:val="center"/>
              <w:rPr>
                <w:rFonts w:ascii="Garamond" w:hAnsi="Garamond"/>
              </w:rPr>
            </w:pPr>
            <w:r w:rsidRPr="00203A87">
              <w:rPr>
                <w:rFonts w:ascii="Garamond" w:hAnsi="Garamond"/>
              </w:rPr>
              <w:t>1</w:t>
            </w:r>
          </w:p>
        </w:tc>
        <w:tc>
          <w:tcPr>
            <w:tcW w:w="1558" w:type="dxa"/>
          </w:tcPr>
          <w:p w:rsidRPr="00203A87" w:rsidR="0099142B" w:rsidP="00A50EE6" w:rsidRDefault="0099142B" w14:paraId="22EC06A7" w14:textId="77777777">
            <w:pPr>
              <w:spacing w:after="240"/>
              <w:jc w:val="center"/>
              <w:rPr>
                <w:rFonts w:ascii="Garamond" w:hAnsi="Garamond"/>
              </w:rPr>
            </w:pPr>
            <w:r w:rsidRPr="00203A87">
              <w:rPr>
                <w:rFonts w:ascii="Garamond" w:hAnsi="Garamond"/>
              </w:rPr>
              <w:t>2</w:t>
            </w:r>
          </w:p>
        </w:tc>
        <w:tc>
          <w:tcPr>
            <w:tcW w:w="1558" w:type="dxa"/>
          </w:tcPr>
          <w:p w:rsidRPr="00203A87" w:rsidR="0099142B" w:rsidP="00A50EE6" w:rsidRDefault="0099142B" w14:paraId="53C800B8" w14:textId="77777777">
            <w:pPr>
              <w:spacing w:after="240"/>
              <w:jc w:val="center"/>
              <w:rPr>
                <w:rFonts w:ascii="Garamond" w:hAnsi="Garamond"/>
              </w:rPr>
            </w:pPr>
            <w:r w:rsidRPr="00203A87">
              <w:rPr>
                <w:rFonts w:ascii="Garamond" w:hAnsi="Garamond"/>
              </w:rPr>
              <w:t>3</w:t>
            </w:r>
          </w:p>
        </w:tc>
        <w:tc>
          <w:tcPr>
            <w:tcW w:w="1558" w:type="dxa"/>
          </w:tcPr>
          <w:p w:rsidRPr="00203A87" w:rsidR="0099142B" w:rsidP="00A50EE6" w:rsidRDefault="0099142B" w14:paraId="3AD07AB2" w14:textId="77777777">
            <w:pPr>
              <w:spacing w:after="240"/>
              <w:jc w:val="center"/>
              <w:rPr>
                <w:rFonts w:ascii="Garamond" w:hAnsi="Garamond"/>
              </w:rPr>
            </w:pPr>
            <w:r w:rsidRPr="00203A87">
              <w:rPr>
                <w:rFonts w:ascii="Garamond" w:hAnsi="Garamond"/>
              </w:rPr>
              <w:t>4</w:t>
            </w:r>
          </w:p>
        </w:tc>
        <w:tc>
          <w:tcPr>
            <w:tcW w:w="1559" w:type="dxa"/>
          </w:tcPr>
          <w:p w:rsidRPr="00203A87" w:rsidR="0099142B" w:rsidP="00A50EE6" w:rsidRDefault="0099142B" w14:paraId="6AFFCF0F" w14:textId="77777777">
            <w:pPr>
              <w:spacing w:after="240"/>
              <w:jc w:val="center"/>
              <w:rPr>
                <w:rFonts w:ascii="Garamond" w:hAnsi="Garamond"/>
              </w:rPr>
            </w:pPr>
            <w:r w:rsidRPr="00203A87">
              <w:rPr>
                <w:rFonts w:ascii="Garamond" w:hAnsi="Garamond"/>
              </w:rPr>
              <w:t>5</w:t>
            </w:r>
          </w:p>
        </w:tc>
        <w:tc>
          <w:tcPr>
            <w:tcW w:w="1559" w:type="dxa"/>
          </w:tcPr>
          <w:p w:rsidRPr="00203A87" w:rsidR="0099142B" w:rsidP="00A50EE6" w:rsidRDefault="0099142B" w14:paraId="72B76ED4" w14:textId="77777777">
            <w:pPr>
              <w:spacing w:after="240"/>
              <w:jc w:val="center"/>
              <w:rPr>
                <w:rFonts w:ascii="Garamond" w:hAnsi="Garamond"/>
              </w:rPr>
            </w:pPr>
            <w:r w:rsidRPr="00203A87">
              <w:rPr>
                <w:rFonts w:ascii="Garamond" w:hAnsi="Garamond"/>
              </w:rPr>
              <w:t>6</w:t>
            </w:r>
          </w:p>
        </w:tc>
      </w:tr>
      <w:tr w:rsidR="0099142B" w:rsidTr="00A50EE6" w14:paraId="04AB0634" w14:textId="77777777">
        <w:trPr>
          <w:jc w:val="right"/>
        </w:trPr>
        <w:tc>
          <w:tcPr>
            <w:tcW w:w="1558" w:type="dxa"/>
          </w:tcPr>
          <w:p w:rsidRPr="00203A87" w:rsidR="0099142B" w:rsidP="00A50EE6" w:rsidRDefault="0099142B" w14:paraId="2D14C4A6" w14:textId="77777777">
            <w:pPr>
              <w:jc w:val="center"/>
              <w:rPr>
                <w:rFonts w:ascii="Garamond" w:hAnsi="Garamond"/>
                <w:i/>
                <w:iCs/>
              </w:rPr>
            </w:pPr>
            <w:r>
              <w:rPr>
                <w:rFonts w:ascii="Garamond" w:hAnsi="Garamond"/>
                <w:i/>
                <w:iCs/>
              </w:rPr>
              <w:t xml:space="preserve">    </w:t>
            </w:r>
            <w:r w:rsidRPr="00203A87">
              <w:rPr>
                <w:rFonts w:ascii="Garamond" w:hAnsi="Garamond"/>
                <w:i/>
                <w:iCs/>
              </w:rPr>
              <w:t>No connection</w:t>
            </w:r>
          </w:p>
        </w:tc>
        <w:tc>
          <w:tcPr>
            <w:tcW w:w="1558" w:type="dxa"/>
          </w:tcPr>
          <w:p w:rsidRPr="00203A87" w:rsidR="0099142B" w:rsidP="00A50EE6" w:rsidRDefault="0099142B" w14:paraId="10C8D666" w14:textId="77777777">
            <w:pPr>
              <w:rPr>
                <w:rFonts w:ascii="Garamond" w:hAnsi="Garamond"/>
                <w:i/>
                <w:iCs/>
              </w:rPr>
            </w:pPr>
          </w:p>
        </w:tc>
        <w:tc>
          <w:tcPr>
            <w:tcW w:w="1558" w:type="dxa"/>
          </w:tcPr>
          <w:p w:rsidRPr="00203A87" w:rsidR="0099142B" w:rsidP="00A50EE6" w:rsidRDefault="0099142B" w14:paraId="03D5B31E" w14:textId="77777777">
            <w:pPr>
              <w:rPr>
                <w:rFonts w:ascii="Garamond" w:hAnsi="Garamond"/>
                <w:i/>
                <w:iCs/>
              </w:rPr>
            </w:pPr>
          </w:p>
        </w:tc>
        <w:tc>
          <w:tcPr>
            <w:tcW w:w="1558" w:type="dxa"/>
          </w:tcPr>
          <w:p w:rsidRPr="00203A87" w:rsidR="0099142B" w:rsidP="00A50EE6" w:rsidRDefault="0099142B" w14:paraId="384531E2" w14:textId="77777777">
            <w:pPr>
              <w:rPr>
                <w:rFonts w:ascii="Garamond" w:hAnsi="Garamond"/>
                <w:i/>
                <w:iCs/>
              </w:rPr>
            </w:pPr>
          </w:p>
        </w:tc>
        <w:tc>
          <w:tcPr>
            <w:tcW w:w="1559" w:type="dxa"/>
          </w:tcPr>
          <w:p w:rsidRPr="00203A87" w:rsidR="0099142B" w:rsidP="00A50EE6" w:rsidRDefault="0099142B" w14:paraId="5197767B" w14:textId="77777777">
            <w:pPr>
              <w:rPr>
                <w:rFonts w:ascii="Garamond" w:hAnsi="Garamond"/>
                <w:i/>
                <w:iCs/>
              </w:rPr>
            </w:pPr>
          </w:p>
        </w:tc>
        <w:tc>
          <w:tcPr>
            <w:tcW w:w="1559" w:type="dxa"/>
          </w:tcPr>
          <w:p w:rsidRPr="00203A87" w:rsidR="0099142B" w:rsidP="00A50EE6" w:rsidRDefault="0099142B" w14:paraId="3AA91C2F" w14:textId="77777777">
            <w:pPr>
              <w:jc w:val="center"/>
              <w:rPr>
                <w:rFonts w:ascii="Garamond" w:hAnsi="Garamond"/>
                <w:i/>
                <w:iCs/>
              </w:rPr>
            </w:pPr>
            <w:r w:rsidRPr="00203A87">
              <w:rPr>
                <w:rFonts w:ascii="Garamond" w:hAnsi="Garamond"/>
                <w:i/>
                <w:iCs/>
              </w:rPr>
              <w:t>Strong Connection</w:t>
            </w:r>
          </w:p>
        </w:tc>
      </w:tr>
    </w:tbl>
    <w:p w:rsidRPr="00B23CF8" w:rsidR="00B23CF8" w:rsidP="0099142B" w:rsidRDefault="00B23CF8" w14:paraId="190A3326" w14:textId="3A4410F3">
      <w:pPr>
        <w:spacing w:before="240" w:after="1200"/>
        <w:ind w:left="360"/>
        <w:rPr>
          <w:rFonts w:ascii="Garamond" w:hAnsi="Garamond"/>
          <w:sz w:val="25"/>
          <w:szCs w:val="25"/>
        </w:rPr>
      </w:pPr>
      <w:r w:rsidRPr="00B23CF8">
        <w:rPr>
          <w:rFonts w:ascii="Garamond" w:hAnsi="Garamond"/>
          <w:sz w:val="25"/>
          <w:szCs w:val="25"/>
        </w:rPr>
        <w:t xml:space="preserve">Reasons for the rating: </w:t>
      </w:r>
    </w:p>
    <w:p w:rsidRPr="00BA7FE9" w:rsidR="00A13665" w:rsidP="001C2011" w:rsidRDefault="00A13665" w14:paraId="0574B07C" w14:textId="553816A1">
      <w:pPr>
        <w:pStyle w:val="ListParagraph"/>
        <w:numPr>
          <w:ilvl w:val="0"/>
          <w:numId w:val="22"/>
        </w:numPr>
        <w:spacing w:after="120"/>
        <w:ind w:left="360"/>
        <w:rPr>
          <w:rFonts w:ascii="Garamond" w:hAnsi="Garamond"/>
          <w:b/>
          <w:bCs/>
          <w:sz w:val="25"/>
          <w:szCs w:val="25"/>
        </w:rPr>
      </w:pPr>
      <w:r w:rsidRPr="00BA7FE9">
        <w:rPr>
          <w:rFonts w:ascii="Garamond" w:hAnsi="Garamond"/>
          <w:b/>
          <w:bCs/>
          <w:sz w:val="25"/>
          <w:szCs w:val="25"/>
        </w:rPr>
        <w:t>H.R.6929</w:t>
      </w:r>
      <w:r w:rsidR="0099142B">
        <w:rPr>
          <w:rFonts w:ascii="Garamond" w:hAnsi="Garamond"/>
          <w:b/>
          <w:bCs/>
          <w:sz w:val="25"/>
          <w:szCs w:val="25"/>
        </w:rPr>
        <w:t>—</w:t>
      </w:r>
      <w:r w:rsidRPr="00BA7FE9">
        <w:rPr>
          <w:rFonts w:ascii="Garamond" w:hAnsi="Garamond"/>
          <w:b/>
          <w:bCs/>
          <w:sz w:val="25"/>
          <w:szCs w:val="25"/>
        </w:rPr>
        <w:t>Advancing Facial Recognition Act</w:t>
      </w:r>
    </w:p>
    <w:p w:rsidRPr="00BA7FE9" w:rsidR="00A13665" w:rsidP="0099142B" w:rsidRDefault="00A13665" w14:paraId="58C1FE17" w14:textId="18A888E6">
      <w:pPr>
        <w:spacing w:after="120"/>
        <w:ind w:left="360"/>
        <w:rPr>
          <w:rFonts w:ascii="Garamond" w:hAnsi="Garamond"/>
          <w:sz w:val="25"/>
          <w:szCs w:val="25"/>
        </w:rPr>
      </w:pPr>
      <w:r w:rsidRPr="00BA7FE9">
        <w:rPr>
          <w:rFonts w:ascii="Garamond" w:hAnsi="Garamond"/>
          <w:sz w:val="25"/>
          <w:szCs w:val="25"/>
        </w:rPr>
        <w:t>This bill requires the Department of Commerce to study and report on the impact of facial recognition on U.S. businesses conducting interstate commerce.</w:t>
      </w:r>
      <w:r w:rsidR="00B23CF8">
        <w:rPr>
          <w:rFonts w:ascii="Garamond" w:hAnsi="Garamond"/>
          <w:sz w:val="25"/>
          <w:szCs w:val="25"/>
        </w:rPr>
        <w:t xml:space="preserve"> </w:t>
      </w:r>
      <w:r w:rsidRPr="00BA7FE9">
        <w:rPr>
          <w:rFonts w:ascii="Garamond" w:hAnsi="Garamond"/>
          <w:sz w:val="25"/>
          <w:szCs w:val="25"/>
        </w:rPr>
        <w:t>Such study shall involve, among other things, (1) listing industry sectors that develop and use facial recognition technology and public-private partnerships focused on promoting the adoption and use of such technology, (2) establishing a list of federal agencies asserting jurisdiction over such industry sectors and entities, (3) assessing risks and trends in the marketplace and supply chain of facial recognition technology, and (4) identifying potential harms to individuals related to the use of such technology.</w:t>
      </w:r>
    </w:p>
    <w:p w:rsidR="00A13665" w:rsidP="0099142B" w:rsidRDefault="00A13665" w14:paraId="253DAFDE" w14:textId="5DA3FC1B">
      <w:pPr>
        <w:spacing w:after="360"/>
        <w:ind w:left="360"/>
        <w:rPr>
          <w:rFonts w:ascii="Garamond" w:hAnsi="Garamond"/>
          <w:sz w:val="25"/>
          <w:szCs w:val="25"/>
        </w:rPr>
      </w:pPr>
      <w:r w:rsidRPr="00BA7FE9">
        <w:rPr>
          <w:rFonts w:ascii="Garamond" w:hAnsi="Garamond"/>
          <w:sz w:val="25"/>
          <w:szCs w:val="25"/>
        </w:rPr>
        <w:t xml:space="preserve">Commerce must report to Congress the results of such study and any recommendations to promote the adoption of facial recognition technology. </w:t>
      </w:r>
    </w:p>
    <w:tbl>
      <w:tblPr>
        <w:tblStyle w:val="TableGrid0"/>
        <w:tblW w:w="5000"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9"/>
        <w:gridCol w:w="1559"/>
        <w:gridCol w:w="1560"/>
        <w:gridCol w:w="1560"/>
        <w:gridCol w:w="1561"/>
        <w:gridCol w:w="1561"/>
      </w:tblGrid>
      <w:tr w:rsidR="0099142B" w:rsidTr="00A50EE6" w14:paraId="72AFAAC4" w14:textId="77777777">
        <w:trPr>
          <w:jc w:val="right"/>
        </w:trPr>
        <w:tc>
          <w:tcPr>
            <w:tcW w:w="1558" w:type="dxa"/>
          </w:tcPr>
          <w:p w:rsidRPr="00203A87" w:rsidR="0099142B" w:rsidP="00A50EE6" w:rsidRDefault="0099142B" w14:paraId="60F3082F" w14:textId="77777777">
            <w:pPr>
              <w:spacing w:after="240"/>
              <w:jc w:val="center"/>
              <w:rPr>
                <w:rFonts w:ascii="Garamond" w:hAnsi="Garamond"/>
              </w:rPr>
            </w:pPr>
            <w:r w:rsidRPr="00203A87">
              <w:rPr>
                <w:rFonts w:ascii="Garamond" w:hAnsi="Garamond"/>
              </w:rPr>
              <w:t>1</w:t>
            </w:r>
          </w:p>
        </w:tc>
        <w:tc>
          <w:tcPr>
            <w:tcW w:w="1558" w:type="dxa"/>
          </w:tcPr>
          <w:p w:rsidRPr="00203A87" w:rsidR="0099142B" w:rsidP="00A50EE6" w:rsidRDefault="0099142B" w14:paraId="668DE257" w14:textId="77777777">
            <w:pPr>
              <w:spacing w:after="240"/>
              <w:jc w:val="center"/>
              <w:rPr>
                <w:rFonts w:ascii="Garamond" w:hAnsi="Garamond"/>
              </w:rPr>
            </w:pPr>
            <w:r w:rsidRPr="00203A87">
              <w:rPr>
                <w:rFonts w:ascii="Garamond" w:hAnsi="Garamond"/>
              </w:rPr>
              <w:t>2</w:t>
            </w:r>
          </w:p>
        </w:tc>
        <w:tc>
          <w:tcPr>
            <w:tcW w:w="1558" w:type="dxa"/>
          </w:tcPr>
          <w:p w:rsidRPr="00203A87" w:rsidR="0099142B" w:rsidP="00A50EE6" w:rsidRDefault="0099142B" w14:paraId="6C3119B1" w14:textId="77777777">
            <w:pPr>
              <w:spacing w:after="240"/>
              <w:jc w:val="center"/>
              <w:rPr>
                <w:rFonts w:ascii="Garamond" w:hAnsi="Garamond"/>
              </w:rPr>
            </w:pPr>
            <w:r w:rsidRPr="00203A87">
              <w:rPr>
                <w:rFonts w:ascii="Garamond" w:hAnsi="Garamond"/>
              </w:rPr>
              <w:t>3</w:t>
            </w:r>
          </w:p>
        </w:tc>
        <w:tc>
          <w:tcPr>
            <w:tcW w:w="1558" w:type="dxa"/>
          </w:tcPr>
          <w:p w:rsidRPr="00203A87" w:rsidR="0099142B" w:rsidP="00A50EE6" w:rsidRDefault="0099142B" w14:paraId="32B37F55" w14:textId="77777777">
            <w:pPr>
              <w:spacing w:after="240"/>
              <w:jc w:val="center"/>
              <w:rPr>
                <w:rFonts w:ascii="Garamond" w:hAnsi="Garamond"/>
              </w:rPr>
            </w:pPr>
            <w:r w:rsidRPr="00203A87">
              <w:rPr>
                <w:rFonts w:ascii="Garamond" w:hAnsi="Garamond"/>
              </w:rPr>
              <w:t>4</w:t>
            </w:r>
          </w:p>
        </w:tc>
        <w:tc>
          <w:tcPr>
            <w:tcW w:w="1559" w:type="dxa"/>
          </w:tcPr>
          <w:p w:rsidRPr="00203A87" w:rsidR="0099142B" w:rsidP="00A50EE6" w:rsidRDefault="0099142B" w14:paraId="2B28A63D" w14:textId="77777777">
            <w:pPr>
              <w:spacing w:after="240"/>
              <w:jc w:val="center"/>
              <w:rPr>
                <w:rFonts w:ascii="Garamond" w:hAnsi="Garamond"/>
              </w:rPr>
            </w:pPr>
            <w:r w:rsidRPr="00203A87">
              <w:rPr>
                <w:rFonts w:ascii="Garamond" w:hAnsi="Garamond"/>
              </w:rPr>
              <w:t>5</w:t>
            </w:r>
          </w:p>
        </w:tc>
        <w:tc>
          <w:tcPr>
            <w:tcW w:w="1559" w:type="dxa"/>
          </w:tcPr>
          <w:p w:rsidRPr="00203A87" w:rsidR="0099142B" w:rsidP="00A50EE6" w:rsidRDefault="0099142B" w14:paraId="517E3B24" w14:textId="77777777">
            <w:pPr>
              <w:spacing w:after="240"/>
              <w:jc w:val="center"/>
              <w:rPr>
                <w:rFonts w:ascii="Garamond" w:hAnsi="Garamond"/>
              </w:rPr>
            </w:pPr>
            <w:r w:rsidRPr="00203A87">
              <w:rPr>
                <w:rFonts w:ascii="Garamond" w:hAnsi="Garamond"/>
              </w:rPr>
              <w:t>6</w:t>
            </w:r>
          </w:p>
        </w:tc>
      </w:tr>
      <w:tr w:rsidR="0099142B" w:rsidTr="00A50EE6" w14:paraId="40F297EA" w14:textId="77777777">
        <w:trPr>
          <w:jc w:val="right"/>
        </w:trPr>
        <w:tc>
          <w:tcPr>
            <w:tcW w:w="1558" w:type="dxa"/>
          </w:tcPr>
          <w:p w:rsidRPr="00203A87" w:rsidR="0099142B" w:rsidP="00A50EE6" w:rsidRDefault="0099142B" w14:paraId="58372779" w14:textId="77777777">
            <w:pPr>
              <w:jc w:val="center"/>
              <w:rPr>
                <w:rFonts w:ascii="Garamond" w:hAnsi="Garamond"/>
                <w:i/>
                <w:iCs/>
              </w:rPr>
            </w:pPr>
            <w:r>
              <w:rPr>
                <w:rFonts w:ascii="Garamond" w:hAnsi="Garamond"/>
                <w:i/>
                <w:iCs/>
              </w:rPr>
              <w:t xml:space="preserve">    </w:t>
            </w:r>
            <w:r w:rsidRPr="00203A87">
              <w:rPr>
                <w:rFonts w:ascii="Garamond" w:hAnsi="Garamond"/>
                <w:i/>
                <w:iCs/>
              </w:rPr>
              <w:t>No connection</w:t>
            </w:r>
          </w:p>
        </w:tc>
        <w:tc>
          <w:tcPr>
            <w:tcW w:w="1558" w:type="dxa"/>
          </w:tcPr>
          <w:p w:rsidRPr="00203A87" w:rsidR="0099142B" w:rsidP="00A50EE6" w:rsidRDefault="0099142B" w14:paraId="56F239FA" w14:textId="77777777">
            <w:pPr>
              <w:rPr>
                <w:rFonts w:ascii="Garamond" w:hAnsi="Garamond"/>
                <w:i/>
                <w:iCs/>
              </w:rPr>
            </w:pPr>
          </w:p>
        </w:tc>
        <w:tc>
          <w:tcPr>
            <w:tcW w:w="1558" w:type="dxa"/>
          </w:tcPr>
          <w:p w:rsidRPr="00203A87" w:rsidR="0099142B" w:rsidP="00A50EE6" w:rsidRDefault="0099142B" w14:paraId="25A710AD" w14:textId="77777777">
            <w:pPr>
              <w:rPr>
                <w:rFonts w:ascii="Garamond" w:hAnsi="Garamond"/>
                <w:i/>
                <w:iCs/>
              </w:rPr>
            </w:pPr>
          </w:p>
        </w:tc>
        <w:tc>
          <w:tcPr>
            <w:tcW w:w="1558" w:type="dxa"/>
          </w:tcPr>
          <w:p w:rsidRPr="00203A87" w:rsidR="0099142B" w:rsidP="00A50EE6" w:rsidRDefault="0099142B" w14:paraId="1537830F" w14:textId="77777777">
            <w:pPr>
              <w:rPr>
                <w:rFonts w:ascii="Garamond" w:hAnsi="Garamond"/>
                <w:i/>
                <w:iCs/>
              </w:rPr>
            </w:pPr>
          </w:p>
        </w:tc>
        <w:tc>
          <w:tcPr>
            <w:tcW w:w="1559" w:type="dxa"/>
          </w:tcPr>
          <w:p w:rsidRPr="00203A87" w:rsidR="0099142B" w:rsidP="00A50EE6" w:rsidRDefault="0099142B" w14:paraId="0DAB917F" w14:textId="77777777">
            <w:pPr>
              <w:rPr>
                <w:rFonts w:ascii="Garamond" w:hAnsi="Garamond"/>
                <w:i/>
                <w:iCs/>
              </w:rPr>
            </w:pPr>
          </w:p>
        </w:tc>
        <w:tc>
          <w:tcPr>
            <w:tcW w:w="1559" w:type="dxa"/>
          </w:tcPr>
          <w:p w:rsidRPr="00203A87" w:rsidR="0099142B" w:rsidP="00A50EE6" w:rsidRDefault="0099142B" w14:paraId="09F96DB6" w14:textId="77777777">
            <w:pPr>
              <w:jc w:val="center"/>
              <w:rPr>
                <w:rFonts w:ascii="Garamond" w:hAnsi="Garamond"/>
                <w:i/>
                <w:iCs/>
              </w:rPr>
            </w:pPr>
            <w:r w:rsidRPr="00203A87">
              <w:rPr>
                <w:rFonts w:ascii="Garamond" w:hAnsi="Garamond"/>
                <w:i/>
                <w:iCs/>
              </w:rPr>
              <w:t>Strong Connection</w:t>
            </w:r>
          </w:p>
        </w:tc>
      </w:tr>
    </w:tbl>
    <w:p w:rsidRPr="00B23CF8" w:rsidR="00B23CF8" w:rsidP="0099142B" w:rsidRDefault="00B23CF8" w14:paraId="3758E6F6" w14:textId="54A1EF70">
      <w:pPr>
        <w:spacing w:before="240" w:after="1200"/>
        <w:ind w:left="360"/>
        <w:rPr>
          <w:rFonts w:ascii="Garamond" w:hAnsi="Garamond"/>
          <w:sz w:val="25"/>
          <w:szCs w:val="25"/>
        </w:rPr>
      </w:pPr>
      <w:r w:rsidRPr="00B23CF8">
        <w:rPr>
          <w:rFonts w:ascii="Garamond" w:hAnsi="Garamond"/>
          <w:sz w:val="25"/>
          <w:szCs w:val="25"/>
        </w:rPr>
        <w:t xml:space="preserve">Reasons for the rating: </w:t>
      </w:r>
    </w:p>
    <w:p w:rsidRPr="00BA7FE9" w:rsidR="00A13665" w:rsidP="001C2011" w:rsidRDefault="00A13665" w14:paraId="3AE5FD9E" w14:textId="2874F1B2">
      <w:pPr>
        <w:pStyle w:val="ListParagraph"/>
        <w:numPr>
          <w:ilvl w:val="0"/>
          <w:numId w:val="22"/>
        </w:numPr>
        <w:spacing w:after="120"/>
        <w:ind w:left="360"/>
        <w:rPr>
          <w:rFonts w:ascii="Garamond" w:hAnsi="Garamond"/>
          <w:b/>
          <w:bCs/>
          <w:sz w:val="25"/>
          <w:szCs w:val="25"/>
        </w:rPr>
      </w:pPr>
      <w:r w:rsidRPr="00BA7FE9">
        <w:rPr>
          <w:rFonts w:ascii="Garamond" w:hAnsi="Garamond"/>
          <w:b/>
          <w:bCs/>
          <w:sz w:val="25"/>
          <w:szCs w:val="25"/>
        </w:rPr>
        <w:t>S.1779</w:t>
      </w:r>
      <w:r w:rsidR="0099142B">
        <w:rPr>
          <w:rFonts w:ascii="Garamond" w:hAnsi="Garamond"/>
          <w:b/>
          <w:bCs/>
          <w:sz w:val="25"/>
          <w:szCs w:val="25"/>
        </w:rPr>
        <w:t>—</w:t>
      </w:r>
      <w:r w:rsidRPr="00BA7FE9">
        <w:rPr>
          <w:rFonts w:ascii="Garamond" w:hAnsi="Garamond"/>
          <w:b/>
          <w:bCs/>
          <w:sz w:val="25"/>
          <w:szCs w:val="25"/>
        </w:rPr>
        <w:t>Equal Access to Justice for Victims of Gun Violence Act</w:t>
      </w:r>
    </w:p>
    <w:p w:rsidRPr="00BA7FE9" w:rsidR="00A13665" w:rsidP="0099142B" w:rsidRDefault="00A13665" w14:paraId="243F5A6F" w14:textId="77777777">
      <w:pPr>
        <w:spacing w:after="120"/>
        <w:ind w:left="360"/>
        <w:rPr>
          <w:rFonts w:ascii="Garamond" w:hAnsi="Garamond"/>
          <w:sz w:val="25"/>
          <w:szCs w:val="25"/>
        </w:rPr>
      </w:pPr>
      <w:r w:rsidRPr="00BA7FE9">
        <w:rPr>
          <w:rFonts w:ascii="Garamond" w:hAnsi="Garamond"/>
          <w:sz w:val="25"/>
          <w:szCs w:val="25"/>
        </w:rPr>
        <w:t>This bill removes limitations on the civil liability of gun manufacturers.</w:t>
      </w:r>
    </w:p>
    <w:p w:rsidR="00A13665" w:rsidP="0099142B" w:rsidRDefault="00A13665" w14:paraId="2D7D2B78" w14:textId="2C25F4EA">
      <w:pPr>
        <w:spacing w:after="360"/>
        <w:ind w:left="360"/>
        <w:rPr>
          <w:rFonts w:ascii="Garamond" w:hAnsi="Garamond"/>
          <w:sz w:val="25"/>
          <w:szCs w:val="25"/>
        </w:rPr>
      </w:pPr>
      <w:r w:rsidRPr="00BA7FE9">
        <w:rPr>
          <w:rFonts w:ascii="Garamond" w:hAnsi="Garamond"/>
          <w:sz w:val="25"/>
          <w:szCs w:val="25"/>
        </w:rPr>
        <w:lastRenderedPageBreak/>
        <w:t>Specifically, the bill repeals the Protection of Lawful Commerce in Arms Act, which prohibits civil actions against a firearm or ammunition manufacturer, seller, importer, dealer, or trade association for damages resulting from the criminal or unlawful misuse of a firearm.</w:t>
      </w:r>
    </w:p>
    <w:tbl>
      <w:tblPr>
        <w:tblStyle w:val="TableGrid0"/>
        <w:tblW w:w="5000"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9"/>
        <w:gridCol w:w="1559"/>
        <w:gridCol w:w="1560"/>
        <w:gridCol w:w="1560"/>
        <w:gridCol w:w="1561"/>
        <w:gridCol w:w="1561"/>
      </w:tblGrid>
      <w:tr w:rsidR="0099142B" w:rsidTr="00A50EE6" w14:paraId="0A62243C" w14:textId="77777777">
        <w:trPr>
          <w:jc w:val="right"/>
        </w:trPr>
        <w:tc>
          <w:tcPr>
            <w:tcW w:w="1558" w:type="dxa"/>
          </w:tcPr>
          <w:p w:rsidRPr="00203A87" w:rsidR="0099142B" w:rsidP="00A50EE6" w:rsidRDefault="0099142B" w14:paraId="30560BA0" w14:textId="77777777">
            <w:pPr>
              <w:spacing w:after="240"/>
              <w:jc w:val="center"/>
              <w:rPr>
                <w:rFonts w:ascii="Garamond" w:hAnsi="Garamond"/>
              </w:rPr>
            </w:pPr>
            <w:r w:rsidRPr="00203A87">
              <w:rPr>
                <w:rFonts w:ascii="Garamond" w:hAnsi="Garamond"/>
              </w:rPr>
              <w:t>1</w:t>
            </w:r>
          </w:p>
        </w:tc>
        <w:tc>
          <w:tcPr>
            <w:tcW w:w="1558" w:type="dxa"/>
          </w:tcPr>
          <w:p w:rsidRPr="00203A87" w:rsidR="0099142B" w:rsidP="00A50EE6" w:rsidRDefault="0099142B" w14:paraId="7008BEA8" w14:textId="77777777">
            <w:pPr>
              <w:spacing w:after="240"/>
              <w:jc w:val="center"/>
              <w:rPr>
                <w:rFonts w:ascii="Garamond" w:hAnsi="Garamond"/>
              </w:rPr>
            </w:pPr>
            <w:r w:rsidRPr="00203A87">
              <w:rPr>
                <w:rFonts w:ascii="Garamond" w:hAnsi="Garamond"/>
              </w:rPr>
              <w:t>2</w:t>
            </w:r>
          </w:p>
        </w:tc>
        <w:tc>
          <w:tcPr>
            <w:tcW w:w="1558" w:type="dxa"/>
          </w:tcPr>
          <w:p w:rsidRPr="00203A87" w:rsidR="0099142B" w:rsidP="00A50EE6" w:rsidRDefault="0099142B" w14:paraId="1A872274" w14:textId="77777777">
            <w:pPr>
              <w:spacing w:after="240"/>
              <w:jc w:val="center"/>
              <w:rPr>
                <w:rFonts w:ascii="Garamond" w:hAnsi="Garamond"/>
              </w:rPr>
            </w:pPr>
            <w:r w:rsidRPr="00203A87">
              <w:rPr>
                <w:rFonts w:ascii="Garamond" w:hAnsi="Garamond"/>
              </w:rPr>
              <w:t>3</w:t>
            </w:r>
          </w:p>
        </w:tc>
        <w:tc>
          <w:tcPr>
            <w:tcW w:w="1558" w:type="dxa"/>
          </w:tcPr>
          <w:p w:rsidRPr="00203A87" w:rsidR="0099142B" w:rsidP="00A50EE6" w:rsidRDefault="0099142B" w14:paraId="4D417383" w14:textId="77777777">
            <w:pPr>
              <w:spacing w:after="240"/>
              <w:jc w:val="center"/>
              <w:rPr>
                <w:rFonts w:ascii="Garamond" w:hAnsi="Garamond"/>
              </w:rPr>
            </w:pPr>
            <w:r w:rsidRPr="00203A87">
              <w:rPr>
                <w:rFonts w:ascii="Garamond" w:hAnsi="Garamond"/>
              </w:rPr>
              <w:t>4</w:t>
            </w:r>
          </w:p>
        </w:tc>
        <w:tc>
          <w:tcPr>
            <w:tcW w:w="1559" w:type="dxa"/>
          </w:tcPr>
          <w:p w:rsidRPr="00203A87" w:rsidR="0099142B" w:rsidP="00A50EE6" w:rsidRDefault="0099142B" w14:paraId="62F94B58" w14:textId="77777777">
            <w:pPr>
              <w:spacing w:after="240"/>
              <w:jc w:val="center"/>
              <w:rPr>
                <w:rFonts w:ascii="Garamond" w:hAnsi="Garamond"/>
              </w:rPr>
            </w:pPr>
            <w:r w:rsidRPr="00203A87">
              <w:rPr>
                <w:rFonts w:ascii="Garamond" w:hAnsi="Garamond"/>
              </w:rPr>
              <w:t>5</w:t>
            </w:r>
          </w:p>
        </w:tc>
        <w:tc>
          <w:tcPr>
            <w:tcW w:w="1559" w:type="dxa"/>
          </w:tcPr>
          <w:p w:rsidRPr="00203A87" w:rsidR="0099142B" w:rsidP="00A50EE6" w:rsidRDefault="0099142B" w14:paraId="10CC583F" w14:textId="77777777">
            <w:pPr>
              <w:spacing w:after="240"/>
              <w:jc w:val="center"/>
              <w:rPr>
                <w:rFonts w:ascii="Garamond" w:hAnsi="Garamond"/>
              </w:rPr>
            </w:pPr>
            <w:r w:rsidRPr="00203A87">
              <w:rPr>
                <w:rFonts w:ascii="Garamond" w:hAnsi="Garamond"/>
              </w:rPr>
              <w:t>6</w:t>
            </w:r>
          </w:p>
        </w:tc>
      </w:tr>
      <w:tr w:rsidR="0099142B" w:rsidTr="00A50EE6" w14:paraId="64ECCFB2" w14:textId="77777777">
        <w:trPr>
          <w:jc w:val="right"/>
        </w:trPr>
        <w:tc>
          <w:tcPr>
            <w:tcW w:w="1558" w:type="dxa"/>
          </w:tcPr>
          <w:p w:rsidRPr="00203A87" w:rsidR="0099142B" w:rsidP="00A50EE6" w:rsidRDefault="0099142B" w14:paraId="7214BFE0" w14:textId="77777777">
            <w:pPr>
              <w:jc w:val="center"/>
              <w:rPr>
                <w:rFonts w:ascii="Garamond" w:hAnsi="Garamond"/>
                <w:i/>
                <w:iCs/>
              </w:rPr>
            </w:pPr>
            <w:r>
              <w:rPr>
                <w:rFonts w:ascii="Garamond" w:hAnsi="Garamond"/>
                <w:i/>
                <w:iCs/>
              </w:rPr>
              <w:t xml:space="preserve">    </w:t>
            </w:r>
            <w:r w:rsidRPr="00203A87">
              <w:rPr>
                <w:rFonts w:ascii="Garamond" w:hAnsi="Garamond"/>
                <w:i/>
                <w:iCs/>
              </w:rPr>
              <w:t>No connection</w:t>
            </w:r>
          </w:p>
        </w:tc>
        <w:tc>
          <w:tcPr>
            <w:tcW w:w="1558" w:type="dxa"/>
          </w:tcPr>
          <w:p w:rsidRPr="00203A87" w:rsidR="0099142B" w:rsidP="00A50EE6" w:rsidRDefault="0099142B" w14:paraId="2111E96A" w14:textId="77777777">
            <w:pPr>
              <w:rPr>
                <w:rFonts w:ascii="Garamond" w:hAnsi="Garamond"/>
                <w:i/>
                <w:iCs/>
              </w:rPr>
            </w:pPr>
          </w:p>
        </w:tc>
        <w:tc>
          <w:tcPr>
            <w:tcW w:w="1558" w:type="dxa"/>
          </w:tcPr>
          <w:p w:rsidRPr="00203A87" w:rsidR="0099142B" w:rsidP="00A50EE6" w:rsidRDefault="0099142B" w14:paraId="473456DB" w14:textId="77777777">
            <w:pPr>
              <w:rPr>
                <w:rFonts w:ascii="Garamond" w:hAnsi="Garamond"/>
                <w:i/>
                <w:iCs/>
              </w:rPr>
            </w:pPr>
          </w:p>
        </w:tc>
        <w:tc>
          <w:tcPr>
            <w:tcW w:w="1558" w:type="dxa"/>
          </w:tcPr>
          <w:p w:rsidRPr="00203A87" w:rsidR="0099142B" w:rsidP="00A50EE6" w:rsidRDefault="0099142B" w14:paraId="3DF4F71C" w14:textId="77777777">
            <w:pPr>
              <w:rPr>
                <w:rFonts w:ascii="Garamond" w:hAnsi="Garamond"/>
                <w:i/>
                <w:iCs/>
              </w:rPr>
            </w:pPr>
          </w:p>
        </w:tc>
        <w:tc>
          <w:tcPr>
            <w:tcW w:w="1559" w:type="dxa"/>
          </w:tcPr>
          <w:p w:rsidRPr="00203A87" w:rsidR="0099142B" w:rsidP="00A50EE6" w:rsidRDefault="0099142B" w14:paraId="79B8C80F" w14:textId="77777777">
            <w:pPr>
              <w:rPr>
                <w:rFonts w:ascii="Garamond" w:hAnsi="Garamond"/>
                <w:i/>
                <w:iCs/>
              </w:rPr>
            </w:pPr>
          </w:p>
        </w:tc>
        <w:tc>
          <w:tcPr>
            <w:tcW w:w="1559" w:type="dxa"/>
          </w:tcPr>
          <w:p w:rsidRPr="00203A87" w:rsidR="0099142B" w:rsidP="00A50EE6" w:rsidRDefault="0099142B" w14:paraId="40DFCDF4" w14:textId="77777777">
            <w:pPr>
              <w:jc w:val="center"/>
              <w:rPr>
                <w:rFonts w:ascii="Garamond" w:hAnsi="Garamond"/>
                <w:i/>
                <w:iCs/>
              </w:rPr>
            </w:pPr>
            <w:r w:rsidRPr="00203A87">
              <w:rPr>
                <w:rFonts w:ascii="Garamond" w:hAnsi="Garamond"/>
                <w:i/>
                <w:iCs/>
              </w:rPr>
              <w:t>Strong Connection</w:t>
            </w:r>
          </w:p>
        </w:tc>
      </w:tr>
    </w:tbl>
    <w:p w:rsidRPr="00B23CF8" w:rsidR="00B23CF8" w:rsidP="0099142B" w:rsidRDefault="00B23CF8" w14:paraId="18AFDA9D" w14:textId="3A71CF2D">
      <w:pPr>
        <w:spacing w:before="240" w:after="1200"/>
        <w:ind w:left="360"/>
        <w:rPr>
          <w:rFonts w:ascii="Garamond" w:hAnsi="Garamond"/>
          <w:sz w:val="25"/>
          <w:szCs w:val="25"/>
        </w:rPr>
      </w:pPr>
      <w:r w:rsidRPr="00B23CF8">
        <w:rPr>
          <w:rFonts w:ascii="Garamond" w:hAnsi="Garamond"/>
          <w:sz w:val="25"/>
          <w:szCs w:val="25"/>
        </w:rPr>
        <w:t xml:space="preserve">Reasons for the rating: </w:t>
      </w:r>
    </w:p>
    <w:p w:rsidRPr="00BA7FE9" w:rsidR="00A13665" w:rsidP="001C2011" w:rsidRDefault="00A13665" w14:paraId="4923E4E1" w14:textId="4E65B8FB">
      <w:pPr>
        <w:pStyle w:val="ListParagraph"/>
        <w:numPr>
          <w:ilvl w:val="0"/>
          <w:numId w:val="22"/>
        </w:numPr>
        <w:spacing w:after="120"/>
        <w:ind w:left="360"/>
        <w:rPr>
          <w:rFonts w:ascii="Garamond" w:hAnsi="Garamond"/>
          <w:b/>
          <w:bCs/>
          <w:sz w:val="25"/>
          <w:szCs w:val="25"/>
        </w:rPr>
      </w:pPr>
      <w:r w:rsidRPr="00BA7FE9">
        <w:rPr>
          <w:rFonts w:ascii="Garamond" w:hAnsi="Garamond"/>
          <w:b/>
          <w:bCs/>
          <w:sz w:val="25"/>
          <w:szCs w:val="25"/>
        </w:rPr>
        <w:t>H.R.5845</w:t>
      </w:r>
      <w:r w:rsidR="0099142B">
        <w:rPr>
          <w:rFonts w:ascii="Garamond" w:hAnsi="Garamond"/>
          <w:b/>
          <w:bCs/>
          <w:sz w:val="25"/>
          <w:szCs w:val="25"/>
        </w:rPr>
        <w:t>—</w:t>
      </w:r>
      <w:r w:rsidRPr="00BA7FE9">
        <w:rPr>
          <w:rFonts w:ascii="Garamond" w:hAnsi="Garamond"/>
          <w:b/>
          <w:bCs/>
          <w:sz w:val="25"/>
          <w:szCs w:val="25"/>
        </w:rPr>
        <w:t xml:space="preserve">Break Free </w:t>
      </w:r>
      <w:r w:rsidR="0099142B">
        <w:rPr>
          <w:rFonts w:ascii="Garamond" w:hAnsi="Garamond"/>
          <w:b/>
          <w:bCs/>
          <w:sz w:val="25"/>
          <w:szCs w:val="25"/>
        </w:rPr>
        <w:t>f</w:t>
      </w:r>
      <w:r w:rsidRPr="00BA7FE9">
        <w:rPr>
          <w:rFonts w:ascii="Garamond" w:hAnsi="Garamond"/>
          <w:b/>
          <w:bCs/>
          <w:sz w:val="25"/>
          <w:szCs w:val="25"/>
        </w:rPr>
        <w:t>rom Plastic Pollution Act of 2020</w:t>
      </w:r>
    </w:p>
    <w:p w:rsidRPr="00BA7FE9" w:rsidR="00BA7FE9" w:rsidP="001C2011" w:rsidRDefault="00BA7FE9" w14:paraId="5CF74F1F" w14:textId="77777777">
      <w:pPr>
        <w:spacing w:after="120"/>
        <w:ind w:left="360"/>
        <w:rPr>
          <w:rFonts w:ascii="Garamond" w:hAnsi="Garamond"/>
          <w:sz w:val="25"/>
          <w:szCs w:val="25"/>
        </w:rPr>
      </w:pPr>
      <w:r w:rsidRPr="00BA7FE9">
        <w:rPr>
          <w:rFonts w:ascii="Garamond" w:hAnsi="Garamond"/>
          <w:sz w:val="25"/>
          <w:szCs w:val="25"/>
        </w:rPr>
        <w:t>The bill makes certain producers of products (e.g., packaging, paper, single-use products, beverage containers, or food service products) fiscally responsible for collecting, managing, and recycling or composting the products after consumer use. In addition, the bill establishes (1) minimum percentages of products that must be reused, recycled, or composted; and (2) an increasing percentage of recycled content that must be contained in beverage containers.</w:t>
      </w:r>
    </w:p>
    <w:p w:rsidRPr="00BA7FE9" w:rsidR="00BA7FE9" w:rsidP="001C2011" w:rsidRDefault="00BA7FE9" w14:paraId="16A33134" w14:textId="77777777">
      <w:pPr>
        <w:spacing w:after="120"/>
        <w:ind w:left="360"/>
        <w:rPr>
          <w:rFonts w:ascii="Garamond" w:hAnsi="Garamond"/>
          <w:sz w:val="25"/>
          <w:szCs w:val="25"/>
        </w:rPr>
      </w:pPr>
      <w:r w:rsidRPr="00BA7FE9">
        <w:rPr>
          <w:rFonts w:ascii="Garamond" w:hAnsi="Garamond"/>
          <w:sz w:val="25"/>
          <w:szCs w:val="25"/>
        </w:rPr>
        <w:t>Beginning on January 1, 2022, the bill phases out a variety of single-use products, such as plastic utensils. The bill also sets forth provisions to encourage the reduction of single-use products, including by establishing programs to refund consumers for returning beverage containers and by establishing a tax on carryout bags.</w:t>
      </w:r>
    </w:p>
    <w:p w:rsidRPr="00BA7FE9" w:rsidR="00BA7FE9" w:rsidP="001C2011" w:rsidRDefault="00BA7FE9" w14:paraId="0DA362AC" w14:textId="77777777">
      <w:pPr>
        <w:spacing w:after="120"/>
        <w:ind w:left="360"/>
        <w:rPr>
          <w:rFonts w:ascii="Garamond" w:hAnsi="Garamond"/>
          <w:sz w:val="25"/>
          <w:szCs w:val="25"/>
        </w:rPr>
      </w:pPr>
      <w:r w:rsidRPr="00BA7FE9">
        <w:rPr>
          <w:rFonts w:ascii="Garamond" w:hAnsi="Garamond"/>
          <w:sz w:val="25"/>
          <w:szCs w:val="25"/>
        </w:rPr>
        <w:t>The bill creates a temporary moratorium on new or expanded permits for facilities that manufacture plastics until regulations are updated to address pollution from the facilities.</w:t>
      </w:r>
    </w:p>
    <w:p w:rsidRPr="00BA7FE9" w:rsidR="00BA7FE9" w:rsidP="001C2011" w:rsidRDefault="00BA7FE9" w14:paraId="500D1E99" w14:textId="77777777">
      <w:pPr>
        <w:spacing w:after="120"/>
        <w:ind w:left="360"/>
        <w:rPr>
          <w:rFonts w:ascii="Garamond" w:hAnsi="Garamond"/>
          <w:sz w:val="25"/>
          <w:szCs w:val="25"/>
        </w:rPr>
      </w:pPr>
      <w:r w:rsidRPr="00BA7FE9">
        <w:rPr>
          <w:rFonts w:ascii="Garamond" w:hAnsi="Garamond"/>
          <w:sz w:val="25"/>
          <w:szCs w:val="25"/>
        </w:rPr>
        <w:t xml:space="preserve">The Environmental Protection Agency must publish guidelines for a national standardized labeling system for recycling and composting receptacles. Producers must include labels on their products that are easy to read and indicate whether the products are recyclable, compostable, or reusable. </w:t>
      </w:r>
    </w:p>
    <w:p w:rsidRPr="00BA7FE9" w:rsidR="00BA7FE9" w:rsidP="001C2011" w:rsidRDefault="00BA7FE9" w14:paraId="225BC3AD" w14:textId="77777777">
      <w:pPr>
        <w:spacing w:after="360"/>
        <w:ind w:left="360"/>
        <w:rPr>
          <w:rFonts w:ascii="Garamond" w:hAnsi="Garamond"/>
          <w:sz w:val="25"/>
          <w:szCs w:val="25"/>
        </w:rPr>
      </w:pPr>
      <w:r w:rsidRPr="00BA7FE9">
        <w:rPr>
          <w:rFonts w:ascii="Garamond" w:hAnsi="Garamond"/>
          <w:sz w:val="25"/>
          <w:szCs w:val="25"/>
        </w:rPr>
        <w:t>Finally, the bill establishes limitations on the export of plastic waste to other countries.</w:t>
      </w:r>
    </w:p>
    <w:tbl>
      <w:tblPr>
        <w:tblStyle w:val="TableGrid0"/>
        <w:tblW w:w="5000"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9"/>
        <w:gridCol w:w="1559"/>
        <w:gridCol w:w="1560"/>
        <w:gridCol w:w="1560"/>
        <w:gridCol w:w="1561"/>
        <w:gridCol w:w="1561"/>
      </w:tblGrid>
      <w:tr w:rsidR="001C2011" w:rsidTr="00A50EE6" w14:paraId="3A051253" w14:textId="77777777">
        <w:trPr>
          <w:jc w:val="right"/>
        </w:trPr>
        <w:tc>
          <w:tcPr>
            <w:tcW w:w="1558" w:type="dxa"/>
          </w:tcPr>
          <w:p w:rsidRPr="00203A87" w:rsidR="001C2011" w:rsidP="00A50EE6" w:rsidRDefault="001C2011" w14:paraId="43C0E233" w14:textId="77777777">
            <w:pPr>
              <w:spacing w:after="240"/>
              <w:jc w:val="center"/>
              <w:rPr>
                <w:rFonts w:ascii="Garamond" w:hAnsi="Garamond"/>
              </w:rPr>
            </w:pPr>
            <w:r w:rsidRPr="00203A87">
              <w:rPr>
                <w:rFonts w:ascii="Garamond" w:hAnsi="Garamond"/>
              </w:rPr>
              <w:t>1</w:t>
            </w:r>
          </w:p>
        </w:tc>
        <w:tc>
          <w:tcPr>
            <w:tcW w:w="1558" w:type="dxa"/>
          </w:tcPr>
          <w:p w:rsidRPr="00203A87" w:rsidR="001C2011" w:rsidP="00A50EE6" w:rsidRDefault="001C2011" w14:paraId="59B28735" w14:textId="77777777">
            <w:pPr>
              <w:spacing w:after="240"/>
              <w:jc w:val="center"/>
              <w:rPr>
                <w:rFonts w:ascii="Garamond" w:hAnsi="Garamond"/>
              </w:rPr>
            </w:pPr>
            <w:r w:rsidRPr="00203A87">
              <w:rPr>
                <w:rFonts w:ascii="Garamond" w:hAnsi="Garamond"/>
              </w:rPr>
              <w:t>2</w:t>
            </w:r>
          </w:p>
        </w:tc>
        <w:tc>
          <w:tcPr>
            <w:tcW w:w="1558" w:type="dxa"/>
          </w:tcPr>
          <w:p w:rsidRPr="00203A87" w:rsidR="001C2011" w:rsidP="00A50EE6" w:rsidRDefault="001C2011" w14:paraId="30F9DD70" w14:textId="77777777">
            <w:pPr>
              <w:spacing w:after="240"/>
              <w:jc w:val="center"/>
              <w:rPr>
                <w:rFonts w:ascii="Garamond" w:hAnsi="Garamond"/>
              </w:rPr>
            </w:pPr>
            <w:r w:rsidRPr="00203A87">
              <w:rPr>
                <w:rFonts w:ascii="Garamond" w:hAnsi="Garamond"/>
              </w:rPr>
              <w:t>3</w:t>
            </w:r>
          </w:p>
        </w:tc>
        <w:tc>
          <w:tcPr>
            <w:tcW w:w="1558" w:type="dxa"/>
          </w:tcPr>
          <w:p w:rsidRPr="00203A87" w:rsidR="001C2011" w:rsidP="00A50EE6" w:rsidRDefault="001C2011" w14:paraId="7CB0DBB7" w14:textId="77777777">
            <w:pPr>
              <w:spacing w:after="240"/>
              <w:jc w:val="center"/>
              <w:rPr>
                <w:rFonts w:ascii="Garamond" w:hAnsi="Garamond"/>
              </w:rPr>
            </w:pPr>
            <w:r w:rsidRPr="00203A87">
              <w:rPr>
                <w:rFonts w:ascii="Garamond" w:hAnsi="Garamond"/>
              </w:rPr>
              <w:t>4</w:t>
            </w:r>
          </w:p>
        </w:tc>
        <w:tc>
          <w:tcPr>
            <w:tcW w:w="1559" w:type="dxa"/>
          </w:tcPr>
          <w:p w:rsidRPr="00203A87" w:rsidR="001C2011" w:rsidP="00A50EE6" w:rsidRDefault="001C2011" w14:paraId="27E9E701" w14:textId="77777777">
            <w:pPr>
              <w:spacing w:after="240"/>
              <w:jc w:val="center"/>
              <w:rPr>
                <w:rFonts w:ascii="Garamond" w:hAnsi="Garamond"/>
              </w:rPr>
            </w:pPr>
            <w:r w:rsidRPr="00203A87">
              <w:rPr>
                <w:rFonts w:ascii="Garamond" w:hAnsi="Garamond"/>
              </w:rPr>
              <w:t>5</w:t>
            </w:r>
          </w:p>
        </w:tc>
        <w:tc>
          <w:tcPr>
            <w:tcW w:w="1559" w:type="dxa"/>
          </w:tcPr>
          <w:p w:rsidRPr="00203A87" w:rsidR="001C2011" w:rsidP="00A50EE6" w:rsidRDefault="001C2011" w14:paraId="534FDE04" w14:textId="77777777">
            <w:pPr>
              <w:spacing w:after="240"/>
              <w:jc w:val="center"/>
              <w:rPr>
                <w:rFonts w:ascii="Garamond" w:hAnsi="Garamond"/>
              </w:rPr>
            </w:pPr>
            <w:r w:rsidRPr="00203A87">
              <w:rPr>
                <w:rFonts w:ascii="Garamond" w:hAnsi="Garamond"/>
              </w:rPr>
              <w:t>6</w:t>
            </w:r>
          </w:p>
        </w:tc>
      </w:tr>
      <w:tr w:rsidR="001C2011" w:rsidTr="00A50EE6" w14:paraId="1649A3A8" w14:textId="77777777">
        <w:trPr>
          <w:jc w:val="right"/>
        </w:trPr>
        <w:tc>
          <w:tcPr>
            <w:tcW w:w="1558" w:type="dxa"/>
          </w:tcPr>
          <w:p w:rsidRPr="00203A87" w:rsidR="001C2011" w:rsidP="00A50EE6" w:rsidRDefault="001C2011" w14:paraId="6F9CCFF1" w14:textId="77777777">
            <w:pPr>
              <w:jc w:val="center"/>
              <w:rPr>
                <w:rFonts w:ascii="Garamond" w:hAnsi="Garamond"/>
                <w:i/>
                <w:iCs/>
              </w:rPr>
            </w:pPr>
            <w:r>
              <w:rPr>
                <w:rFonts w:ascii="Garamond" w:hAnsi="Garamond"/>
                <w:i/>
                <w:iCs/>
              </w:rPr>
              <w:t xml:space="preserve">    </w:t>
            </w:r>
            <w:r w:rsidRPr="00203A87">
              <w:rPr>
                <w:rFonts w:ascii="Garamond" w:hAnsi="Garamond"/>
                <w:i/>
                <w:iCs/>
              </w:rPr>
              <w:t>No connection</w:t>
            </w:r>
          </w:p>
        </w:tc>
        <w:tc>
          <w:tcPr>
            <w:tcW w:w="1558" w:type="dxa"/>
          </w:tcPr>
          <w:p w:rsidRPr="00203A87" w:rsidR="001C2011" w:rsidP="00A50EE6" w:rsidRDefault="001C2011" w14:paraId="6DE24FED" w14:textId="77777777">
            <w:pPr>
              <w:rPr>
                <w:rFonts w:ascii="Garamond" w:hAnsi="Garamond"/>
                <w:i/>
                <w:iCs/>
              </w:rPr>
            </w:pPr>
          </w:p>
        </w:tc>
        <w:tc>
          <w:tcPr>
            <w:tcW w:w="1558" w:type="dxa"/>
          </w:tcPr>
          <w:p w:rsidRPr="00203A87" w:rsidR="001C2011" w:rsidP="00A50EE6" w:rsidRDefault="001C2011" w14:paraId="1E212F36" w14:textId="77777777">
            <w:pPr>
              <w:rPr>
                <w:rFonts w:ascii="Garamond" w:hAnsi="Garamond"/>
                <w:i/>
                <w:iCs/>
              </w:rPr>
            </w:pPr>
          </w:p>
        </w:tc>
        <w:tc>
          <w:tcPr>
            <w:tcW w:w="1558" w:type="dxa"/>
          </w:tcPr>
          <w:p w:rsidRPr="00203A87" w:rsidR="001C2011" w:rsidP="00A50EE6" w:rsidRDefault="001C2011" w14:paraId="7A1CE4AF" w14:textId="77777777">
            <w:pPr>
              <w:rPr>
                <w:rFonts w:ascii="Garamond" w:hAnsi="Garamond"/>
                <w:i/>
                <w:iCs/>
              </w:rPr>
            </w:pPr>
          </w:p>
        </w:tc>
        <w:tc>
          <w:tcPr>
            <w:tcW w:w="1559" w:type="dxa"/>
          </w:tcPr>
          <w:p w:rsidRPr="00203A87" w:rsidR="001C2011" w:rsidP="00A50EE6" w:rsidRDefault="001C2011" w14:paraId="417E0503" w14:textId="77777777">
            <w:pPr>
              <w:rPr>
                <w:rFonts w:ascii="Garamond" w:hAnsi="Garamond"/>
                <w:i/>
                <w:iCs/>
              </w:rPr>
            </w:pPr>
          </w:p>
        </w:tc>
        <w:tc>
          <w:tcPr>
            <w:tcW w:w="1559" w:type="dxa"/>
          </w:tcPr>
          <w:p w:rsidRPr="00203A87" w:rsidR="001C2011" w:rsidP="00A50EE6" w:rsidRDefault="001C2011" w14:paraId="1A930C40" w14:textId="77777777">
            <w:pPr>
              <w:jc w:val="center"/>
              <w:rPr>
                <w:rFonts w:ascii="Garamond" w:hAnsi="Garamond"/>
                <w:i/>
                <w:iCs/>
              </w:rPr>
            </w:pPr>
            <w:r w:rsidRPr="00203A87">
              <w:rPr>
                <w:rFonts w:ascii="Garamond" w:hAnsi="Garamond"/>
                <w:i/>
                <w:iCs/>
              </w:rPr>
              <w:t>Strong Connection</w:t>
            </w:r>
          </w:p>
        </w:tc>
      </w:tr>
    </w:tbl>
    <w:p w:rsidRPr="005F7309" w:rsidR="00BA7FE9" w:rsidP="001C2011" w:rsidRDefault="00B23CF8" w14:paraId="3901E163" w14:textId="6BF3F4EB">
      <w:pPr>
        <w:spacing w:before="240" w:after="1200"/>
        <w:ind w:left="360"/>
        <w:rPr>
          <w:rFonts w:ascii="Garamond" w:hAnsi="Garamond"/>
          <w:b/>
          <w:bCs/>
          <w:sz w:val="25"/>
          <w:szCs w:val="25"/>
        </w:rPr>
      </w:pPr>
      <w:r w:rsidRPr="00B23CF8">
        <w:rPr>
          <w:rFonts w:ascii="Garamond" w:hAnsi="Garamond"/>
          <w:sz w:val="25"/>
          <w:szCs w:val="25"/>
        </w:rPr>
        <w:t xml:space="preserve">Reasons for the rating: </w:t>
      </w:r>
    </w:p>
    <w:sectPr w:rsidRPr="005F7309" w:rsidR="00BA7FE9" w:rsidSect="00987C93">
      <w:headerReference w:type="default" r:id="rId14"/>
      <w:footerReference w:type="default" r:id="rId15"/>
      <w:headerReference w:type="first" r:id="rId16"/>
      <w:footerReference w:type="first" r:id="rId17"/>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6FB6" w:rsidP="0078549D" w:rsidRDefault="00646FB6" w14:paraId="2B31AA69" w14:textId="77777777">
      <w:pPr>
        <w:spacing w:after="0" w:line="240" w:lineRule="auto"/>
      </w:pPr>
      <w:r>
        <w:separator/>
      </w:r>
    </w:p>
  </w:endnote>
  <w:endnote w:type="continuationSeparator" w:id="0">
    <w:p w:rsidR="00646FB6" w:rsidP="0078549D" w:rsidRDefault="00646FB6" w14:paraId="1BAF21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64542" w:rsidR="00987C93" w:rsidRDefault="00646FB6" w14:paraId="51507E42" w14:textId="4A6C3D45">
    <w:pPr>
      <w:pStyle w:val="Footer"/>
      <w:rPr>
        <w:rFonts w:ascii="Garamond" w:hAnsi="Garamond" w:eastAsia="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Pr="00987C93" w:rsidR="00E64542">
          <w:rPr>
            <w:rStyle w:val="BasiccopyslChar"/>
            <w:sz w:val="22"/>
            <w:szCs w:val="22"/>
          </w:rPr>
          <w:t>© 2020 Street Law, Inc.</w:t>
        </w:r>
        <w:r w:rsidRPr="00987C93" w:rsidR="00E64542">
          <w:rPr>
            <w:rStyle w:val="BasiccopyslChar"/>
            <w:sz w:val="22"/>
            <w:szCs w:val="22"/>
          </w:rPr>
          <w:tab/>
        </w:r>
        <w:r w:rsidRPr="00987C93" w:rsidR="00E64542">
          <w:rPr>
            <w:rStyle w:val="BasiccopyslChar"/>
            <w:sz w:val="22"/>
            <w:szCs w:val="22"/>
          </w:rPr>
          <w:tab/>
        </w:r>
        <w:r w:rsidRPr="00987C93" w:rsidR="00E64542">
          <w:rPr>
            <w:rStyle w:val="BasiccopyslChar"/>
            <w:sz w:val="22"/>
            <w:szCs w:val="22"/>
          </w:rPr>
          <w:t xml:space="preserve"> Last updated: </w:t>
        </w:r>
      </w:sdtContent>
    </w:sdt>
    <w:r w:rsidR="00203A87">
      <w:rPr>
        <w:rStyle w:val="BasiccopyslChar"/>
      </w:rPr>
      <w:t>07/16/2020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6FB6" w:rsidP="0078549D" w:rsidRDefault="00646FB6" w14:paraId="757485D4" w14:textId="77777777">
      <w:pPr>
        <w:spacing w:after="0" w:line="240" w:lineRule="auto"/>
      </w:pPr>
      <w:r>
        <w:separator/>
      </w:r>
    </w:p>
  </w:footnote>
  <w:footnote w:type="continuationSeparator" w:id="0">
    <w:p w:rsidR="00646FB6" w:rsidP="0078549D" w:rsidRDefault="00646FB6" w14:paraId="16EE4EF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CC67AA" w:rsidP="00CC67AA" w:rsidRDefault="00CC67AA" w14:paraId="4A5E074F" w14:textId="791B6980">
    <w:pPr>
      <w:pStyle w:val="Basiccopysl"/>
      <w:rPr>
        <w:sz w:val="22"/>
        <w:szCs w:val="22"/>
      </w:rPr>
    </w:pPr>
    <w:r w:rsidRPr="00987C93">
      <w:rPr>
        <w:sz w:val="22"/>
        <w:szCs w:val="22"/>
      </w:rPr>
      <w:t>LandmarkCases.org</w:t>
    </w:r>
    <w:r w:rsidRPr="00987C93">
      <w:rPr>
        <w:sz w:val="22"/>
        <w:szCs w:val="22"/>
      </w:rPr>
      <w:tab/>
    </w:r>
    <w:r>
      <w:rPr>
        <w:sz w:val="22"/>
        <w:szCs w:val="22"/>
      </w:rPr>
      <w:t xml:space="preserve">        </w:t>
    </w:r>
    <w:r>
      <w:rPr>
        <w:sz w:val="22"/>
        <w:szCs w:val="22"/>
      </w:rPr>
      <w:t xml:space="preserve"> </w:t>
    </w:r>
    <w:r>
      <w:rPr>
        <w:i/>
        <w:iCs/>
        <w:sz w:val="22"/>
        <w:szCs w:val="22"/>
      </w:rPr>
      <w:t xml:space="preserve">Gibbons v. Ogden </w:t>
    </w:r>
    <w:r w:rsidRPr="00203A87">
      <w:rPr>
        <w:sz w:val="22"/>
        <w:szCs w:val="22"/>
      </w:rPr>
      <w:t xml:space="preserve">/ What Does </w:t>
    </w:r>
    <w:r>
      <w:rPr>
        <w:sz w:val="22"/>
        <w:szCs w:val="22"/>
      </w:rPr>
      <w:t>t</w:t>
    </w:r>
    <w:r w:rsidRPr="00203A87">
      <w:rPr>
        <w:sz w:val="22"/>
        <w:szCs w:val="22"/>
      </w:rPr>
      <w:t xml:space="preserve">hat Law Have to </w:t>
    </w:r>
    <w:r>
      <w:rPr>
        <w:sz w:val="22"/>
        <w:szCs w:val="22"/>
      </w:rPr>
      <w:t>d</w:t>
    </w:r>
    <w:r w:rsidRPr="00203A87">
      <w:rPr>
        <w:sz w:val="22"/>
        <w:szCs w:val="22"/>
      </w:rPr>
      <w:t>o with Interstate Commerce?</w:t>
    </w:r>
    <w:r>
      <w:rPr>
        <w:i/>
        <w:iCs/>
        <w:sz w:val="22"/>
        <w:szCs w:val="22"/>
      </w:rPr>
      <w:t xml:space="preserve"> </w:t>
    </w:r>
  </w:p>
  <w:p w:rsidRPr="00CC67AA" w:rsidR="00F64E56" w:rsidP="00CC67AA" w:rsidRDefault="00F64E56" w14:paraId="4D2C6AC8" w14:textId="4D4E2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87C93" w:rsidP="00987C93" w:rsidRDefault="00987C93" w14:paraId="08E4C6F0" w14:textId="60C9BC57">
    <w:pPr>
      <w:pStyle w:val="Basiccopysl"/>
      <w:rPr>
        <w:sz w:val="22"/>
        <w:szCs w:val="22"/>
      </w:rPr>
    </w:pPr>
    <w:r w:rsidRPr="00987C93">
      <w:rPr>
        <w:sz w:val="22"/>
        <w:szCs w:val="22"/>
      </w:rPr>
      <w:t>LandmarkCases.org</w:t>
    </w:r>
    <w:r w:rsidRPr="00987C93">
      <w:rPr>
        <w:sz w:val="22"/>
        <w:szCs w:val="22"/>
      </w:rPr>
      <w:tab/>
    </w:r>
    <w:r w:rsidR="00203A87">
      <w:rPr>
        <w:sz w:val="22"/>
        <w:szCs w:val="22"/>
      </w:rPr>
      <w:t xml:space="preserve">        </w:t>
    </w:r>
    <w:r w:rsidR="00CC67AA">
      <w:rPr>
        <w:sz w:val="22"/>
        <w:szCs w:val="22"/>
      </w:rPr>
      <w:t xml:space="preserve"> </w:t>
    </w:r>
    <w:r w:rsidR="0080611C">
      <w:rPr>
        <w:i/>
        <w:iCs/>
        <w:sz w:val="22"/>
        <w:szCs w:val="22"/>
      </w:rPr>
      <w:t>Gibbons v. Ogden</w:t>
    </w:r>
    <w:r w:rsidR="00203A87">
      <w:rPr>
        <w:i/>
        <w:iCs/>
        <w:sz w:val="22"/>
        <w:szCs w:val="22"/>
      </w:rPr>
      <w:t xml:space="preserve"> </w:t>
    </w:r>
    <w:r w:rsidRPr="00203A87" w:rsidR="00203A87">
      <w:rPr>
        <w:sz w:val="22"/>
        <w:szCs w:val="22"/>
      </w:rPr>
      <w:t xml:space="preserve">/ What Does </w:t>
    </w:r>
    <w:r w:rsidR="00203A87">
      <w:rPr>
        <w:sz w:val="22"/>
        <w:szCs w:val="22"/>
      </w:rPr>
      <w:t>t</w:t>
    </w:r>
    <w:r w:rsidRPr="00203A87" w:rsidR="00203A87">
      <w:rPr>
        <w:sz w:val="22"/>
        <w:szCs w:val="22"/>
      </w:rPr>
      <w:t xml:space="preserve">hat Law Have to </w:t>
    </w:r>
    <w:r w:rsidR="00203A87">
      <w:rPr>
        <w:sz w:val="22"/>
        <w:szCs w:val="22"/>
      </w:rPr>
      <w:t>d</w:t>
    </w:r>
    <w:r w:rsidRPr="00203A87" w:rsidR="00203A87">
      <w:rPr>
        <w:sz w:val="22"/>
        <w:szCs w:val="22"/>
      </w:rPr>
      <w:t>o with Interstate Commerce?</w:t>
    </w:r>
    <w:r>
      <w:rPr>
        <w:i/>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9A00CD"/>
    <w:multiLevelType w:val="hybridMultilevel"/>
    <w:tmpl w:val="61989D20"/>
    <w:lvl w:ilvl="0" w:tplc="8362BEBC">
      <w:start w:val="1"/>
      <w:numFmt w:val="decimal"/>
      <w:pStyle w:val="Numberedlists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DB5905"/>
    <w:multiLevelType w:val="hybridMultilevel"/>
    <w:tmpl w:val="DB8C4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056B7"/>
    <w:multiLevelType w:val="hybridMultilevel"/>
    <w:tmpl w:val="D37021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C1A52"/>
    <w:multiLevelType w:val="hybridMultilevel"/>
    <w:tmpl w:val="DA2A4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42C7332"/>
    <w:multiLevelType w:val="hybridMultilevel"/>
    <w:tmpl w:val="6F1624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5223CA2"/>
    <w:multiLevelType w:val="multilevel"/>
    <w:tmpl w:val="88E2CE84"/>
    <w:lvl w:ilvl="0">
      <w:start w:val="1"/>
      <w:numFmt w:val="bullet"/>
      <w:lvlText w:val=""/>
      <w:lvlJc w:val="left"/>
      <w:pPr>
        <w:ind w:left="720" w:hanging="360"/>
      </w:pPr>
      <w:rPr>
        <w:rFonts w:hint="default" w:ascii="Symbol" w:hAnsi="Symbo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EE36BD"/>
    <w:multiLevelType w:val="multilevel"/>
    <w:tmpl w:val="224E52F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17906DC"/>
    <w:multiLevelType w:val="multilevel"/>
    <w:tmpl w:val="224E52F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1F809DC"/>
    <w:multiLevelType w:val="multilevel"/>
    <w:tmpl w:val="C9C2B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7"/>
  </w:num>
  <w:num w:numId="2">
    <w:abstractNumId w:val="1"/>
  </w:num>
  <w:num w:numId="3">
    <w:abstractNumId w:val="0"/>
  </w:num>
  <w:num w:numId="4">
    <w:abstractNumId w:val="3"/>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2"/>
  </w:num>
  <w:num w:numId="12">
    <w:abstractNumId w:val="9"/>
  </w:num>
  <w:num w:numId="13">
    <w:abstractNumId w:val="12"/>
  </w:num>
  <w:num w:numId="14">
    <w:abstractNumId w:val="11"/>
  </w:num>
  <w:num w:numId="15">
    <w:abstractNumId w:val="1"/>
  </w:num>
  <w:num w:numId="16">
    <w:abstractNumId w:val="13"/>
  </w:num>
  <w:num w:numId="17">
    <w:abstractNumId w:val="1"/>
  </w:num>
  <w:num w:numId="18">
    <w:abstractNumId w:val="1"/>
  </w:num>
  <w:num w:numId="19">
    <w:abstractNumId w:val="6"/>
  </w:num>
  <w:num w:numId="20">
    <w:abstractNumId w:val="14"/>
  </w:num>
  <w:num w:numId="21">
    <w:abstractNumId w:val="10"/>
  </w:num>
  <w:num w:numId="22">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val="bestFit" w:percent="16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713E9"/>
    <w:rsid w:val="000B66CF"/>
    <w:rsid w:val="000C2D71"/>
    <w:rsid w:val="000E239D"/>
    <w:rsid w:val="001056C3"/>
    <w:rsid w:val="0016761D"/>
    <w:rsid w:val="00170B98"/>
    <w:rsid w:val="001878F3"/>
    <w:rsid w:val="001C11F7"/>
    <w:rsid w:val="001C2011"/>
    <w:rsid w:val="001C650E"/>
    <w:rsid w:val="001D2C41"/>
    <w:rsid w:val="001E5A58"/>
    <w:rsid w:val="001F78D7"/>
    <w:rsid w:val="00203A87"/>
    <w:rsid w:val="0021030F"/>
    <w:rsid w:val="00240726"/>
    <w:rsid w:val="0025076D"/>
    <w:rsid w:val="00290061"/>
    <w:rsid w:val="002953A0"/>
    <w:rsid w:val="002B4D38"/>
    <w:rsid w:val="002C68A3"/>
    <w:rsid w:val="002D0A43"/>
    <w:rsid w:val="002D0BCE"/>
    <w:rsid w:val="002D2203"/>
    <w:rsid w:val="002E65F3"/>
    <w:rsid w:val="0031095D"/>
    <w:rsid w:val="00317735"/>
    <w:rsid w:val="00340962"/>
    <w:rsid w:val="00353D4D"/>
    <w:rsid w:val="00370B44"/>
    <w:rsid w:val="00375090"/>
    <w:rsid w:val="00396AEB"/>
    <w:rsid w:val="003A0680"/>
    <w:rsid w:val="003B2FE2"/>
    <w:rsid w:val="003C6F20"/>
    <w:rsid w:val="00400A63"/>
    <w:rsid w:val="00434CBA"/>
    <w:rsid w:val="00463036"/>
    <w:rsid w:val="004632BE"/>
    <w:rsid w:val="00486AC1"/>
    <w:rsid w:val="004B560A"/>
    <w:rsid w:val="004B73F9"/>
    <w:rsid w:val="004D7E3E"/>
    <w:rsid w:val="004E7457"/>
    <w:rsid w:val="004F77FB"/>
    <w:rsid w:val="005311FB"/>
    <w:rsid w:val="00563539"/>
    <w:rsid w:val="00594AC5"/>
    <w:rsid w:val="005A0330"/>
    <w:rsid w:val="005C0632"/>
    <w:rsid w:val="005F7309"/>
    <w:rsid w:val="006018B7"/>
    <w:rsid w:val="006135E5"/>
    <w:rsid w:val="00646FB6"/>
    <w:rsid w:val="006C3E71"/>
    <w:rsid w:val="006E09C9"/>
    <w:rsid w:val="006E3717"/>
    <w:rsid w:val="007767B2"/>
    <w:rsid w:val="0078549D"/>
    <w:rsid w:val="007F700D"/>
    <w:rsid w:val="0080611C"/>
    <w:rsid w:val="00815CB0"/>
    <w:rsid w:val="0081706F"/>
    <w:rsid w:val="00876739"/>
    <w:rsid w:val="008971BA"/>
    <w:rsid w:val="008C5160"/>
    <w:rsid w:val="008D77F8"/>
    <w:rsid w:val="009621F8"/>
    <w:rsid w:val="00987C93"/>
    <w:rsid w:val="0099142B"/>
    <w:rsid w:val="009B1DB3"/>
    <w:rsid w:val="009D6B03"/>
    <w:rsid w:val="00A13665"/>
    <w:rsid w:val="00A740A5"/>
    <w:rsid w:val="00AB53C2"/>
    <w:rsid w:val="00AE0C77"/>
    <w:rsid w:val="00B23CF8"/>
    <w:rsid w:val="00B535F7"/>
    <w:rsid w:val="00B62487"/>
    <w:rsid w:val="00BA7FE9"/>
    <w:rsid w:val="00BE0B47"/>
    <w:rsid w:val="00C00855"/>
    <w:rsid w:val="00C15DAC"/>
    <w:rsid w:val="00C40C90"/>
    <w:rsid w:val="00CC67AA"/>
    <w:rsid w:val="00DD4454"/>
    <w:rsid w:val="00DE3D18"/>
    <w:rsid w:val="00E3555A"/>
    <w:rsid w:val="00E55CB5"/>
    <w:rsid w:val="00E64542"/>
    <w:rsid w:val="00EB20C0"/>
    <w:rsid w:val="00EC04B0"/>
    <w:rsid w:val="00EF7C97"/>
    <w:rsid w:val="00F64E56"/>
    <w:rsid w:val="00F87E7B"/>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86AC1"/>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563539"/>
    <w:pPr>
      <w:spacing w:after="160" w:line="256" w:lineRule="auto"/>
      <w:ind w:left="720"/>
      <w:contextualSpacing/>
    </w:pPr>
  </w:style>
  <w:style w:type="table" w:styleId="TableGrid" w:customStyle="1">
    <w:name w:val="Table Grid"/>
    <w:rsid w:val="001E5A58"/>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971BA"/>
    <w:rPr>
      <w:color w:val="605E5C"/>
      <w:shd w:val="clear" w:color="auto" w:fill="E1DFDD"/>
    </w:rPr>
  </w:style>
  <w:style w:type="character" w:styleId="Heading3Char" w:customStyle="1">
    <w:name w:val="Heading 3 Char"/>
    <w:basedOn w:val="DefaultParagraphFont"/>
    <w:link w:val="Heading3"/>
    <w:uiPriority w:val="9"/>
    <w:semiHidden/>
    <w:rsid w:val="00486AC1"/>
    <w:rPr>
      <w:rFonts w:asciiTheme="majorHAnsi" w:hAnsiTheme="majorHAnsi" w:eastAsiaTheme="majorEastAsia" w:cstheme="majorBidi"/>
      <w:color w:val="243F60" w:themeColor="accent1" w:themeShade="7F"/>
      <w:sz w:val="24"/>
      <w:szCs w:val="24"/>
    </w:rPr>
  </w:style>
  <w:style w:type="paragraph" w:styleId="NormalWeb">
    <w:name w:val="Normal (Web)"/>
    <w:basedOn w:val="Normal"/>
    <w:uiPriority w:val="99"/>
    <w:semiHidden/>
    <w:unhideWhenUsed/>
    <w:rsid w:val="00486AC1"/>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486AC1"/>
    <w:rPr>
      <w:i/>
      <w:iCs/>
    </w:rPr>
  </w:style>
  <w:style w:type="table" w:styleId="TableGrid0">
    <w:name w:val="Table Grid0"/>
    <w:basedOn w:val="TableNormal"/>
    <w:uiPriority w:val="59"/>
    <w:rsid w:val="00203A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108294">
      <w:bodyDiv w:val="1"/>
      <w:marLeft w:val="0"/>
      <w:marRight w:val="0"/>
      <w:marTop w:val="0"/>
      <w:marBottom w:val="0"/>
      <w:divBdr>
        <w:top w:val="none" w:sz="0" w:space="0" w:color="auto"/>
        <w:left w:val="none" w:sz="0" w:space="0" w:color="auto"/>
        <w:bottom w:val="none" w:sz="0" w:space="0" w:color="auto"/>
        <w:right w:val="none" w:sz="0" w:space="0" w:color="auto"/>
      </w:divBdr>
    </w:div>
    <w:div w:id="548760243">
      <w:bodyDiv w:val="1"/>
      <w:marLeft w:val="0"/>
      <w:marRight w:val="0"/>
      <w:marTop w:val="0"/>
      <w:marBottom w:val="0"/>
      <w:divBdr>
        <w:top w:val="none" w:sz="0" w:space="0" w:color="auto"/>
        <w:left w:val="none" w:sz="0" w:space="0" w:color="auto"/>
        <w:bottom w:val="none" w:sz="0" w:space="0" w:color="auto"/>
        <w:right w:val="none" w:sz="0" w:space="0" w:color="auto"/>
      </w:divBdr>
    </w:div>
    <w:div w:id="633753071">
      <w:bodyDiv w:val="1"/>
      <w:marLeft w:val="0"/>
      <w:marRight w:val="0"/>
      <w:marTop w:val="0"/>
      <w:marBottom w:val="0"/>
      <w:divBdr>
        <w:top w:val="none" w:sz="0" w:space="0" w:color="auto"/>
        <w:left w:val="none" w:sz="0" w:space="0" w:color="auto"/>
        <w:bottom w:val="none" w:sz="0" w:space="0" w:color="auto"/>
        <w:right w:val="none" w:sz="0" w:space="0" w:color="auto"/>
      </w:divBdr>
    </w:div>
    <w:div w:id="677578180">
      <w:bodyDiv w:val="1"/>
      <w:marLeft w:val="0"/>
      <w:marRight w:val="0"/>
      <w:marTop w:val="0"/>
      <w:marBottom w:val="0"/>
      <w:divBdr>
        <w:top w:val="none" w:sz="0" w:space="0" w:color="auto"/>
        <w:left w:val="none" w:sz="0" w:space="0" w:color="auto"/>
        <w:bottom w:val="none" w:sz="0" w:space="0" w:color="auto"/>
        <w:right w:val="none" w:sz="0" w:space="0" w:color="auto"/>
      </w:divBdr>
    </w:div>
    <w:div w:id="954868565">
      <w:bodyDiv w:val="1"/>
      <w:marLeft w:val="0"/>
      <w:marRight w:val="0"/>
      <w:marTop w:val="0"/>
      <w:marBottom w:val="0"/>
      <w:divBdr>
        <w:top w:val="none" w:sz="0" w:space="0" w:color="auto"/>
        <w:left w:val="none" w:sz="0" w:space="0" w:color="auto"/>
        <w:bottom w:val="none" w:sz="0" w:space="0" w:color="auto"/>
        <w:right w:val="none" w:sz="0" w:space="0" w:color="auto"/>
      </w:divBdr>
    </w:div>
    <w:div w:id="1499079519">
      <w:bodyDiv w:val="1"/>
      <w:marLeft w:val="0"/>
      <w:marRight w:val="0"/>
      <w:marTop w:val="0"/>
      <w:marBottom w:val="0"/>
      <w:divBdr>
        <w:top w:val="none" w:sz="0" w:space="0" w:color="auto"/>
        <w:left w:val="none" w:sz="0" w:space="0" w:color="auto"/>
        <w:bottom w:val="none" w:sz="0" w:space="0" w:color="auto"/>
        <w:right w:val="none" w:sz="0" w:space="0" w:color="auto"/>
      </w:divBdr>
    </w:div>
    <w:div w:id="1844515858">
      <w:bodyDiv w:val="1"/>
      <w:marLeft w:val="0"/>
      <w:marRight w:val="0"/>
      <w:marTop w:val="0"/>
      <w:marBottom w:val="0"/>
      <w:divBdr>
        <w:top w:val="none" w:sz="0" w:space="0" w:color="auto"/>
        <w:left w:val="none" w:sz="0" w:space="0" w:color="auto"/>
        <w:bottom w:val="none" w:sz="0" w:space="0" w:color="auto"/>
        <w:right w:val="none" w:sz="0" w:space="0" w:color="auto"/>
      </w:divBdr>
    </w:div>
    <w:div w:id="2068339630">
      <w:bodyDiv w:val="1"/>
      <w:marLeft w:val="0"/>
      <w:marRight w:val="0"/>
      <w:marTop w:val="0"/>
      <w:marBottom w:val="0"/>
      <w:divBdr>
        <w:top w:val="none" w:sz="0" w:space="0" w:color="auto"/>
        <w:left w:val="none" w:sz="0" w:space="0" w:color="auto"/>
        <w:bottom w:val="none" w:sz="0" w:space="0" w:color="auto"/>
        <w:right w:val="none" w:sz="0" w:space="0" w:color="auto"/>
      </w:divBdr>
    </w:div>
    <w:div w:id="2088383498">
      <w:bodyDiv w:val="1"/>
      <w:marLeft w:val="0"/>
      <w:marRight w:val="0"/>
      <w:marTop w:val="0"/>
      <w:marBottom w:val="0"/>
      <w:divBdr>
        <w:top w:val="none" w:sz="0" w:space="0" w:color="auto"/>
        <w:left w:val="none" w:sz="0" w:space="0" w:color="auto"/>
        <w:bottom w:val="none" w:sz="0" w:space="0" w:color="auto"/>
        <w:right w:val="none" w:sz="0" w:space="0" w:color="auto"/>
      </w:divBdr>
    </w:div>
    <w:div w:id="21325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homas.loc.gov/"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c6bba8edb38d4833" Type="http://schemas.openxmlformats.org/officeDocument/2006/relationships/glossaryDocument" Target="/word/glossary/document.xml"/><Relationship Id="rId4"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77a53c6-7059-40fe-838d-0b3510189093}"/>
      </w:docPartPr>
      <w:docPartBody>
        <w:p w14:paraId="52D2B59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5A324C46-4D7D-4076-B005-D104D3CA43F6}"/>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A8F1D6DC-CFBB-4A2D-A5E1-7D20B8C41E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Allison Hawkins</cp:lastModifiedBy>
  <cp:revision>4</cp:revision>
  <dcterms:created xsi:type="dcterms:W3CDTF">2020-07-16T16:29:00Z</dcterms:created>
  <dcterms:modified xsi:type="dcterms:W3CDTF">2020-09-22T18:28:09Z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