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2B914EC0" w:rsidR="005311FB" w:rsidRDefault="00876739" w:rsidP="00F64E56">
      <w:pPr>
        <w:pStyle w:val="Title1sl"/>
        <w:pBdr>
          <w:bottom w:val="single" w:sz="12" w:space="1" w:color="auto"/>
        </w:pBdr>
      </w:pPr>
      <w:r>
        <w:rPr>
          <w:i/>
          <w:iCs/>
        </w:rPr>
        <w:t>Gibbons v. Ogden</w:t>
      </w:r>
      <w:r w:rsidR="00F64E56">
        <w:t xml:space="preserve"> / </w:t>
      </w:r>
      <w:r w:rsidR="001E5A58">
        <w:t>The Commerce Clause and Federal Power</w:t>
      </w:r>
      <w:r>
        <w:t xml:space="preserve"> </w:t>
      </w:r>
    </w:p>
    <w:p w14:paraId="0BB84B56" w14:textId="394776ED" w:rsidR="001E5A58" w:rsidRPr="00AB53C2" w:rsidRDefault="00BE2683" w:rsidP="00EC04B0">
      <w:pPr>
        <w:rPr>
          <w:rFonts w:ascii="Garamond" w:hAnsi="Garamond"/>
          <w:sz w:val="25"/>
          <w:szCs w:val="25"/>
        </w:rPr>
      </w:pPr>
      <w:r>
        <w:rPr>
          <w:rFonts w:ascii="Garamond" w:hAnsi="Garamond"/>
          <w:color w:val="000000"/>
          <w:sz w:val="25"/>
          <w:szCs w:val="25"/>
        </w:rPr>
        <w:t>Among the enumerated powers granted to Congress in Article I of the U.S. Constitution is the power to regulate interstate commerce. Article I, Section 8, Clause 3 is known as the Commerce Clause. Over time, legislators, lawyers, politicians, and businesspeople have argued over just what the commerce power means. For instance, it may be clear that the commerce power would give Congress the ability to make laws regarding transportation networks, such as train lines and highways, that cross state lines. However, would the commerce power give Congress the ability to establish regulations on the </w:t>
      </w:r>
      <w:r>
        <w:rPr>
          <w:rStyle w:val="Emphasis"/>
          <w:rFonts w:ascii="Garamond" w:hAnsi="Garamond"/>
          <w:color w:val="000000"/>
          <w:sz w:val="25"/>
          <w:szCs w:val="25"/>
        </w:rPr>
        <w:t>production</w:t>
      </w:r>
      <w:r>
        <w:rPr>
          <w:rFonts w:ascii="Garamond" w:hAnsi="Garamond"/>
          <w:color w:val="000000"/>
          <w:sz w:val="25"/>
          <w:szCs w:val="25"/>
        </w:rPr>
        <w:t xml:space="preserve"> of goods and services that may </w:t>
      </w:r>
      <w:r>
        <w:rPr>
          <w:rStyle w:val="Emphasis"/>
          <w:rFonts w:ascii="Garamond" w:hAnsi="Garamond"/>
          <w:color w:val="000000"/>
          <w:sz w:val="25"/>
          <w:szCs w:val="25"/>
        </w:rPr>
        <w:t>eventuall</w:t>
      </w:r>
      <w:r>
        <w:rPr>
          <w:rFonts w:ascii="Garamond" w:hAnsi="Garamond"/>
          <w:color w:val="000000"/>
          <w:sz w:val="25"/>
          <w:szCs w:val="25"/>
        </w:rPr>
        <w:t>y cross state lines? These and other questions regarding the commerce power have been answered by numerous cases heard by the Supreme Court of the United States (see activity titled “How Interpretation of the Commerce Power Has Changed Over Time”).</w:t>
      </w:r>
      <w:r>
        <w:rPr>
          <w:rFonts w:ascii="Garamond" w:hAnsi="Garamond"/>
          <w:color w:val="000000"/>
          <w:sz w:val="25"/>
          <w:szCs w:val="25"/>
        </w:rPr>
        <w:t xml:space="preserve"> </w:t>
      </w:r>
      <w:r w:rsidR="00E55CB5">
        <w:rPr>
          <w:rFonts w:ascii="Garamond" w:hAnsi="Garamond"/>
          <w:sz w:val="25"/>
          <w:szCs w:val="25"/>
        </w:rPr>
        <w:t>Often</w:t>
      </w:r>
      <w:r w:rsidR="002D0BCE">
        <w:rPr>
          <w:rFonts w:ascii="Garamond" w:hAnsi="Garamond"/>
          <w:sz w:val="25"/>
          <w:szCs w:val="25"/>
        </w:rPr>
        <w:t xml:space="preserve"> </w:t>
      </w:r>
      <w:r w:rsidR="001E5A58" w:rsidRPr="00AB53C2">
        <w:rPr>
          <w:rFonts w:ascii="Garamond" w:hAnsi="Garamond"/>
          <w:sz w:val="25"/>
          <w:szCs w:val="25"/>
        </w:rPr>
        <w:t xml:space="preserve">Congress and the Supreme Court of the United States have viewed the commerce power rather </w:t>
      </w:r>
      <w:r w:rsidR="00E55CB5">
        <w:rPr>
          <w:rFonts w:ascii="Garamond" w:hAnsi="Garamond"/>
          <w:sz w:val="25"/>
          <w:szCs w:val="25"/>
        </w:rPr>
        <w:t>widely</w:t>
      </w:r>
      <w:r w:rsidR="0031095D">
        <w:rPr>
          <w:rFonts w:ascii="Garamond" w:hAnsi="Garamond"/>
          <w:sz w:val="25"/>
          <w:szCs w:val="25"/>
        </w:rPr>
        <w:t xml:space="preserve"> and have</w:t>
      </w:r>
      <w:r w:rsidR="001E5A58" w:rsidRPr="00AB53C2">
        <w:rPr>
          <w:rFonts w:ascii="Garamond" w:hAnsi="Garamond"/>
          <w:sz w:val="25"/>
          <w:szCs w:val="25"/>
        </w:rPr>
        <w:t xml:space="preserve"> expan</w:t>
      </w:r>
      <w:r w:rsidR="0031095D">
        <w:rPr>
          <w:rFonts w:ascii="Garamond" w:hAnsi="Garamond"/>
          <w:sz w:val="25"/>
          <w:szCs w:val="25"/>
        </w:rPr>
        <w:t xml:space="preserve">ded </w:t>
      </w:r>
      <w:r w:rsidR="001E5A58" w:rsidRPr="00AB53C2">
        <w:rPr>
          <w:rFonts w:ascii="Garamond" w:hAnsi="Garamond"/>
          <w:sz w:val="25"/>
          <w:szCs w:val="25"/>
        </w:rPr>
        <w:t>the federal government</w:t>
      </w:r>
      <w:r w:rsidR="00AB53C2">
        <w:rPr>
          <w:rFonts w:ascii="Garamond" w:hAnsi="Garamond"/>
          <w:sz w:val="25"/>
          <w:szCs w:val="25"/>
        </w:rPr>
        <w:t>’</w:t>
      </w:r>
      <w:r w:rsidR="001E5A58" w:rsidRPr="00AB53C2">
        <w:rPr>
          <w:rFonts w:ascii="Garamond" w:hAnsi="Garamond"/>
          <w:sz w:val="25"/>
          <w:szCs w:val="25"/>
        </w:rPr>
        <w:t>s power.</w:t>
      </w:r>
      <w:r w:rsidR="0031095D">
        <w:rPr>
          <w:rFonts w:ascii="Garamond" w:hAnsi="Garamond"/>
          <w:sz w:val="25"/>
          <w:szCs w:val="25"/>
        </w:rPr>
        <w:t xml:space="preserve"> It can be argued that the Commerce Clause has expanded the power of the federal government more than any other power set out in the Constitution. </w:t>
      </w:r>
    </w:p>
    <w:p w14:paraId="365C98C7" w14:textId="2A9B5377" w:rsidR="001E5A58" w:rsidRDefault="001E5A58" w:rsidP="00BE2683">
      <w:pPr>
        <w:spacing w:after="110" w:line="259" w:lineRule="auto"/>
        <w:rPr>
          <w:rFonts w:ascii="Garamond" w:hAnsi="Garamond"/>
          <w:sz w:val="25"/>
          <w:szCs w:val="25"/>
        </w:rPr>
      </w:pPr>
      <w:r w:rsidRPr="00AB53C2">
        <w:rPr>
          <w:rFonts w:ascii="Garamond" w:eastAsia="Arial" w:hAnsi="Garamond" w:cs="Arial"/>
          <w:b/>
          <w:sz w:val="25"/>
          <w:szCs w:val="25"/>
        </w:rPr>
        <w:t>Directions</w:t>
      </w:r>
      <w:r w:rsidR="00BE2683">
        <w:rPr>
          <w:rFonts w:ascii="Garamond" w:eastAsia="Arial" w:hAnsi="Garamond" w:cs="Arial"/>
          <w:b/>
          <w:sz w:val="25"/>
          <w:szCs w:val="25"/>
        </w:rPr>
        <w:t xml:space="preserve">: </w:t>
      </w:r>
      <w:r w:rsidRPr="00AB53C2">
        <w:rPr>
          <w:rFonts w:ascii="Garamond" w:hAnsi="Garamond"/>
          <w:sz w:val="25"/>
          <w:szCs w:val="25"/>
        </w:rPr>
        <w:t>Below are five Supreme Court cases dealing with the issue of the Commerce Clause and an attempt by Congress to expand the power of the federal government. In some of the cases</w:t>
      </w:r>
      <w:r w:rsidR="00BE2683">
        <w:rPr>
          <w:rFonts w:ascii="Garamond" w:hAnsi="Garamond"/>
          <w:sz w:val="25"/>
          <w:szCs w:val="25"/>
        </w:rPr>
        <w:t>,</w:t>
      </w:r>
      <w:r w:rsidRPr="00AB53C2">
        <w:rPr>
          <w:rFonts w:ascii="Garamond" w:hAnsi="Garamond"/>
          <w:sz w:val="25"/>
          <w:szCs w:val="25"/>
        </w:rPr>
        <w:t xml:space="preserve"> the </w:t>
      </w:r>
      <w:r w:rsidR="00BE2683">
        <w:rPr>
          <w:rFonts w:ascii="Garamond" w:hAnsi="Garamond"/>
          <w:sz w:val="25"/>
          <w:szCs w:val="25"/>
        </w:rPr>
        <w:t>C</w:t>
      </w:r>
      <w:r w:rsidRPr="00AB53C2">
        <w:rPr>
          <w:rFonts w:ascii="Garamond" w:hAnsi="Garamond"/>
          <w:sz w:val="25"/>
          <w:szCs w:val="25"/>
        </w:rPr>
        <w:t xml:space="preserve">ourt agreed with </w:t>
      </w:r>
      <w:r w:rsidR="00E55CB5">
        <w:rPr>
          <w:rFonts w:ascii="Garamond" w:hAnsi="Garamond"/>
          <w:sz w:val="25"/>
          <w:szCs w:val="25"/>
        </w:rPr>
        <w:t>C</w:t>
      </w:r>
      <w:r w:rsidRPr="00AB53C2">
        <w:rPr>
          <w:rFonts w:ascii="Garamond" w:hAnsi="Garamond"/>
          <w:sz w:val="25"/>
          <w:szCs w:val="25"/>
        </w:rPr>
        <w:t>ongress</w:t>
      </w:r>
      <w:r w:rsidR="00E55CB5">
        <w:rPr>
          <w:rFonts w:ascii="Garamond" w:hAnsi="Garamond"/>
          <w:sz w:val="25"/>
          <w:szCs w:val="25"/>
        </w:rPr>
        <w:t>’</w:t>
      </w:r>
      <w:r w:rsidRPr="00AB53C2">
        <w:rPr>
          <w:rFonts w:ascii="Garamond" w:hAnsi="Garamond"/>
          <w:sz w:val="25"/>
          <w:szCs w:val="25"/>
        </w:rPr>
        <w:t xml:space="preserve"> legislation. In other cases, it ruled against Congress.  After reading the short statement, the Oyez summary link</w:t>
      </w:r>
      <w:r w:rsidR="00BE2683">
        <w:rPr>
          <w:rFonts w:ascii="Garamond" w:hAnsi="Garamond"/>
          <w:sz w:val="25"/>
          <w:szCs w:val="25"/>
        </w:rPr>
        <w:t>,</w:t>
      </w:r>
      <w:r w:rsidRPr="00AB53C2">
        <w:rPr>
          <w:rFonts w:ascii="Garamond" w:hAnsi="Garamond"/>
          <w:sz w:val="25"/>
          <w:szCs w:val="25"/>
        </w:rPr>
        <w:t xml:space="preserve"> and watching the video clip for each case, explain why the court ruled the way it did.  </w:t>
      </w:r>
    </w:p>
    <w:p w14:paraId="23DDB374" w14:textId="649F9CE4" w:rsidR="00BE2683" w:rsidRDefault="00BE2683" w:rsidP="00BE2683">
      <w:pPr>
        <w:spacing w:after="110" w:line="259" w:lineRule="auto"/>
        <w:rPr>
          <w:rFonts w:ascii="Garamond" w:hAnsi="Garamond"/>
          <w:sz w:val="25"/>
          <w:szCs w:val="25"/>
        </w:rPr>
      </w:pPr>
      <w:r>
        <w:rPr>
          <w:rFonts w:ascii="Garamond" w:hAnsi="Garamond"/>
          <w:sz w:val="25"/>
          <w:szCs w:val="25"/>
        </w:rPr>
        <w:pict w14:anchorId="2E8CA4EB">
          <v:rect id="_x0000_i1025" style="width:0;height:1.5pt" o:hralign="center" o:hrstd="t" o:hr="t" fillcolor="#a0a0a0" stroked="f"/>
        </w:pict>
      </w:r>
    </w:p>
    <w:p w14:paraId="17474585" w14:textId="77777777" w:rsidR="00BE2683" w:rsidRPr="00BE2683" w:rsidRDefault="00BE2683" w:rsidP="00BE2683">
      <w:pPr>
        <w:pStyle w:val="Basiccopysl"/>
        <w:numPr>
          <w:ilvl w:val="0"/>
          <w:numId w:val="19"/>
        </w:numPr>
        <w:ind w:left="360"/>
        <w:rPr>
          <w:b/>
          <w:bCs/>
        </w:rPr>
      </w:pPr>
      <w:r w:rsidRPr="00BE2683">
        <w:rPr>
          <w:b/>
          <w:bCs/>
          <w:i/>
          <w:iCs/>
        </w:rPr>
        <w:t>United States v. EC Knight</w:t>
      </w:r>
      <w:r w:rsidRPr="00BE2683">
        <w:rPr>
          <w:b/>
          <w:bCs/>
        </w:rPr>
        <w:t xml:space="preserve"> (1895)</w:t>
      </w:r>
    </w:p>
    <w:p w14:paraId="2F365762" w14:textId="794051E2" w:rsidR="00BE2683" w:rsidRPr="00434CBA" w:rsidRDefault="00BE2683" w:rsidP="00BE2683">
      <w:pPr>
        <w:spacing w:after="120"/>
        <w:ind w:left="360"/>
        <w:rPr>
          <w:rFonts w:ascii="Garamond" w:hAnsi="Garamond"/>
          <w:sz w:val="25"/>
          <w:szCs w:val="25"/>
        </w:rPr>
      </w:pPr>
      <w:r w:rsidRPr="00434CBA">
        <w:rPr>
          <w:rFonts w:ascii="Garamond" w:hAnsi="Garamond"/>
          <w:sz w:val="25"/>
          <w:szCs w:val="25"/>
        </w:rPr>
        <w:t>The Supreme Court ruled that Congress could not regulate the local sale of sugar under the Sherman Anti</w:t>
      </w:r>
      <w:r w:rsidR="00652630">
        <w:rPr>
          <w:rFonts w:ascii="Garamond" w:hAnsi="Garamond"/>
          <w:sz w:val="25"/>
          <w:szCs w:val="25"/>
        </w:rPr>
        <w:t>t</w:t>
      </w:r>
      <w:r w:rsidRPr="00434CBA">
        <w:rPr>
          <w:rFonts w:ascii="Garamond" w:hAnsi="Garamond"/>
          <w:sz w:val="25"/>
          <w:szCs w:val="25"/>
        </w:rPr>
        <w:t>rust Act.</w:t>
      </w:r>
    </w:p>
    <w:p w14:paraId="52C317B4" w14:textId="34192894" w:rsidR="00BE2683" w:rsidRPr="00434CBA" w:rsidRDefault="00BE2683" w:rsidP="00BE2683">
      <w:pPr>
        <w:pStyle w:val="Bulletsl"/>
      </w:pPr>
      <w:r w:rsidRPr="00BE2683">
        <w:rPr>
          <w:b/>
          <w:bCs/>
        </w:rPr>
        <w:t xml:space="preserve">Read: </w:t>
      </w:r>
      <w:hyperlink r:id="rId9" w:history="1">
        <w:r w:rsidRPr="00391B78">
          <w:rPr>
            <w:rStyle w:val="Hyperlink"/>
            <w:rFonts w:eastAsia="Times New Roman" w:cs="Times New Roman"/>
            <w:sz w:val="25"/>
            <w:szCs w:val="25"/>
          </w:rPr>
          <w:t>https://www.oyez.org/cases/1850-190</w:t>
        </w:r>
        <w:r w:rsidRPr="00391B78">
          <w:rPr>
            <w:rStyle w:val="Hyperlink"/>
            <w:rFonts w:eastAsia="Times New Roman" w:cs="Times New Roman"/>
            <w:sz w:val="25"/>
            <w:szCs w:val="25"/>
          </w:rPr>
          <w:t>0</w:t>
        </w:r>
        <w:r w:rsidRPr="00391B78">
          <w:rPr>
            <w:rStyle w:val="Hyperlink"/>
            <w:rFonts w:eastAsia="Times New Roman" w:cs="Times New Roman"/>
            <w:sz w:val="25"/>
            <w:szCs w:val="25"/>
          </w:rPr>
          <w:t>/156us1</w:t>
        </w:r>
      </w:hyperlink>
    </w:p>
    <w:p w14:paraId="21712AB6" w14:textId="7322BB83" w:rsidR="00BE2683" w:rsidRPr="00434CBA" w:rsidRDefault="00BE2683" w:rsidP="00BE2683">
      <w:pPr>
        <w:pStyle w:val="Bulletsl"/>
        <w:spacing w:after="240"/>
      </w:pPr>
      <w:r w:rsidRPr="00BE2683">
        <w:rPr>
          <w:b/>
          <w:bCs/>
        </w:rPr>
        <w:t xml:space="preserve">Watch: </w:t>
      </w:r>
      <w:hyperlink r:id="rId10" w:history="1">
        <w:r w:rsidRPr="00391B78">
          <w:rPr>
            <w:rStyle w:val="Hyperlink"/>
            <w:sz w:val="25"/>
            <w:szCs w:val="25"/>
          </w:rPr>
          <w:t>https://www.youtub</w:t>
        </w:r>
        <w:r w:rsidRPr="00391B78">
          <w:rPr>
            <w:rStyle w:val="Hyperlink"/>
            <w:sz w:val="25"/>
            <w:szCs w:val="25"/>
          </w:rPr>
          <w:t>e</w:t>
        </w:r>
        <w:r w:rsidRPr="00391B78">
          <w:rPr>
            <w:rStyle w:val="Hyperlink"/>
            <w:sz w:val="25"/>
            <w:szCs w:val="25"/>
          </w:rPr>
          <w:t>.com/watch?v=49MuEIwEj_U</w:t>
        </w:r>
      </w:hyperlink>
    </w:p>
    <w:p w14:paraId="0CEAF757" w14:textId="17DBA1B0" w:rsidR="00BE2683" w:rsidRDefault="00BE2683" w:rsidP="00652630">
      <w:pPr>
        <w:spacing w:after="2200"/>
        <w:ind w:left="360"/>
        <w:rPr>
          <w:rFonts w:ascii="Garamond" w:eastAsia="Times New Roman" w:hAnsi="Garamond" w:cs="Times New Roman"/>
          <w:sz w:val="25"/>
          <w:szCs w:val="25"/>
          <w:shd w:val="clear" w:color="auto" w:fill="FFFFFF"/>
        </w:rPr>
      </w:pPr>
      <w:r w:rsidRPr="00434CBA">
        <w:rPr>
          <w:rFonts w:ascii="Garamond" w:eastAsia="Times New Roman" w:hAnsi="Garamond" w:cs="Times New Roman"/>
          <w:sz w:val="25"/>
          <w:szCs w:val="25"/>
        </w:rPr>
        <w:t xml:space="preserve">Explain why the </w:t>
      </w:r>
      <w:r>
        <w:rPr>
          <w:rFonts w:ascii="Garamond" w:eastAsia="Times New Roman" w:hAnsi="Garamond" w:cs="Times New Roman"/>
          <w:sz w:val="25"/>
          <w:szCs w:val="25"/>
        </w:rPr>
        <w:t>Supreme C</w:t>
      </w:r>
      <w:r w:rsidRPr="00434CBA">
        <w:rPr>
          <w:rFonts w:ascii="Garamond" w:eastAsia="Times New Roman" w:hAnsi="Garamond" w:cs="Times New Roman"/>
          <w:sz w:val="25"/>
          <w:szCs w:val="25"/>
        </w:rPr>
        <w:t xml:space="preserve">ourt ruled </w:t>
      </w:r>
      <w:r>
        <w:rPr>
          <w:rFonts w:ascii="Garamond" w:eastAsia="Times New Roman" w:hAnsi="Garamond" w:cs="Times New Roman"/>
          <w:sz w:val="25"/>
          <w:szCs w:val="25"/>
        </w:rPr>
        <w:t>as</w:t>
      </w:r>
      <w:r w:rsidRPr="00434CBA">
        <w:rPr>
          <w:rFonts w:ascii="Garamond" w:eastAsia="Times New Roman" w:hAnsi="Garamond" w:cs="Times New Roman"/>
          <w:sz w:val="25"/>
          <w:szCs w:val="25"/>
        </w:rPr>
        <w:t xml:space="preserve"> </w:t>
      </w:r>
      <w:r>
        <w:rPr>
          <w:rFonts w:ascii="Garamond" w:eastAsia="Times New Roman" w:hAnsi="Garamond" w:cs="Times New Roman"/>
          <w:sz w:val="25"/>
          <w:szCs w:val="25"/>
        </w:rPr>
        <w:t xml:space="preserve">it </w:t>
      </w:r>
      <w:r w:rsidRPr="00434CBA">
        <w:rPr>
          <w:rFonts w:ascii="Garamond" w:eastAsia="Times New Roman" w:hAnsi="Garamond" w:cs="Times New Roman"/>
          <w:sz w:val="25"/>
          <w:szCs w:val="25"/>
        </w:rPr>
        <w:t>did</w:t>
      </w:r>
      <w:r>
        <w:rPr>
          <w:rFonts w:ascii="Garamond" w:eastAsia="Times New Roman" w:hAnsi="Garamond" w:cs="Times New Roman"/>
          <w:sz w:val="25"/>
          <w:szCs w:val="25"/>
        </w:rPr>
        <w:t xml:space="preserve">. Did the </w:t>
      </w:r>
      <w:r w:rsidRPr="00434CBA">
        <w:rPr>
          <w:rFonts w:ascii="Garamond" w:eastAsia="Times New Roman" w:hAnsi="Garamond" w:cs="Times New Roman"/>
          <w:sz w:val="25"/>
          <w:szCs w:val="25"/>
          <w:shd w:val="clear" w:color="auto" w:fill="FFFFFF"/>
        </w:rPr>
        <w:t>Court</w:t>
      </w:r>
      <w:r>
        <w:rPr>
          <w:rFonts w:ascii="Garamond" w:eastAsia="Times New Roman" w:hAnsi="Garamond" w:cs="Times New Roman"/>
          <w:sz w:val="25"/>
          <w:szCs w:val="25"/>
          <w:shd w:val="clear" w:color="auto" w:fill="FFFFFF"/>
        </w:rPr>
        <w:t>’</w:t>
      </w:r>
      <w:r w:rsidRPr="00434CBA">
        <w:rPr>
          <w:rFonts w:ascii="Garamond" w:eastAsia="Times New Roman" w:hAnsi="Garamond" w:cs="Times New Roman"/>
          <w:sz w:val="25"/>
          <w:szCs w:val="25"/>
          <w:shd w:val="clear" w:color="auto" w:fill="FFFFFF"/>
        </w:rPr>
        <w:t>s decision increase Congress</w:t>
      </w:r>
      <w:r>
        <w:rPr>
          <w:rFonts w:ascii="Garamond" w:eastAsia="Times New Roman" w:hAnsi="Garamond" w:cs="Times New Roman"/>
          <w:sz w:val="25"/>
          <w:szCs w:val="25"/>
          <w:shd w:val="clear" w:color="auto" w:fill="FFFFFF"/>
        </w:rPr>
        <w:t>’</w:t>
      </w:r>
      <w:r w:rsidRPr="00434CBA">
        <w:rPr>
          <w:rFonts w:ascii="Garamond" w:eastAsia="Times New Roman" w:hAnsi="Garamond" w:cs="Times New Roman"/>
          <w:sz w:val="25"/>
          <w:szCs w:val="25"/>
          <w:shd w:val="clear" w:color="auto" w:fill="FFFFFF"/>
        </w:rPr>
        <w:t xml:space="preserve"> power or h</w:t>
      </w:r>
      <w:r>
        <w:rPr>
          <w:rFonts w:ascii="Garamond" w:eastAsia="Times New Roman" w:hAnsi="Garamond" w:cs="Times New Roman"/>
          <w:sz w:val="25"/>
          <w:szCs w:val="25"/>
          <w:shd w:val="clear" w:color="auto" w:fill="FFFFFF"/>
        </w:rPr>
        <w:t>o</w:t>
      </w:r>
      <w:r w:rsidRPr="00434CBA">
        <w:rPr>
          <w:rFonts w:ascii="Garamond" w:eastAsia="Times New Roman" w:hAnsi="Garamond" w:cs="Times New Roman"/>
          <w:sz w:val="25"/>
          <w:szCs w:val="25"/>
          <w:shd w:val="clear" w:color="auto" w:fill="FFFFFF"/>
        </w:rPr>
        <w:t>ld Congress</w:t>
      </w:r>
      <w:r>
        <w:rPr>
          <w:rFonts w:ascii="Garamond" w:eastAsia="Times New Roman" w:hAnsi="Garamond" w:cs="Times New Roman"/>
          <w:sz w:val="25"/>
          <w:szCs w:val="25"/>
          <w:shd w:val="clear" w:color="auto" w:fill="FFFFFF"/>
        </w:rPr>
        <w:t xml:space="preserve">’ </w:t>
      </w:r>
      <w:r w:rsidRPr="00434CBA">
        <w:rPr>
          <w:rFonts w:ascii="Garamond" w:eastAsia="Times New Roman" w:hAnsi="Garamond" w:cs="Times New Roman"/>
          <w:sz w:val="25"/>
          <w:szCs w:val="25"/>
          <w:shd w:val="clear" w:color="auto" w:fill="FFFFFF"/>
        </w:rPr>
        <w:t>power in check</w:t>
      </w:r>
      <w:r>
        <w:rPr>
          <w:rFonts w:ascii="Garamond" w:eastAsia="Times New Roman" w:hAnsi="Garamond" w:cs="Times New Roman"/>
          <w:sz w:val="25"/>
          <w:szCs w:val="25"/>
          <w:shd w:val="clear" w:color="auto" w:fill="FFFFFF"/>
        </w:rPr>
        <w:t>?</w:t>
      </w:r>
    </w:p>
    <w:p w14:paraId="47DBE83F" w14:textId="658F7428" w:rsidR="00BE2683" w:rsidRPr="00BE2683" w:rsidRDefault="00BE2683" w:rsidP="00BE2683">
      <w:pPr>
        <w:pStyle w:val="Basiccopysl"/>
        <w:numPr>
          <w:ilvl w:val="0"/>
          <w:numId w:val="19"/>
        </w:numPr>
        <w:ind w:left="360"/>
        <w:rPr>
          <w:b/>
          <w:bCs/>
        </w:rPr>
      </w:pPr>
      <w:r w:rsidRPr="00BE2683">
        <w:rPr>
          <w:b/>
          <w:bCs/>
          <w:i/>
          <w:iCs/>
        </w:rPr>
        <w:lastRenderedPageBreak/>
        <w:t>Schechter Poultry Corp</w:t>
      </w:r>
      <w:r w:rsidR="00144D83">
        <w:rPr>
          <w:b/>
          <w:bCs/>
          <w:i/>
          <w:iCs/>
        </w:rPr>
        <w:t>.</w:t>
      </w:r>
      <w:r w:rsidRPr="00BE2683">
        <w:rPr>
          <w:b/>
          <w:bCs/>
          <w:i/>
          <w:iCs/>
        </w:rPr>
        <w:t xml:space="preserve"> v. U</w:t>
      </w:r>
      <w:r>
        <w:rPr>
          <w:b/>
          <w:bCs/>
          <w:i/>
          <w:iCs/>
        </w:rPr>
        <w:t xml:space="preserve">nited </w:t>
      </w:r>
      <w:r w:rsidRPr="00BE2683">
        <w:rPr>
          <w:b/>
          <w:bCs/>
          <w:i/>
          <w:iCs/>
        </w:rPr>
        <w:t>S</w:t>
      </w:r>
      <w:r>
        <w:rPr>
          <w:b/>
          <w:bCs/>
          <w:i/>
          <w:iCs/>
        </w:rPr>
        <w:t>tates</w:t>
      </w:r>
      <w:r w:rsidRPr="00BE2683">
        <w:rPr>
          <w:b/>
          <w:bCs/>
        </w:rPr>
        <w:t xml:space="preserve"> (1935)</w:t>
      </w:r>
    </w:p>
    <w:p w14:paraId="1DF28978" w14:textId="4B12FBC5" w:rsidR="00BE2683" w:rsidRPr="00144D83" w:rsidRDefault="00144D83" w:rsidP="00144D83">
      <w:pPr>
        <w:spacing w:after="120"/>
        <w:ind w:left="360"/>
        <w:rPr>
          <w:rFonts w:ascii="Garamond" w:hAnsi="Garamond"/>
          <w:sz w:val="25"/>
          <w:szCs w:val="25"/>
        </w:rPr>
      </w:pPr>
      <w:r>
        <w:rPr>
          <w:rFonts w:ascii="Garamond" w:hAnsi="Garamond"/>
          <w:sz w:val="25"/>
          <w:szCs w:val="25"/>
        </w:rPr>
        <w:t>T</w:t>
      </w:r>
      <w:r w:rsidR="00BE2683" w:rsidRPr="00144D83">
        <w:rPr>
          <w:rFonts w:ascii="Garamond" w:hAnsi="Garamond"/>
          <w:sz w:val="25"/>
          <w:szCs w:val="25"/>
        </w:rPr>
        <w:t>he Supreme Court ruled Congress lacked the power to regulate the local market sale of chickens in New York City.</w:t>
      </w:r>
    </w:p>
    <w:p w14:paraId="7C9092F0" w14:textId="495ED08A" w:rsidR="00BE2683" w:rsidRPr="00434CBA" w:rsidRDefault="00144D83" w:rsidP="00144D83">
      <w:pPr>
        <w:pStyle w:val="Bulletsl"/>
        <w:rPr>
          <w:rFonts w:eastAsia="Times New Roman" w:cs="Times New Roman"/>
          <w:color w:val="0000FF"/>
          <w:sz w:val="25"/>
          <w:szCs w:val="25"/>
          <w:u w:val="single"/>
        </w:rPr>
      </w:pPr>
      <w:r w:rsidRPr="00144D83">
        <w:rPr>
          <w:b/>
          <w:bCs/>
        </w:rPr>
        <w:t>Read:</w:t>
      </w:r>
      <w:r>
        <w:t xml:space="preserve"> </w:t>
      </w:r>
      <w:hyperlink r:id="rId11" w:history="1">
        <w:r w:rsidRPr="00391B78">
          <w:rPr>
            <w:rStyle w:val="Hyperlink"/>
            <w:rFonts w:eastAsia="Times New Roman" w:cs="Times New Roman"/>
            <w:sz w:val="25"/>
            <w:szCs w:val="25"/>
          </w:rPr>
          <w:t>https://www.oyez.org/cases/19</w:t>
        </w:r>
        <w:r w:rsidRPr="00391B78">
          <w:rPr>
            <w:rStyle w:val="Hyperlink"/>
            <w:rFonts w:eastAsia="Times New Roman" w:cs="Times New Roman"/>
            <w:sz w:val="25"/>
            <w:szCs w:val="25"/>
          </w:rPr>
          <w:t>0</w:t>
        </w:r>
        <w:r w:rsidRPr="00391B78">
          <w:rPr>
            <w:rStyle w:val="Hyperlink"/>
            <w:rFonts w:eastAsia="Times New Roman" w:cs="Times New Roman"/>
            <w:sz w:val="25"/>
            <w:szCs w:val="25"/>
          </w:rPr>
          <w:t>0-1940/295us495</w:t>
        </w:r>
      </w:hyperlink>
    </w:p>
    <w:p w14:paraId="5161F2EE" w14:textId="25805D3B" w:rsidR="00BE2683" w:rsidRPr="00434CBA" w:rsidRDefault="00144D83" w:rsidP="00144D83">
      <w:pPr>
        <w:pStyle w:val="Bulletsl"/>
        <w:spacing w:after="240"/>
        <w:rPr>
          <w:rFonts w:eastAsia="Times New Roman" w:cs="Times New Roman"/>
          <w:sz w:val="25"/>
          <w:szCs w:val="25"/>
        </w:rPr>
      </w:pPr>
      <w:r w:rsidRPr="00144D83">
        <w:rPr>
          <w:b/>
          <w:bCs/>
        </w:rPr>
        <w:t xml:space="preserve">Watch: </w:t>
      </w:r>
      <w:hyperlink r:id="rId12" w:history="1">
        <w:r w:rsidRPr="00391B78">
          <w:rPr>
            <w:rStyle w:val="Hyperlink"/>
            <w:rFonts w:eastAsia="Times New Roman" w:cs="Times New Roman"/>
            <w:sz w:val="25"/>
            <w:szCs w:val="25"/>
          </w:rPr>
          <w:t>https://www.youtube.</w:t>
        </w:r>
        <w:r w:rsidRPr="00391B78">
          <w:rPr>
            <w:rStyle w:val="Hyperlink"/>
            <w:rFonts w:eastAsia="Times New Roman" w:cs="Times New Roman"/>
            <w:sz w:val="25"/>
            <w:szCs w:val="25"/>
          </w:rPr>
          <w:t>c</w:t>
        </w:r>
        <w:r w:rsidRPr="00391B78">
          <w:rPr>
            <w:rStyle w:val="Hyperlink"/>
            <w:rFonts w:eastAsia="Times New Roman" w:cs="Times New Roman"/>
            <w:sz w:val="25"/>
            <w:szCs w:val="25"/>
          </w:rPr>
          <w:t>om/watch?v=sF3d93hvAmI</w:t>
        </w:r>
      </w:hyperlink>
    </w:p>
    <w:p w14:paraId="6747FE58" w14:textId="1562D33D" w:rsidR="00144D83" w:rsidRDefault="00144D83" w:rsidP="00652630">
      <w:pPr>
        <w:pStyle w:val="Bulletsl"/>
        <w:numPr>
          <w:ilvl w:val="0"/>
          <w:numId w:val="0"/>
        </w:numPr>
        <w:spacing w:after="3240"/>
        <w:ind w:left="360"/>
      </w:pPr>
      <w:r w:rsidRPr="00144D83">
        <w:t>Explain why the Supreme Court ruled as it did. Did the Court’s decision increase Congress’ power or hold Congress’ power in check?</w:t>
      </w:r>
    </w:p>
    <w:p w14:paraId="5FD5686F" w14:textId="77777777" w:rsidR="00144D83" w:rsidRPr="00144D83" w:rsidRDefault="00144D83" w:rsidP="00144D83">
      <w:pPr>
        <w:pStyle w:val="Basiccopysl"/>
        <w:numPr>
          <w:ilvl w:val="0"/>
          <w:numId w:val="19"/>
        </w:numPr>
        <w:ind w:left="360"/>
        <w:rPr>
          <w:b/>
          <w:bCs/>
        </w:rPr>
      </w:pPr>
      <w:r w:rsidRPr="00144D83">
        <w:rPr>
          <w:b/>
          <w:bCs/>
          <w:i/>
          <w:iCs/>
        </w:rPr>
        <w:t>Wicker v. Filburn</w:t>
      </w:r>
      <w:r w:rsidRPr="00144D83">
        <w:rPr>
          <w:b/>
          <w:bCs/>
        </w:rPr>
        <w:t xml:space="preserve"> (1942)</w:t>
      </w:r>
    </w:p>
    <w:p w14:paraId="3B92F965" w14:textId="02143C80" w:rsidR="00144D83" w:rsidRPr="00434CBA" w:rsidRDefault="00144D83" w:rsidP="00144D83">
      <w:pPr>
        <w:spacing w:after="120"/>
        <w:ind w:left="360"/>
        <w:rPr>
          <w:rFonts w:ascii="Garamond" w:hAnsi="Garamond"/>
          <w:sz w:val="25"/>
          <w:szCs w:val="25"/>
        </w:rPr>
      </w:pPr>
      <w:r w:rsidRPr="00434CBA">
        <w:rPr>
          <w:rFonts w:ascii="Garamond" w:hAnsi="Garamond"/>
          <w:sz w:val="25"/>
          <w:szCs w:val="25"/>
        </w:rPr>
        <w:t xml:space="preserve">The Supreme Court ruled that Congress could limit a farmer’s right to grow wheat even if that wheat </w:t>
      </w:r>
      <w:proofErr w:type="gramStart"/>
      <w:r w:rsidRPr="00434CBA">
        <w:rPr>
          <w:rFonts w:ascii="Garamond" w:hAnsi="Garamond"/>
          <w:sz w:val="25"/>
          <w:szCs w:val="25"/>
        </w:rPr>
        <w:t>was</w:t>
      </w:r>
      <w:proofErr w:type="gramEnd"/>
      <w:r w:rsidRPr="00434CBA">
        <w:rPr>
          <w:rFonts w:ascii="Garamond" w:hAnsi="Garamond"/>
          <w:sz w:val="25"/>
          <w:szCs w:val="25"/>
        </w:rPr>
        <w:t xml:space="preserve"> not going to be sold in the marketplace.</w:t>
      </w:r>
    </w:p>
    <w:p w14:paraId="10765BF4" w14:textId="781E1F49" w:rsidR="00144D83" w:rsidRPr="00434CBA" w:rsidRDefault="00144D83" w:rsidP="00144D83">
      <w:pPr>
        <w:pStyle w:val="Bulletsl"/>
        <w:rPr>
          <w:rFonts w:eastAsia="Times New Roman" w:cs="Times New Roman"/>
          <w:sz w:val="25"/>
          <w:szCs w:val="25"/>
        </w:rPr>
      </w:pPr>
      <w:r w:rsidRPr="00144D83">
        <w:rPr>
          <w:b/>
          <w:bCs/>
        </w:rPr>
        <w:t>Read:</w:t>
      </w:r>
      <w:r>
        <w:t xml:space="preserve"> </w:t>
      </w:r>
      <w:hyperlink r:id="rId13" w:history="1">
        <w:r w:rsidRPr="00391B78">
          <w:rPr>
            <w:rStyle w:val="Hyperlink"/>
            <w:rFonts w:eastAsia="Times New Roman" w:cs="Times New Roman"/>
            <w:sz w:val="25"/>
            <w:szCs w:val="25"/>
          </w:rPr>
          <w:t>https://www.oyez.org/cases/1940-195</w:t>
        </w:r>
        <w:r w:rsidRPr="00391B78">
          <w:rPr>
            <w:rStyle w:val="Hyperlink"/>
            <w:rFonts w:eastAsia="Times New Roman" w:cs="Times New Roman"/>
            <w:sz w:val="25"/>
            <w:szCs w:val="25"/>
          </w:rPr>
          <w:t>5</w:t>
        </w:r>
        <w:r w:rsidRPr="00391B78">
          <w:rPr>
            <w:rStyle w:val="Hyperlink"/>
            <w:rFonts w:eastAsia="Times New Roman" w:cs="Times New Roman"/>
            <w:sz w:val="25"/>
            <w:szCs w:val="25"/>
          </w:rPr>
          <w:t>/317us111</w:t>
        </w:r>
      </w:hyperlink>
    </w:p>
    <w:p w14:paraId="27B26553" w14:textId="48D197ED" w:rsidR="00144D83" w:rsidRPr="00434CBA" w:rsidRDefault="00144D83" w:rsidP="00144D83">
      <w:pPr>
        <w:pStyle w:val="Bulletsl"/>
        <w:spacing w:after="240"/>
        <w:rPr>
          <w:rFonts w:eastAsia="Times New Roman" w:cs="Times New Roman"/>
          <w:sz w:val="25"/>
          <w:szCs w:val="25"/>
        </w:rPr>
      </w:pPr>
      <w:r w:rsidRPr="00144D83">
        <w:rPr>
          <w:b/>
          <w:bCs/>
        </w:rPr>
        <w:t xml:space="preserve">Watch: </w:t>
      </w:r>
      <w:hyperlink r:id="rId14" w:history="1">
        <w:r w:rsidRPr="00391B78">
          <w:rPr>
            <w:rStyle w:val="Hyperlink"/>
            <w:rFonts w:eastAsia="Times New Roman" w:cs="Times New Roman"/>
            <w:sz w:val="25"/>
            <w:szCs w:val="25"/>
          </w:rPr>
          <w:t>https://www.youtube.com</w:t>
        </w:r>
        <w:r w:rsidRPr="00391B78">
          <w:rPr>
            <w:rStyle w:val="Hyperlink"/>
            <w:rFonts w:eastAsia="Times New Roman" w:cs="Times New Roman"/>
            <w:sz w:val="25"/>
            <w:szCs w:val="25"/>
          </w:rPr>
          <w:t>/</w:t>
        </w:r>
        <w:r w:rsidRPr="00391B78">
          <w:rPr>
            <w:rStyle w:val="Hyperlink"/>
            <w:rFonts w:eastAsia="Times New Roman" w:cs="Times New Roman"/>
            <w:sz w:val="25"/>
            <w:szCs w:val="25"/>
          </w:rPr>
          <w:t>watch?v=vy8K0-EiF5U</w:t>
        </w:r>
      </w:hyperlink>
    </w:p>
    <w:p w14:paraId="2CBFABBB" w14:textId="50E945CD" w:rsidR="00144D83" w:rsidRDefault="00144D83" w:rsidP="00652630">
      <w:pPr>
        <w:pStyle w:val="Bulletsl"/>
        <w:numPr>
          <w:ilvl w:val="0"/>
          <w:numId w:val="0"/>
        </w:numPr>
        <w:spacing w:after="2200"/>
        <w:ind w:left="360"/>
      </w:pPr>
      <w:r w:rsidRPr="00144D83">
        <w:t>Explain why the Supreme Court ruled as it did. Did the Court’s decision increase Congress’ power or hold Congress’ power in check?</w:t>
      </w:r>
    </w:p>
    <w:p w14:paraId="2DD8ECE8" w14:textId="2D28271A" w:rsidR="000D1CA3" w:rsidRPr="000D1CA3" w:rsidRDefault="000D1CA3" w:rsidP="00652630">
      <w:pPr>
        <w:pStyle w:val="Basiccopysl"/>
        <w:keepNext/>
        <w:numPr>
          <w:ilvl w:val="0"/>
          <w:numId w:val="19"/>
        </w:numPr>
        <w:ind w:left="360"/>
        <w:rPr>
          <w:b/>
          <w:bCs/>
        </w:rPr>
      </w:pPr>
      <w:r w:rsidRPr="000D1CA3">
        <w:rPr>
          <w:b/>
          <w:bCs/>
          <w:i/>
          <w:iCs/>
        </w:rPr>
        <w:lastRenderedPageBreak/>
        <w:t>Heart of Atlanta Motel v</w:t>
      </w:r>
      <w:r w:rsidRPr="000D1CA3">
        <w:rPr>
          <w:b/>
          <w:bCs/>
          <w:i/>
          <w:iCs/>
        </w:rPr>
        <w:t>.</w:t>
      </w:r>
      <w:r w:rsidRPr="000D1CA3">
        <w:rPr>
          <w:b/>
          <w:bCs/>
          <w:i/>
          <w:iCs/>
        </w:rPr>
        <w:t xml:space="preserve"> U</w:t>
      </w:r>
      <w:r w:rsidRPr="000D1CA3">
        <w:rPr>
          <w:b/>
          <w:bCs/>
          <w:i/>
          <w:iCs/>
        </w:rPr>
        <w:t xml:space="preserve">nited </w:t>
      </w:r>
      <w:r w:rsidRPr="000D1CA3">
        <w:rPr>
          <w:b/>
          <w:bCs/>
          <w:i/>
          <w:iCs/>
        </w:rPr>
        <w:t>S</w:t>
      </w:r>
      <w:r w:rsidRPr="000D1CA3">
        <w:rPr>
          <w:b/>
          <w:bCs/>
          <w:i/>
          <w:iCs/>
        </w:rPr>
        <w:t>tates</w:t>
      </w:r>
      <w:r w:rsidRPr="000D1CA3">
        <w:rPr>
          <w:b/>
          <w:bCs/>
        </w:rPr>
        <w:t xml:space="preserve"> (1964)</w:t>
      </w:r>
    </w:p>
    <w:p w14:paraId="42B61318" w14:textId="28B4D075" w:rsidR="000D1CA3" w:rsidRPr="00434CBA" w:rsidRDefault="000D1CA3" w:rsidP="00652630">
      <w:pPr>
        <w:keepNext/>
        <w:spacing w:after="120"/>
        <w:ind w:left="360"/>
        <w:rPr>
          <w:rFonts w:ascii="Garamond" w:hAnsi="Garamond"/>
          <w:sz w:val="25"/>
          <w:szCs w:val="25"/>
        </w:rPr>
      </w:pPr>
      <w:r w:rsidRPr="00434CBA">
        <w:rPr>
          <w:rFonts w:ascii="Garamond" w:hAnsi="Garamond"/>
          <w:sz w:val="25"/>
          <w:szCs w:val="25"/>
        </w:rPr>
        <w:t>The Supreme Court upheld Congress</w:t>
      </w:r>
      <w:r>
        <w:rPr>
          <w:rFonts w:ascii="Garamond" w:hAnsi="Garamond"/>
          <w:sz w:val="25"/>
          <w:szCs w:val="25"/>
        </w:rPr>
        <w:t>’</w:t>
      </w:r>
      <w:r w:rsidRPr="00434CBA">
        <w:rPr>
          <w:rFonts w:ascii="Garamond" w:hAnsi="Garamond"/>
          <w:sz w:val="25"/>
          <w:szCs w:val="25"/>
        </w:rPr>
        <w:t xml:space="preserve"> power, under the Civil Rights Act of 1964, to prohibit a private business from discriminating against a person based on their race.</w:t>
      </w:r>
    </w:p>
    <w:p w14:paraId="5E0759DB" w14:textId="640A8585" w:rsidR="000D1CA3" w:rsidRPr="00434CBA" w:rsidRDefault="000D1CA3" w:rsidP="00652630">
      <w:pPr>
        <w:pStyle w:val="Bulletsl"/>
        <w:keepNext/>
        <w:rPr>
          <w:rFonts w:eastAsia="Times New Roman" w:cs="Times New Roman"/>
          <w:sz w:val="25"/>
          <w:szCs w:val="25"/>
        </w:rPr>
      </w:pPr>
      <w:r w:rsidRPr="000D1CA3">
        <w:rPr>
          <w:b/>
          <w:bCs/>
        </w:rPr>
        <w:t>Read:</w:t>
      </w:r>
      <w:r>
        <w:t xml:space="preserve"> </w:t>
      </w:r>
      <w:hyperlink r:id="rId15" w:history="1">
        <w:r w:rsidRPr="00391B78">
          <w:rPr>
            <w:rStyle w:val="Hyperlink"/>
            <w:rFonts w:eastAsia="Times New Roman" w:cs="Times New Roman"/>
            <w:sz w:val="25"/>
            <w:szCs w:val="25"/>
          </w:rPr>
          <w:t>https://www.oyez.org</w:t>
        </w:r>
        <w:r w:rsidRPr="00391B78">
          <w:rPr>
            <w:rStyle w:val="Hyperlink"/>
            <w:rFonts w:eastAsia="Times New Roman" w:cs="Times New Roman"/>
            <w:sz w:val="25"/>
            <w:szCs w:val="25"/>
          </w:rPr>
          <w:t>/</w:t>
        </w:r>
        <w:r w:rsidRPr="00391B78">
          <w:rPr>
            <w:rStyle w:val="Hyperlink"/>
            <w:rFonts w:eastAsia="Times New Roman" w:cs="Times New Roman"/>
            <w:sz w:val="25"/>
            <w:szCs w:val="25"/>
          </w:rPr>
          <w:t>cases/1964/515</w:t>
        </w:r>
      </w:hyperlink>
    </w:p>
    <w:p w14:paraId="5B0F141A" w14:textId="3C3B1026" w:rsidR="000D1CA3" w:rsidRPr="00434CBA" w:rsidRDefault="000D1CA3" w:rsidP="00652630">
      <w:pPr>
        <w:pStyle w:val="Bulletsl"/>
        <w:keepNext/>
        <w:spacing w:after="240"/>
        <w:rPr>
          <w:rFonts w:eastAsia="Times New Roman" w:cs="Times New Roman"/>
          <w:sz w:val="25"/>
          <w:szCs w:val="25"/>
        </w:rPr>
      </w:pPr>
      <w:r w:rsidRPr="000D1CA3">
        <w:rPr>
          <w:b/>
          <w:bCs/>
        </w:rPr>
        <w:t xml:space="preserve">Watch: </w:t>
      </w:r>
      <w:hyperlink r:id="rId16" w:history="1">
        <w:r w:rsidRPr="00391B78">
          <w:rPr>
            <w:rStyle w:val="Hyperlink"/>
            <w:rFonts w:eastAsia="Times New Roman" w:cs="Times New Roman"/>
            <w:sz w:val="25"/>
            <w:szCs w:val="25"/>
          </w:rPr>
          <w:t>https://www.youtube.com/watch?v=CWY</w:t>
        </w:r>
        <w:r w:rsidRPr="00391B78">
          <w:rPr>
            <w:rStyle w:val="Hyperlink"/>
            <w:rFonts w:eastAsia="Times New Roman" w:cs="Times New Roman"/>
            <w:sz w:val="25"/>
            <w:szCs w:val="25"/>
          </w:rPr>
          <w:t>8</w:t>
        </w:r>
        <w:r w:rsidRPr="00391B78">
          <w:rPr>
            <w:rStyle w:val="Hyperlink"/>
            <w:rFonts w:eastAsia="Times New Roman" w:cs="Times New Roman"/>
            <w:sz w:val="25"/>
            <w:szCs w:val="25"/>
          </w:rPr>
          <w:t>0CsT5wA</w:t>
        </w:r>
      </w:hyperlink>
    </w:p>
    <w:p w14:paraId="276ACEB3" w14:textId="77777777" w:rsidR="000D1CA3" w:rsidRDefault="000D1CA3" w:rsidP="00652630">
      <w:pPr>
        <w:pStyle w:val="Bulletsl"/>
        <w:keepNext/>
        <w:numPr>
          <w:ilvl w:val="0"/>
          <w:numId w:val="0"/>
        </w:numPr>
        <w:spacing w:after="3240"/>
        <w:ind w:left="360"/>
      </w:pPr>
      <w:r w:rsidRPr="00144D83">
        <w:t>Explain why the Supreme Court ruled as it did. Did the Court’s decision increase Congress’ power or hold Congress’ power in check?</w:t>
      </w:r>
    </w:p>
    <w:p w14:paraId="53F16F6D" w14:textId="77777777" w:rsidR="00144D83" w:rsidRPr="00144D83" w:rsidRDefault="00144D83" w:rsidP="00144D83">
      <w:pPr>
        <w:pStyle w:val="Basiccopysl"/>
        <w:numPr>
          <w:ilvl w:val="0"/>
          <w:numId w:val="19"/>
        </w:numPr>
        <w:ind w:left="360"/>
        <w:rPr>
          <w:b/>
          <w:bCs/>
        </w:rPr>
      </w:pPr>
      <w:r w:rsidRPr="00144D83">
        <w:rPr>
          <w:b/>
          <w:bCs/>
          <w:i/>
          <w:iCs/>
        </w:rPr>
        <w:t>Gonzales v. Raich</w:t>
      </w:r>
      <w:r w:rsidRPr="00144D83">
        <w:rPr>
          <w:b/>
          <w:bCs/>
        </w:rPr>
        <w:t xml:space="preserve"> (2005)</w:t>
      </w:r>
    </w:p>
    <w:p w14:paraId="704C9970" w14:textId="12ED31AA" w:rsidR="00144D83" w:rsidRPr="00144D83" w:rsidRDefault="00652630" w:rsidP="00144D83">
      <w:pPr>
        <w:spacing w:after="120"/>
        <w:ind w:left="360"/>
        <w:rPr>
          <w:rFonts w:ascii="Garamond" w:hAnsi="Garamond"/>
          <w:sz w:val="25"/>
          <w:szCs w:val="25"/>
        </w:rPr>
      </w:pPr>
      <w:r>
        <w:rPr>
          <w:rFonts w:ascii="Garamond" w:hAnsi="Garamond"/>
          <w:sz w:val="25"/>
          <w:szCs w:val="25"/>
        </w:rPr>
        <w:t>Th</w:t>
      </w:r>
      <w:r w:rsidR="00144D83" w:rsidRPr="00144D83">
        <w:rPr>
          <w:rFonts w:ascii="Garamond" w:hAnsi="Garamond"/>
          <w:sz w:val="25"/>
          <w:szCs w:val="25"/>
        </w:rPr>
        <w:t xml:space="preserve">e Supreme Court held that Congress could prohibit the growing of marijuana for medical purposes, even though the </w:t>
      </w:r>
      <w:r>
        <w:rPr>
          <w:rFonts w:ascii="Garamond" w:hAnsi="Garamond"/>
          <w:sz w:val="25"/>
          <w:szCs w:val="25"/>
        </w:rPr>
        <w:t>s</w:t>
      </w:r>
      <w:r w:rsidR="00144D83" w:rsidRPr="00144D83">
        <w:rPr>
          <w:rFonts w:ascii="Garamond" w:hAnsi="Garamond"/>
          <w:sz w:val="25"/>
          <w:szCs w:val="25"/>
        </w:rPr>
        <w:t>tate of California permitted it and the growers did not intend to sell it.</w:t>
      </w:r>
    </w:p>
    <w:p w14:paraId="45A74CA8" w14:textId="5DCCD6D9" w:rsidR="00144D83" w:rsidRPr="00434CBA" w:rsidRDefault="00144D83" w:rsidP="00144D83">
      <w:pPr>
        <w:pStyle w:val="Bulletsl"/>
        <w:rPr>
          <w:rFonts w:eastAsia="Times New Roman" w:cs="Times New Roman"/>
          <w:sz w:val="25"/>
          <w:szCs w:val="25"/>
        </w:rPr>
      </w:pPr>
      <w:r w:rsidRPr="00144D83">
        <w:rPr>
          <w:b/>
          <w:bCs/>
        </w:rPr>
        <w:t xml:space="preserve">Read: </w:t>
      </w:r>
      <w:hyperlink r:id="rId17" w:history="1">
        <w:r w:rsidRPr="00391B78">
          <w:rPr>
            <w:rStyle w:val="Hyperlink"/>
            <w:rFonts w:eastAsia="Times New Roman" w:cs="Times New Roman"/>
            <w:sz w:val="25"/>
            <w:szCs w:val="25"/>
          </w:rPr>
          <w:t>https://www.oyez.org/cases/</w:t>
        </w:r>
        <w:r w:rsidRPr="00391B78">
          <w:rPr>
            <w:rStyle w:val="Hyperlink"/>
            <w:rFonts w:eastAsia="Times New Roman" w:cs="Times New Roman"/>
            <w:sz w:val="25"/>
            <w:szCs w:val="25"/>
          </w:rPr>
          <w:t>2</w:t>
        </w:r>
        <w:r w:rsidRPr="00391B78">
          <w:rPr>
            <w:rStyle w:val="Hyperlink"/>
            <w:rFonts w:eastAsia="Times New Roman" w:cs="Times New Roman"/>
            <w:sz w:val="25"/>
            <w:szCs w:val="25"/>
          </w:rPr>
          <w:t>004/03-1454</w:t>
        </w:r>
      </w:hyperlink>
    </w:p>
    <w:p w14:paraId="3E34A352" w14:textId="696773C1" w:rsidR="00144D83" w:rsidRPr="00434CBA" w:rsidRDefault="00144D83" w:rsidP="00144D83">
      <w:pPr>
        <w:pStyle w:val="Bulletsl"/>
        <w:spacing w:after="240"/>
        <w:rPr>
          <w:rFonts w:eastAsia="Times New Roman" w:cs="Times New Roman"/>
          <w:sz w:val="25"/>
          <w:szCs w:val="25"/>
        </w:rPr>
      </w:pPr>
      <w:r w:rsidRPr="00144D83">
        <w:rPr>
          <w:b/>
          <w:bCs/>
        </w:rPr>
        <w:t xml:space="preserve">Watch: </w:t>
      </w:r>
      <w:hyperlink r:id="rId18" w:history="1">
        <w:r w:rsidRPr="00391B78">
          <w:rPr>
            <w:rStyle w:val="Hyperlink"/>
            <w:rFonts w:eastAsia="Times New Roman" w:cs="Times New Roman"/>
            <w:sz w:val="25"/>
            <w:szCs w:val="25"/>
          </w:rPr>
          <w:t>https://www.youtube.com/watch?v</w:t>
        </w:r>
        <w:r w:rsidRPr="00391B78">
          <w:rPr>
            <w:rStyle w:val="Hyperlink"/>
            <w:rFonts w:eastAsia="Times New Roman" w:cs="Times New Roman"/>
            <w:sz w:val="25"/>
            <w:szCs w:val="25"/>
          </w:rPr>
          <w:t>=</w:t>
        </w:r>
        <w:r w:rsidRPr="00391B78">
          <w:rPr>
            <w:rStyle w:val="Hyperlink"/>
            <w:rFonts w:eastAsia="Times New Roman" w:cs="Times New Roman"/>
            <w:sz w:val="25"/>
            <w:szCs w:val="25"/>
          </w:rPr>
          <w:t>4gPFNDmpnBU</w:t>
        </w:r>
      </w:hyperlink>
    </w:p>
    <w:p w14:paraId="2A0877D7" w14:textId="77777777" w:rsidR="00144D83" w:rsidRDefault="00144D83" w:rsidP="00144D83">
      <w:pPr>
        <w:pStyle w:val="Bulletsl"/>
        <w:numPr>
          <w:ilvl w:val="0"/>
          <w:numId w:val="0"/>
        </w:numPr>
        <w:spacing w:after="1440"/>
        <w:ind w:left="360"/>
      </w:pPr>
      <w:r w:rsidRPr="00144D83">
        <w:t>Explain why the Supreme Court ruled as it did. Did the Court’s decision increase Congress’ power or hold Congress’ power in check?</w:t>
      </w:r>
    </w:p>
    <w:sectPr w:rsidR="00144D83" w:rsidSect="00987C93">
      <w:headerReference w:type="default"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027749" w14:textId="77777777" w:rsidR="00B04462" w:rsidRDefault="00B04462" w:rsidP="0078549D">
      <w:pPr>
        <w:spacing w:after="0" w:line="240" w:lineRule="auto"/>
      </w:pPr>
      <w:r>
        <w:separator/>
      </w:r>
    </w:p>
  </w:endnote>
  <w:endnote w:type="continuationSeparator" w:id="0">
    <w:p w14:paraId="33773840" w14:textId="77777777" w:rsidR="00B04462" w:rsidRDefault="00B04462"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6C9DE259"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w:t>
        </w:r>
        <w:r w:rsidR="00BE2683">
          <w:rPr>
            <w:rStyle w:val="BasiccopyslChar"/>
            <w:sz w:val="22"/>
            <w:szCs w:val="22"/>
          </w:rPr>
          <w:t>07/16/2020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9D51A4" w14:textId="77777777" w:rsidR="00B04462" w:rsidRDefault="00B04462" w:rsidP="0078549D">
      <w:pPr>
        <w:spacing w:after="0" w:line="240" w:lineRule="auto"/>
      </w:pPr>
      <w:r>
        <w:separator/>
      </w:r>
    </w:p>
  </w:footnote>
  <w:footnote w:type="continuationSeparator" w:id="0">
    <w:p w14:paraId="0E2F4CCE" w14:textId="77777777" w:rsidR="00B04462" w:rsidRDefault="00B04462"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3DFCF98C" w:rsidR="00F64E56" w:rsidRPr="00563539" w:rsidRDefault="00563539" w:rsidP="00563539">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001E5A58">
      <w:rPr>
        <w:i/>
        <w:iCs/>
        <w:sz w:val="22"/>
        <w:szCs w:val="22"/>
      </w:rPr>
      <w:t xml:space="preserve">Gibbons v. Ogden </w:t>
    </w:r>
    <w:r w:rsidR="001E5A58" w:rsidRPr="00987C93">
      <w:rPr>
        <w:sz w:val="22"/>
        <w:szCs w:val="22"/>
      </w:rPr>
      <w:t xml:space="preserve">/ </w:t>
    </w:r>
    <w:r w:rsidR="001E5A58">
      <w:rPr>
        <w:sz w:val="22"/>
        <w:szCs w:val="22"/>
      </w:rPr>
      <w:t>The Commerce Clause and Federal Power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143B4A3F"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00BE2683">
      <w:rPr>
        <w:sz w:val="22"/>
        <w:szCs w:val="22"/>
      </w:rPr>
      <w:t xml:space="preserve">           </w:t>
    </w:r>
    <w:r w:rsidR="0080611C">
      <w:rPr>
        <w:i/>
        <w:iCs/>
        <w:sz w:val="22"/>
        <w:szCs w:val="22"/>
      </w:rPr>
      <w:t>Gibbons v. Ogden</w:t>
    </w:r>
    <w:r>
      <w:rPr>
        <w:i/>
        <w:iCs/>
        <w:sz w:val="22"/>
        <w:szCs w:val="22"/>
      </w:rPr>
      <w:t xml:space="preserve"> </w:t>
    </w:r>
    <w:r w:rsidRPr="00987C93">
      <w:rPr>
        <w:sz w:val="22"/>
        <w:szCs w:val="22"/>
      </w:rPr>
      <w:t xml:space="preserve">/ </w:t>
    </w:r>
    <w:r w:rsidR="001E5A58">
      <w:rPr>
        <w:sz w:val="22"/>
        <w:szCs w:val="22"/>
      </w:rPr>
      <w:t>The Commerce Clause and Federal Power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00CD"/>
    <w:multiLevelType w:val="hybridMultilevel"/>
    <w:tmpl w:val="61989D20"/>
    <w:lvl w:ilvl="0" w:tplc="8362BEBC">
      <w:start w:val="1"/>
      <w:numFmt w:val="decimal"/>
      <w:pStyle w:val="Numberedlists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F2CAC"/>
    <w:multiLevelType w:val="hybridMultilevel"/>
    <w:tmpl w:val="1AD4A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40D0D"/>
    <w:multiLevelType w:val="hybridMultilevel"/>
    <w:tmpl w:val="24DC7794"/>
    <w:lvl w:ilvl="0" w:tplc="DC8EB87C">
      <w:start w:val="1"/>
      <w:numFmt w:val="bullet"/>
      <w:pStyle w:val="Bulletsl"/>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4C1A52"/>
    <w:multiLevelType w:val="multilevel"/>
    <w:tmpl w:val="DA2A41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5223CA2"/>
    <w:multiLevelType w:val="multilevel"/>
    <w:tmpl w:val="88E2CE84"/>
    <w:lvl w:ilvl="0">
      <w:start w:val="1"/>
      <w:numFmt w:val="bullet"/>
      <w:lvlText w:val=""/>
      <w:lvlJc w:val="left"/>
      <w:pPr>
        <w:ind w:left="720" w:hanging="360"/>
      </w:pPr>
      <w:rPr>
        <w:rFonts w:ascii="Symbol" w:hAnsi="Symbol" w:hint="default"/>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CEE36BD"/>
    <w:multiLevelType w:val="multilevel"/>
    <w:tmpl w:val="224E52FA"/>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17906DC"/>
    <w:multiLevelType w:val="multilevel"/>
    <w:tmpl w:val="224E52FA"/>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
  </w:num>
  <w:num w:numId="2">
    <w:abstractNumId w:val="1"/>
  </w:num>
  <w:num w:numId="3">
    <w:abstractNumId w:val="0"/>
  </w:num>
  <w:num w:numId="4">
    <w:abstractNumId w:val="3"/>
  </w:num>
  <w:num w:numId="5">
    <w:abstractNumId w:val="7"/>
  </w:num>
  <w:num w:numId="6">
    <w:abstractNumId w:val="4"/>
  </w:num>
  <w:num w:numId="7">
    <w:abstractNumId w:val="7"/>
    <w:lvlOverride w:ilvl="0">
      <w:startOverride w:val="1"/>
    </w:lvlOverride>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2"/>
  </w:num>
  <w:num w:numId="12">
    <w:abstractNumId w:val="8"/>
  </w:num>
  <w:num w:numId="13">
    <w:abstractNumId w:val="10"/>
  </w:num>
  <w:num w:numId="14">
    <w:abstractNumId w:val="9"/>
  </w:num>
  <w:num w:numId="15">
    <w:abstractNumId w:val="1"/>
  </w:num>
  <w:num w:numId="16">
    <w:abstractNumId w:val="11"/>
  </w:num>
  <w:num w:numId="17">
    <w:abstractNumId w:val="1"/>
  </w:num>
  <w:num w:numId="18">
    <w:abstractNumId w:val="1"/>
  </w:num>
  <w:num w:numId="19">
    <w:abstractNumId w:val="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713E9"/>
    <w:rsid w:val="000B66CF"/>
    <w:rsid w:val="000C2D71"/>
    <w:rsid w:val="000D1CA3"/>
    <w:rsid w:val="000E239D"/>
    <w:rsid w:val="001056C3"/>
    <w:rsid w:val="00144D83"/>
    <w:rsid w:val="0016761D"/>
    <w:rsid w:val="00170B98"/>
    <w:rsid w:val="001C650E"/>
    <w:rsid w:val="001D2C41"/>
    <w:rsid w:val="001E5A58"/>
    <w:rsid w:val="001F78D7"/>
    <w:rsid w:val="0021030F"/>
    <w:rsid w:val="0025076D"/>
    <w:rsid w:val="00290061"/>
    <w:rsid w:val="002953A0"/>
    <w:rsid w:val="002B4D38"/>
    <w:rsid w:val="002C68A3"/>
    <w:rsid w:val="002D0A43"/>
    <w:rsid w:val="002D0BCE"/>
    <w:rsid w:val="002D2203"/>
    <w:rsid w:val="0031095D"/>
    <w:rsid w:val="00317735"/>
    <w:rsid w:val="00370B44"/>
    <w:rsid w:val="00375090"/>
    <w:rsid w:val="00396AEB"/>
    <w:rsid w:val="003A0680"/>
    <w:rsid w:val="003B2FE2"/>
    <w:rsid w:val="003C6F20"/>
    <w:rsid w:val="00400A63"/>
    <w:rsid w:val="00434CBA"/>
    <w:rsid w:val="004632BE"/>
    <w:rsid w:val="004B560A"/>
    <w:rsid w:val="004B73F9"/>
    <w:rsid w:val="004D7E3E"/>
    <w:rsid w:val="004E7457"/>
    <w:rsid w:val="004F77FB"/>
    <w:rsid w:val="005311FB"/>
    <w:rsid w:val="00563539"/>
    <w:rsid w:val="005A0330"/>
    <w:rsid w:val="005C0632"/>
    <w:rsid w:val="006018B7"/>
    <w:rsid w:val="006135E5"/>
    <w:rsid w:val="00652630"/>
    <w:rsid w:val="006C3E71"/>
    <w:rsid w:val="006E09C9"/>
    <w:rsid w:val="006E3717"/>
    <w:rsid w:val="007767B2"/>
    <w:rsid w:val="0078549D"/>
    <w:rsid w:val="007F700D"/>
    <w:rsid w:val="0080611C"/>
    <w:rsid w:val="00815CB0"/>
    <w:rsid w:val="0081706F"/>
    <w:rsid w:val="00876739"/>
    <w:rsid w:val="008971BA"/>
    <w:rsid w:val="008C5160"/>
    <w:rsid w:val="008D77F8"/>
    <w:rsid w:val="00987C93"/>
    <w:rsid w:val="009D6B03"/>
    <w:rsid w:val="00A740A5"/>
    <w:rsid w:val="00AB53C2"/>
    <w:rsid w:val="00AE0C77"/>
    <w:rsid w:val="00B04462"/>
    <w:rsid w:val="00B535F7"/>
    <w:rsid w:val="00B62487"/>
    <w:rsid w:val="00BE0B47"/>
    <w:rsid w:val="00BE2683"/>
    <w:rsid w:val="00C15DAC"/>
    <w:rsid w:val="00C40C90"/>
    <w:rsid w:val="00DE3D18"/>
    <w:rsid w:val="00E3555A"/>
    <w:rsid w:val="00E55CB5"/>
    <w:rsid w:val="00E64542"/>
    <w:rsid w:val="00EB20C0"/>
    <w:rsid w:val="00EC04B0"/>
    <w:rsid w:val="00EF7C97"/>
    <w:rsid w:val="00F64E56"/>
    <w:rsid w:val="00F87E7B"/>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563539"/>
    <w:pPr>
      <w:spacing w:after="160" w:line="256" w:lineRule="auto"/>
      <w:ind w:left="720"/>
      <w:contextualSpacing/>
    </w:pPr>
  </w:style>
  <w:style w:type="table" w:customStyle="1" w:styleId="TableGrid">
    <w:name w:val="TableGrid"/>
    <w:rsid w:val="001E5A58"/>
    <w:pPr>
      <w:spacing w:after="0" w:line="240" w:lineRule="auto"/>
    </w:pPr>
    <w:rPr>
      <w:rFonts w:eastAsiaTheme="minorEastAsi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8971BA"/>
    <w:rPr>
      <w:color w:val="605E5C"/>
      <w:shd w:val="clear" w:color="auto" w:fill="E1DFDD"/>
    </w:rPr>
  </w:style>
  <w:style w:type="character" w:styleId="Emphasis">
    <w:name w:val="Emphasis"/>
    <w:basedOn w:val="DefaultParagraphFont"/>
    <w:uiPriority w:val="20"/>
    <w:qFormat/>
    <w:rsid w:val="00BE26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yez.org/cases/1940-1955/317us111" TargetMode="External"/><Relationship Id="rId18" Type="http://schemas.openxmlformats.org/officeDocument/2006/relationships/hyperlink" Target="https://www.youtube.com/watch?v=4gPFNDmpnBU"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youtube.com/watch?v=sF3d93hvAmI" TargetMode="External"/><Relationship Id="rId17" Type="http://schemas.openxmlformats.org/officeDocument/2006/relationships/hyperlink" Target="https://www.oyez.org/cases/2004/03-1454" TargetMode="External"/><Relationship Id="rId25"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hyperlink" Target="https://www.youtube.com/watch?v=CWY80CsT5w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yez.org/cases/1900-1940/295us495"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oyez.org/cases/1964/515" TargetMode="External"/><Relationship Id="rId23" Type="http://schemas.openxmlformats.org/officeDocument/2006/relationships/fontTable" Target="fontTable.xml"/><Relationship Id="rId10" Type="http://schemas.openxmlformats.org/officeDocument/2006/relationships/hyperlink" Target="https://www.youtube.com/watch?v=49MuEIwEj_U"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oyez.org/cases/1850-1900/156us1" TargetMode="External"/><Relationship Id="rId14" Type="http://schemas.openxmlformats.org/officeDocument/2006/relationships/hyperlink" Target="https://www.youtube.com/watch?v=vy8K0-EiF5U"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A36446E5-8B9E-42E8-A36B-943EF2BFA68A}"/>
</file>

<file path=customXml/itemProps3.xml><?xml version="1.0" encoding="utf-8"?>
<ds:datastoreItem xmlns:ds="http://schemas.openxmlformats.org/officeDocument/2006/customXml" ds:itemID="{5365475C-4616-46DC-AC73-8DC522D31557}"/>
</file>

<file path=docProps/app.xml><?xml version="1.0" encoding="utf-8"?>
<Properties xmlns="http://schemas.openxmlformats.org/officeDocument/2006/extended-properties" xmlns:vt="http://schemas.openxmlformats.org/officeDocument/2006/docPropsVTypes">
  <Template>template with copyright + page number</Template>
  <TotalTime>16</TotalTime>
  <Pages>1</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4</cp:revision>
  <dcterms:created xsi:type="dcterms:W3CDTF">2020-07-16T19:49:00Z</dcterms:created>
  <dcterms:modified xsi:type="dcterms:W3CDTF">2020-07-16T20:07:00Z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