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7A142" w14:textId="6B85E53D" w:rsidR="005311FB" w:rsidRPr="00400A3F" w:rsidRDefault="00893468" w:rsidP="00F64E56">
      <w:pPr>
        <w:pStyle w:val="Title1sl"/>
        <w:pBdr>
          <w:bottom w:val="single" w:sz="12" w:space="1" w:color="auto"/>
        </w:pBdr>
        <w:rPr>
          <w:sz w:val="44"/>
          <w:szCs w:val="44"/>
        </w:rPr>
      </w:pPr>
      <w:r w:rsidRPr="00400A3F">
        <w:rPr>
          <w:i/>
          <w:iCs/>
          <w:sz w:val="44"/>
          <w:szCs w:val="44"/>
        </w:rPr>
        <w:t>Brown v. Board of Education</w:t>
      </w:r>
      <w:r w:rsidR="00400A3F" w:rsidRPr="00400A3F">
        <w:rPr>
          <w:i/>
          <w:iCs/>
          <w:sz w:val="44"/>
          <w:szCs w:val="44"/>
        </w:rPr>
        <w:t xml:space="preserve"> of Topeka</w:t>
      </w:r>
      <w:r w:rsidR="00DB4824" w:rsidRPr="00400A3F">
        <w:rPr>
          <w:i/>
          <w:iCs/>
          <w:sz w:val="44"/>
          <w:szCs w:val="44"/>
        </w:rPr>
        <w:t xml:space="preserve"> </w:t>
      </w:r>
      <w:r w:rsidR="00DB4824" w:rsidRPr="006F3D57">
        <w:rPr>
          <w:i/>
          <w:iCs/>
          <w:sz w:val="44"/>
          <w:szCs w:val="44"/>
        </w:rPr>
        <w:t>(</w:t>
      </w:r>
      <w:r w:rsidR="006F3D57" w:rsidRPr="006F3D57">
        <w:rPr>
          <w:i/>
          <w:iCs/>
          <w:sz w:val="44"/>
          <w:szCs w:val="44"/>
        </w:rPr>
        <w:t>I</w:t>
      </w:r>
      <w:r w:rsidR="00DB4824" w:rsidRPr="006F3D57">
        <w:rPr>
          <w:i/>
          <w:iCs/>
          <w:sz w:val="44"/>
          <w:szCs w:val="44"/>
        </w:rPr>
        <w:t>)</w:t>
      </w:r>
      <w:r w:rsidR="00F64E56" w:rsidRPr="00400A3F">
        <w:rPr>
          <w:sz w:val="44"/>
          <w:szCs w:val="44"/>
        </w:rPr>
        <w:t xml:space="preserve"> </w:t>
      </w:r>
      <w:r w:rsidR="00E34DAA" w:rsidRPr="00400A3F">
        <w:rPr>
          <w:sz w:val="44"/>
          <w:szCs w:val="44"/>
        </w:rPr>
        <w:t xml:space="preserve">/ </w:t>
      </w:r>
      <w:r w:rsidR="00242B26" w:rsidRPr="00400A3F">
        <w:rPr>
          <w:sz w:val="44"/>
          <w:szCs w:val="44"/>
        </w:rPr>
        <w:t xml:space="preserve">Excerpts from the </w:t>
      </w:r>
      <w:r w:rsidR="006368B5" w:rsidRPr="00400A3F">
        <w:rPr>
          <w:sz w:val="44"/>
          <w:szCs w:val="44"/>
        </w:rPr>
        <w:t xml:space="preserve">Unanimous </w:t>
      </w:r>
      <w:r w:rsidR="00E34DAA" w:rsidRPr="00400A3F">
        <w:rPr>
          <w:sz w:val="44"/>
          <w:szCs w:val="44"/>
        </w:rPr>
        <w:t>Opinion</w:t>
      </w:r>
    </w:p>
    <w:p w14:paraId="06E807F3" w14:textId="639B6CDA" w:rsidR="00242B26" w:rsidRPr="00782E25" w:rsidRDefault="00782E25" w:rsidP="00782E25">
      <w:pPr>
        <w:pStyle w:val="Subhead2sl"/>
        <w:spacing w:before="360"/>
      </w:pPr>
      <w:r w:rsidRPr="00782E25">
        <w:t xml:space="preserve">The following are excerpts from </w:t>
      </w:r>
      <w:r w:rsidR="00242B26" w:rsidRPr="00782E25">
        <w:t>Chief Justice Earl Warren</w:t>
      </w:r>
      <w:r w:rsidRPr="00782E25">
        <w:t xml:space="preserve">’s unanimous </w:t>
      </w:r>
      <w:r w:rsidR="00242B26" w:rsidRPr="00782E25">
        <w:t>opinion</w:t>
      </w:r>
      <w:r w:rsidRPr="00782E25">
        <w:t xml:space="preserve">: </w:t>
      </w:r>
    </w:p>
    <w:p w14:paraId="0E85B57F" w14:textId="158A4BA1" w:rsidR="00242B26" w:rsidRPr="00B76B78" w:rsidRDefault="00242B26" w:rsidP="00782E25">
      <w:pPr>
        <w:pStyle w:val="Basiccopysl"/>
      </w:pPr>
      <w:r w:rsidRPr="00B76B78">
        <w:t xml:space="preserve">Here </w:t>
      </w:r>
      <w:r w:rsidR="00782E25">
        <w:t>…</w:t>
      </w:r>
      <w:r w:rsidRPr="00B76B78">
        <w:t xml:space="preserve"> there are findings below that the Negro and white schools involved have been equalized, or are being equalized, with respect to buildings, curricula, qualifications, and salaries of teachers, and other </w:t>
      </w:r>
      <w:r w:rsidR="00782E25">
        <w:t>“</w:t>
      </w:r>
      <w:r w:rsidRPr="00B76B78">
        <w:t>tangible</w:t>
      </w:r>
      <w:r w:rsidR="00782E25">
        <w:t>”</w:t>
      </w:r>
      <w:r w:rsidRPr="00B76B78">
        <w:t xml:space="preserve"> factors. Our decision, therefore, cannot turn on merely a comparison of these tangible factors in the Negro and white schools involved in each of these cases. We must look instead to the effect of segregation itself on public education</w:t>
      </w:r>
      <w:r w:rsidR="00782E25">
        <w:t xml:space="preserve">. </w:t>
      </w:r>
    </w:p>
    <w:p w14:paraId="3A906FCD" w14:textId="60442706" w:rsidR="00242B26" w:rsidRPr="00B76B78" w:rsidRDefault="00242B26" w:rsidP="00782E25">
      <w:pPr>
        <w:pStyle w:val="Basiccopysl"/>
      </w:pPr>
      <w:r w:rsidRPr="00B76B78">
        <w:t>Today, education is perhaps the most important function of state and local governments. Compulsory school attendance laws and the great expenditures for education both demonstrate our recognition of the importance of education to our democratic society</w:t>
      </w:r>
      <w:r w:rsidR="00782E25">
        <w:t xml:space="preserve"> </w:t>
      </w:r>
      <w:proofErr w:type="gramStart"/>
      <w:r w:rsidR="00782E25">
        <w:t xml:space="preserve">… </w:t>
      </w:r>
      <w:r w:rsidRPr="00B76B78">
        <w:t>.</w:t>
      </w:r>
      <w:proofErr w:type="gramEnd"/>
      <w:r w:rsidRPr="00B76B78">
        <w:t xml:space="preserve"> Today it is a principal instrument in awakening the child to cultural values, in preparing him for later professional training, and in helping him to adjust normally to his environment. In these days, it is doubtful that any child may reasonably be expected to succeed in life if he is denied the opportunity of an education. Such an opportunity, where the state has undertaken to provide it, is a right which must be made available to all on equal terms</w:t>
      </w:r>
      <w:r w:rsidR="00782E25">
        <w:t xml:space="preserve">. </w:t>
      </w:r>
    </w:p>
    <w:p w14:paraId="521DDAD2" w14:textId="06C87AF3" w:rsidR="00242B26" w:rsidRPr="00B76B78" w:rsidRDefault="00242B26" w:rsidP="00782E25">
      <w:pPr>
        <w:pStyle w:val="Basiccopysl"/>
      </w:pPr>
      <w:r w:rsidRPr="00B76B78">
        <w:t>To separate them [children in grade and high schools] from others of similar age and qualifications solely because of their race generates a feeling of inferiority as to their status in the community that may affect their hearts and minds in a way unlikely to ever be undone</w:t>
      </w:r>
      <w:r w:rsidR="00782E25">
        <w:t xml:space="preserve"> </w:t>
      </w:r>
      <w:r w:rsidR="00782E25">
        <w:t xml:space="preserve">… </w:t>
      </w:r>
      <w:r w:rsidR="00782E25" w:rsidRPr="00B76B78">
        <w:t>.</w:t>
      </w:r>
      <w:r w:rsidRPr="00B76B78">
        <w:t xml:space="preserve"> Whatever may have been the extent of psychological knowledge at the time of </w:t>
      </w:r>
      <w:r w:rsidRPr="00B76B78">
        <w:rPr>
          <w:rStyle w:val="Emphasis"/>
          <w:color w:val="000000"/>
        </w:rPr>
        <w:t>Plessy v. Ferguson</w:t>
      </w:r>
      <w:r w:rsidRPr="00B76B78">
        <w:t>, this finding is amply supported by modern authority.</w:t>
      </w:r>
    </w:p>
    <w:p w14:paraId="5E6091D7" w14:textId="72A8F85B" w:rsidR="00242B26" w:rsidRPr="00B76B78" w:rsidRDefault="00242B26" w:rsidP="00782E25">
      <w:pPr>
        <w:pStyle w:val="Basiccopysl"/>
      </w:pPr>
      <w:r w:rsidRPr="00B76B78">
        <w:t xml:space="preserve">We conclude that in the field of public education the doctrine of </w:t>
      </w:r>
      <w:r w:rsidR="00782E25">
        <w:t>“</w:t>
      </w:r>
      <w:r w:rsidRPr="00B76B78">
        <w:t>separate but equal</w:t>
      </w:r>
      <w:r w:rsidR="00782E25">
        <w:t>”</w:t>
      </w:r>
      <w:r w:rsidRPr="00B76B78">
        <w:t xml:space="preserve"> has no place. Separate educational facilities are inherently unequal. Therefore, we hold that the plaintiffs and other similarly situated </w:t>
      </w:r>
      <w:r w:rsidR="00782E25">
        <w:t>…</w:t>
      </w:r>
      <w:r w:rsidRPr="00B76B78">
        <w:t xml:space="preserve"> are </w:t>
      </w:r>
      <w:r w:rsidR="00782E25">
        <w:t>…</w:t>
      </w:r>
      <w:r w:rsidRPr="00B76B78">
        <w:t xml:space="preserve"> deprived of the equal protection of the laws guaranteed by the 14</w:t>
      </w:r>
      <w:r w:rsidRPr="00782E25">
        <w:rPr>
          <w:vertAlign w:val="superscript"/>
        </w:rPr>
        <w:t>th</w:t>
      </w:r>
      <w:r w:rsidRPr="00B76B78">
        <w:t xml:space="preserve"> Amendment.</w:t>
      </w:r>
    </w:p>
    <w:p w14:paraId="39C7BFFF" w14:textId="77777777" w:rsidR="00242B26" w:rsidRPr="00B76B78" w:rsidRDefault="00242B26" w:rsidP="00782E25">
      <w:pPr>
        <w:pStyle w:val="Subhead3sl"/>
      </w:pPr>
      <w:r w:rsidRPr="00B76B78">
        <w:t>Notes on the Opinion</w:t>
      </w:r>
    </w:p>
    <w:p w14:paraId="009183C3" w14:textId="1FD39D1D" w:rsidR="00782E25" w:rsidRDefault="00242B26" w:rsidP="00782E25">
      <w:pPr>
        <w:pStyle w:val="NormalWeb"/>
        <w:spacing w:before="0" w:beforeAutospacing="0" w:after="300" w:afterAutospacing="0" w:line="300" w:lineRule="atLeast"/>
        <w:rPr>
          <w:rStyle w:val="Emphasis"/>
          <w:rFonts w:ascii="Garamond" w:hAnsi="Garamond"/>
          <w:color w:val="000000"/>
          <w:sz w:val="25"/>
          <w:szCs w:val="25"/>
        </w:rPr>
      </w:pPr>
      <w:r w:rsidRPr="00B76B78">
        <w:rPr>
          <w:rStyle w:val="Emphasis"/>
          <w:rFonts w:ascii="Garamond" w:hAnsi="Garamond"/>
          <w:color w:val="000000"/>
          <w:sz w:val="25"/>
          <w:szCs w:val="25"/>
        </w:rPr>
        <w:t>After the decision in </w:t>
      </w:r>
      <w:r w:rsidRPr="00B76B78">
        <w:rPr>
          <w:rFonts w:ascii="Garamond" w:hAnsi="Garamond"/>
          <w:color w:val="000000"/>
          <w:sz w:val="25"/>
          <w:szCs w:val="25"/>
        </w:rPr>
        <w:t>Brown </w:t>
      </w:r>
      <w:r w:rsidRPr="00B76B78">
        <w:rPr>
          <w:rStyle w:val="Emphasis"/>
          <w:rFonts w:ascii="Garamond" w:hAnsi="Garamond"/>
          <w:color w:val="000000"/>
          <w:sz w:val="25"/>
          <w:szCs w:val="25"/>
        </w:rPr>
        <w:t>was reached, the Court decided a companion case </w:t>
      </w:r>
      <w:r w:rsidRPr="00B76B78">
        <w:rPr>
          <w:rFonts w:ascii="Garamond" w:hAnsi="Garamond"/>
          <w:color w:val="000000"/>
          <w:sz w:val="25"/>
          <w:szCs w:val="25"/>
        </w:rPr>
        <w:t>Bolling v. Sharpe </w:t>
      </w:r>
      <w:r w:rsidRPr="00B76B78">
        <w:rPr>
          <w:rStyle w:val="Emphasis"/>
          <w:rFonts w:ascii="Garamond" w:hAnsi="Garamond"/>
          <w:color w:val="000000"/>
          <w:sz w:val="25"/>
          <w:szCs w:val="25"/>
        </w:rPr>
        <w:t>regarding the same issue of segregation in the District of Columbia. The Court notes first that although the 14</w:t>
      </w:r>
      <w:r w:rsidRPr="00782E25">
        <w:rPr>
          <w:rStyle w:val="Emphasis"/>
          <w:rFonts w:ascii="Garamond" w:hAnsi="Garamond"/>
          <w:color w:val="000000"/>
          <w:sz w:val="25"/>
          <w:szCs w:val="25"/>
          <w:vertAlign w:val="superscript"/>
        </w:rPr>
        <w:t>th</w:t>
      </w:r>
      <w:r w:rsidRPr="00B76B78">
        <w:rPr>
          <w:rStyle w:val="Emphasis"/>
          <w:rFonts w:ascii="Garamond" w:hAnsi="Garamond"/>
          <w:color w:val="000000"/>
          <w:sz w:val="25"/>
          <w:szCs w:val="25"/>
        </w:rPr>
        <w:t xml:space="preserve"> Amendment is only applicable to states, the Fifth Amendment is applicable to the District of Columbia. The Court then held that while the Fifth Amendment does not contain an equal protection clause it does contain a due process clause</w:t>
      </w:r>
      <w:r w:rsidR="00400A3F">
        <w:rPr>
          <w:rStyle w:val="Emphasis"/>
          <w:rFonts w:ascii="Garamond" w:hAnsi="Garamond"/>
          <w:color w:val="000000"/>
          <w:sz w:val="25"/>
          <w:szCs w:val="25"/>
        </w:rPr>
        <w:t xml:space="preserve">. Both </w:t>
      </w:r>
      <w:r w:rsidRPr="00B76B78">
        <w:rPr>
          <w:rStyle w:val="Emphasis"/>
          <w:rFonts w:ascii="Garamond" w:hAnsi="Garamond"/>
          <w:color w:val="000000"/>
          <w:sz w:val="25"/>
          <w:szCs w:val="25"/>
        </w:rPr>
        <w:t>concepts stem from the American ideal of fairness, and discrimination can be so unjustifiable it can be deemed violative of due process.</w:t>
      </w:r>
    </w:p>
    <w:p w14:paraId="6BE3692A" w14:textId="32DA6CED" w:rsidR="00242B26" w:rsidRPr="00B76B78" w:rsidRDefault="00242B26" w:rsidP="00782E25">
      <w:pPr>
        <w:pStyle w:val="Subhead1sl"/>
      </w:pPr>
      <w:r w:rsidRPr="00B76B78">
        <w:lastRenderedPageBreak/>
        <w:t>Questions to Consider</w:t>
      </w:r>
    </w:p>
    <w:p w14:paraId="0E465770" w14:textId="665CF0E2" w:rsidR="00242B26" w:rsidRPr="00B76B78" w:rsidRDefault="00242B26" w:rsidP="00782E25">
      <w:pPr>
        <w:pStyle w:val="Numberedlistwroomforanswerssl"/>
        <w:ind w:left="360"/>
      </w:pPr>
      <w:r w:rsidRPr="00B76B78">
        <w:t>In Chief Justice Warren</w:t>
      </w:r>
      <w:r w:rsidR="00782E25">
        <w:t>’</w:t>
      </w:r>
      <w:r w:rsidRPr="00B76B78">
        <w:t>s opinion, how valuable is education? Why?  </w:t>
      </w:r>
    </w:p>
    <w:p w14:paraId="3B951BCF" w14:textId="1029CA8D" w:rsidR="00242B26" w:rsidRPr="00B76B78" w:rsidRDefault="00242B26" w:rsidP="00782E25">
      <w:pPr>
        <w:pStyle w:val="Numberedlistwroomforanswerssl"/>
        <w:ind w:left="360"/>
      </w:pPr>
      <w:r w:rsidRPr="00B76B78">
        <w:t xml:space="preserve">What does the Court mean by the </w:t>
      </w:r>
      <w:r w:rsidR="00782E25">
        <w:t>“</w:t>
      </w:r>
      <w:r w:rsidRPr="00B76B78">
        <w:t>tangible</w:t>
      </w:r>
      <w:r w:rsidR="00782E25">
        <w:t>”</w:t>
      </w:r>
      <w:r w:rsidRPr="00B76B78">
        <w:t xml:space="preserve"> factors of equality? Are these tangible factors the only factors the Court considered when determining whether the 14</w:t>
      </w:r>
      <w:r w:rsidRPr="00782E25">
        <w:rPr>
          <w:vertAlign w:val="superscript"/>
        </w:rPr>
        <w:t>th</w:t>
      </w:r>
      <w:r w:rsidRPr="00B76B78">
        <w:t xml:space="preserve"> Amendment was violated? </w:t>
      </w:r>
    </w:p>
    <w:p w14:paraId="6258AFE9" w14:textId="30B70AB4" w:rsidR="00242B26" w:rsidRPr="00B76B78" w:rsidRDefault="00242B26" w:rsidP="00782E25">
      <w:pPr>
        <w:pStyle w:val="Numberedlistwroomforanswerssl"/>
        <w:ind w:left="360"/>
      </w:pPr>
      <w:r w:rsidRPr="00B76B78">
        <w:t xml:space="preserve">According to the Supreme Court of the United States, what </w:t>
      </w:r>
      <w:r w:rsidR="00782E25">
        <w:t>“</w:t>
      </w:r>
      <w:r w:rsidRPr="00B76B78">
        <w:t>intangible</w:t>
      </w:r>
      <w:r w:rsidR="00782E25">
        <w:t>”</w:t>
      </w:r>
      <w:r w:rsidRPr="00B76B78">
        <w:t xml:space="preserve"> factors play a role in whether school facilities are truly equal? </w:t>
      </w:r>
    </w:p>
    <w:p w14:paraId="46924704" w14:textId="77777777" w:rsidR="00242B26" w:rsidRPr="00B76B78" w:rsidRDefault="00242B26" w:rsidP="00782E25">
      <w:pPr>
        <w:pStyle w:val="Numberedlistwroomforanswerssl"/>
        <w:ind w:left="360"/>
      </w:pPr>
      <w:r w:rsidRPr="00B76B78">
        <w:t>Do you think that there are still consequences resulting from schools being segregated in the past?</w:t>
      </w:r>
    </w:p>
    <w:p w14:paraId="4A0D583B" w14:textId="429399AB" w:rsidR="00242B26" w:rsidRPr="00B76B78" w:rsidRDefault="00242B26" w:rsidP="00242B26">
      <w:pPr>
        <w:pStyle w:val="NormalWeb"/>
        <w:spacing w:before="0" w:beforeAutospacing="0" w:after="300" w:afterAutospacing="0" w:line="300" w:lineRule="atLeast"/>
        <w:rPr>
          <w:rFonts w:ascii="Garamond" w:hAnsi="Garamond"/>
          <w:caps/>
          <w:color w:val="FFFFFF"/>
          <w:sz w:val="25"/>
          <w:szCs w:val="25"/>
        </w:rPr>
      </w:pPr>
      <w:r w:rsidRPr="00B76B78">
        <w:rPr>
          <w:rFonts w:ascii="Garamond" w:hAnsi="Garamond"/>
          <w:color w:val="000000"/>
          <w:sz w:val="25"/>
          <w:szCs w:val="25"/>
        </w:rPr>
        <w:t> </w:t>
      </w:r>
    </w:p>
    <w:p w14:paraId="7CFEA2AD" w14:textId="77777777" w:rsidR="00242B26" w:rsidRDefault="00242B26" w:rsidP="00242B26">
      <w:pPr>
        <w:pStyle w:val="z-BottomofForm"/>
      </w:pPr>
      <w:r>
        <w:t>Bottom of Form</w:t>
      </w:r>
    </w:p>
    <w:p w14:paraId="019CDB14" w14:textId="40D430DA" w:rsidR="009445FA" w:rsidRPr="00B54D15" w:rsidRDefault="009445FA" w:rsidP="00242B26">
      <w:pPr>
        <w:pStyle w:val="NormalWeb"/>
        <w:shd w:val="clear" w:color="auto" w:fill="FFFFFF"/>
        <w:spacing w:before="0" w:beforeAutospacing="0" w:after="300" w:afterAutospacing="0" w:line="300" w:lineRule="atLeast"/>
        <w:rPr>
          <w:rFonts w:ascii="Garamond" w:hAnsi="Garamond"/>
        </w:rPr>
      </w:pPr>
    </w:p>
    <w:sectPr w:rsidR="009445FA" w:rsidRPr="00B54D15"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05CF2" w14:textId="77777777" w:rsidR="00E81FC8" w:rsidRDefault="00E81FC8" w:rsidP="0078549D">
      <w:pPr>
        <w:spacing w:after="0" w:line="240" w:lineRule="auto"/>
      </w:pPr>
      <w:r>
        <w:separator/>
      </w:r>
    </w:p>
  </w:endnote>
  <w:endnote w:type="continuationSeparator" w:id="0">
    <w:p w14:paraId="5D846CE4" w14:textId="77777777" w:rsidR="00E81FC8" w:rsidRDefault="00E81FC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62B86992"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782E25">
          <w:rPr>
            <w:rStyle w:val="BasiccopyslChar"/>
            <w:sz w:val="22"/>
            <w:szCs w:val="22"/>
          </w:rPr>
          <w:t xml:space="preserve"> 07/09/2020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92589" w14:textId="77777777" w:rsidR="00E81FC8" w:rsidRDefault="00E81FC8" w:rsidP="0078549D">
      <w:pPr>
        <w:spacing w:after="0" w:line="240" w:lineRule="auto"/>
      </w:pPr>
      <w:r>
        <w:separator/>
      </w:r>
    </w:p>
  </w:footnote>
  <w:footnote w:type="continuationSeparator" w:id="0">
    <w:p w14:paraId="4A3CF573" w14:textId="77777777" w:rsidR="00E81FC8" w:rsidRDefault="00E81FC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2606E66E" w:rsidR="00F64E56" w:rsidRPr="006F3D57" w:rsidRDefault="006F3D57" w:rsidP="006F3D57">
    <w:pPr>
      <w:pStyle w:val="Basiccopysl"/>
      <w:rPr>
        <w:sz w:val="22"/>
        <w:szCs w:val="22"/>
      </w:rPr>
    </w:pPr>
    <w:r w:rsidRPr="00987C93">
      <w:rPr>
        <w:sz w:val="22"/>
        <w:szCs w:val="22"/>
      </w:rPr>
      <w:t>LandmarkCases.org</w:t>
    </w:r>
    <w:r>
      <w:rPr>
        <w:sz w:val="22"/>
        <w:szCs w:val="22"/>
      </w:rPr>
      <w:t xml:space="preserve">               </w:t>
    </w:r>
    <w:r>
      <w:rPr>
        <w:i/>
        <w:iCs/>
        <w:sz w:val="22"/>
        <w:szCs w:val="22"/>
      </w:rPr>
      <w:t xml:space="preserve">Brown v. Board of Education of Topeka (I) </w:t>
    </w:r>
    <w:r w:rsidRPr="0096171F">
      <w:rPr>
        <w:sz w:val="22"/>
        <w:szCs w:val="22"/>
      </w:rPr>
      <w:t>/</w:t>
    </w:r>
    <w:r>
      <w:rPr>
        <w:sz w:val="22"/>
        <w:szCs w:val="22"/>
      </w:rPr>
      <w:t xml:space="preserve"> Excerpts from the Unanimous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51B9A402" w:rsidR="00987C93" w:rsidRPr="00987C93" w:rsidRDefault="00987C93" w:rsidP="00987C93">
    <w:pPr>
      <w:pStyle w:val="Basiccopysl"/>
      <w:rPr>
        <w:sz w:val="22"/>
        <w:szCs w:val="22"/>
      </w:rPr>
    </w:pPr>
    <w:r w:rsidRPr="00987C93">
      <w:rPr>
        <w:sz w:val="22"/>
        <w:szCs w:val="22"/>
      </w:rPr>
      <w:t>LandmarkCases.org</w:t>
    </w:r>
    <w:r w:rsidR="006F3D57">
      <w:rPr>
        <w:sz w:val="22"/>
        <w:szCs w:val="22"/>
      </w:rPr>
      <w:t xml:space="preserve">               </w:t>
    </w:r>
    <w:r w:rsidR="0096171F">
      <w:rPr>
        <w:i/>
        <w:iCs/>
        <w:sz w:val="22"/>
        <w:szCs w:val="22"/>
      </w:rPr>
      <w:t>Brown v. Board of Education</w:t>
    </w:r>
    <w:r w:rsidR="00782E25">
      <w:rPr>
        <w:i/>
        <w:iCs/>
        <w:sz w:val="22"/>
        <w:szCs w:val="22"/>
      </w:rPr>
      <w:t xml:space="preserve"> of Topeka</w:t>
    </w:r>
    <w:r w:rsidR="006F3D57">
      <w:rPr>
        <w:i/>
        <w:iCs/>
        <w:sz w:val="22"/>
        <w:szCs w:val="22"/>
      </w:rPr>
      <w:t xml:space="preserve"> (I)</w:t>
    </w:r>
    <w:r w:rsidR="00782E25">
      <w:rPr>
        <w:i/>
        <w:iCs/>
        <w:sz w:val="22"/>
        <w:szCs w:val="22"/>
      </w:rPr>
      <w:t xml:space="preserve"> </w:t>
    </w:r>
    <w:r w:rsidR="0096171F" w:rsidRPr="0096171F">
      <w:rPr>
        <w:sz w:val="22"/>
        <w:szCs w:val="22"/>
      </w:rPr>
      <w:t>/</w:t>
    </w:r>
    <w:r w:rsidR="00782E25">
      <w:rPr>
        <w:sz w:val="22"/>
        <w:szCs w:val="22"/>
      </w:rPr>
      <w:t xml:space="preserve"> Excerpts from</w:t>
    </w:r>
    <w:r w:rsidR="006F3D57">
      <w:rPr>
        <w:sz w:val="22"/>
        <w:szCs w:val="22"/>
      </w:rPr>
      <w:t xml:space="preserve"> the</w:t>
    </w:r>
    <w:r w:rsidR="00782E25">
      <w:rPr>
        <w:sz w:val="22"/>
        <w:szCs w:val="22"/>
      </w:rPr>
      <w:t xml:space="preserve"> Unanimous </w:t>
    </w:r>
    <w:r w:rsidR="00E34DAA">
      <w:rPr>
        <w:sz w:val="22"/>
        <w:szCs w:val="22"/>
      </w:rPr>
      <w:t>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65187"/>
    <w:multiLevelType w:val="multilevel"/>
    <w:tmpl w:val="FD36B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A3923"/>
    <w:multiLevelType w:val="hybridMultilevel"/>
    <w:tmpl w:val="59929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A4DBE"/>
    <w:multiLevelType w:val="hybridMultilevel"/>
    <w:tmpl w:val="6862E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7"/>
  </w:num>
  <w:num w:numId="6">
    <w:abstractNumId w:val="4"/>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2"/>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70B98"/>
    <w:rsid w:val="001B3E05"/>
    <w:rsid w:val="00207E2A"/>
    <w:rsid w:val="0021030F"/>
    <w:rsid w:val="00242B26"/>
    <w:rsid w:val="0025076D"/>
    <w:rsid w:val="00290061"/>
    <w:rsid w:val="002B4D38"/>
    <w:rsid w:val="002C68A3"/>
    <w:rsid w:val="002D2203"/>
    <w:rsid w:val="00317735"/>
    <w:rsid w:val="00375090"/>
    <w:rsid w:val="00396AEB"/>
    <w:rsid w:val="003C6F20"/>
    <w:rsid w:val="00400A3F"/>
    <w:rsid w:val="00400A63"/>
    <w:rsid w:val="004329FA"/>
    <w:rsid w:val="004632BE"/>
    <w:rsid w:val="004B560A"/>
    <w:rsid w:val="004B73F9"/>
    <w:rsid w:val="004E7457"/>
    <w:rsid w:val="004F77FB"/>
    <w:rsid w:val="005311FB"/>
    <w:rsid w:val="005A0330"/>
    <w:rsid w:val="005A4E3D"/>
    <w:rsid w:val="005D058C"/>
    <w:rsid w:val="005E7D9F"/>
    <w:rsid w:val="006135E5"/>
    <w:rsid w:val="006368B5"/>
    <w:rsid w:val="006C3E71"/>
    <w:rsid w:val="006E09C9"/>
    <w:rsid w:val="006E3717"/>
    <w:rsid w:val="006F3D57"/>
    <w:rsid w:val="00705362"/>
    <w:rsid w:val="00733BF4"/>
    <w:rsid w:val="00782E25"/>
    <w:rsid w:val="0078549D"/>
    <w:rsid w:val="007D2901"/>
    <w:rsid w:val="007F700D"/>
    <w:rsid w:val="00807F02"/>
    <w:rsid w:val="00815CB0"/>
    <w:rsid w:val="0081706F"/>
    <w:rsid w:val="00821646"/>
    <w:rsid w:val="00876D4C"/>
    <w:rsid w:val="00893468"/>
    <w:rsid w:val="009445FA"/>
    <w:rsid w:val="0096171F"/>
    <w:rsid w:val="00987C93"/>
    <w:rsid w:val="009C50F9"/>
    <w:rsid w:val="009D6B03"/>
    <w:rsid w:val="009E1A5F"/>
    <w:rsid w:val="00A740A5"/>
    <w:rsid w:val="00AE0C77"/>
    <w:rsid w:val="00B535F7"/>
    <w:rsid w:val="00B54D15"/>
    <w:rsid w:val="00B62487"/>
    <w:rsid w:val="00B76B78"/>
    <w:rsid w:val="00BB678E"/>
    <w:rsid w:val="00C05B0A"/>
    <w:rsid w:val="00C15DAC"/>
    <w:rsid w:val="00C87D80"/>
    <w:rsid w:val="00DB4824"/>
    <w:rsid w:val="00DD0131"/>
    <w:rsid w:val="00DE3D18"/>
    <w:rsid w:val="00E32A74"/>
    <w:rsid w:val="00E34DAA"/>
    <w:rsid w:val="00E3555A"/>
    <w:rsid w:val="00E64542"/>
    <w:rsid w:val="00E81FC8"/>
    <w:rsid w:val="00EA54F7"/>
    <w:rsid w:val="00EB20C0"/>
    <w:rsid w:val="00ED2EEA"/>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242B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07E2A"/>
    <w:pPr>
      <w:spacing w:after="160" w:line="259" w:lineRule="auto"/>
      <w:ind w:left="720"/>
      <w:contextualSpacing/>
    </w:pPr>
  </w:style>
  <w:style w:type="paragraph" w:styleId="NormalWeb">
    <w:name w:val="Normal (Web)"/>
    <w:basedOn w:val="Normal"/>
    <w:uiPriority w:val="99"/>
    <w:unhideWhenUsed/>
    <w:rsid w:val="00E32A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2A74"/>
    <w:rPr>
      <w:i/>
      <w:iCs/>
    </w:rPr>
  </w:style>
  <w:style w:type="character" w:styleId="UnresolvedMention">
    <w:name w:val="Unresolved Mention"/>
    <w:basedOn w:val="DefaultParagraphFont"/>
    <w:uiPriority w:val="99"/>
    <w:semiHidden/>
    <w:unhideWhenUsed/>
    <w:rsid w:val="00B54D15"/>
    <w:rPr>
      <w:color w:val="605E5C"/>
      <w:shd w:val="clear" w:color="auto" w:fill="E1DFDD"/>
    </w:rPr>
  </w:style>
  <w:style w:type="character" w:customStyle="1" w:styleId="Heading4Char">
    <w:name w:val="Heading 4 Char"/>
    <w:basedOn w:val="DefaultParagraphFont"/>
    <w:link w:val="Heading4"/>
    <w:uiPriority w:val="9"/>
    <w:rsid w:val="00242B26"/>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242B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2B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42B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2B2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133179">
      <w:bodyDiv w:val="1"/>
      <w:marLeft w:val="0"/>
      <w:marRight w:val="0"/>
      <w:marTop w:val="0"/>
      <w:marBottom w:val="0"/>
      <w:divBdr>
        <w:top w:val="none" w:sz="0" w:space="0" w:color="auto"/>
        <w:left w:val="none" w:sz="0" w:space="0" w:color="auto"/>
        <w:bottom w:val="none" w:sz="0" w:space="0" w:color="auto"/>
        <w:right w:val="none" w:sz="0" w:space="0" w:color="auto"/>
      </w:divBdr>
      <w:divsChild>
        <w:div w:id="505292723">
          <w:marLeft w:val="0"/>
          <w:marRight w:val="0"/>
          <w:marTop w:val="0"/>
          <w:marBottom w:val="0"/>
          <w:divBdr>
            <w:top w:val="none" w:sz="0" w:space="0" w:color="auto"/>
            <w:left w:val="none" w:sz="0" w:space="0" w:color="auto"/>
            <w:bottom w:val="none" w:sz="0" w:space="0" w:color="auto"/>
            <w:right w:val="none" w:sz="0" w:space="0" w:color="auto"/>
          </w:divBdr>
          <w:divsChild>
            <w:div w:id="827865843">
              <w:marLeft w:val="0"/>
              <w:marRight w:val="0"/>
              <w:marTop w:val="0"/>
              <w:marBottom w:val="0"/>
              <w:divBdr>
                <w:top w:val="none" w:sz="0" w:space="0" w:color="auto"/>
                <w:left w:val="none" w:sz="0" w:space="0" w:color="auto"/>
                <w:bottom w:val="none" w:sz="0" w:space="0" w:color="auto"/>
                <w:right w:val="none" w:sz="0" w:space="0" w:color="auto"/>
              </w:divBdr>
              <w:divsChild>
                <w:div w:id="1794865942">
                  <w:marLeft w:val="0"/>
                  <w:marRight w:val="0"/>
                  <w:marTop w:val="0"/>
                  <w:marBottom w:val="0"/>
                  <w:divBdr>
                    <w:top w:val="none" w:sz="0" w:space="0" w:color="auto"/>
                    <w:left w:val="none" w:sz="0" w:space="0" w:color="auto"/>
                    <w:bottom w:val="none" w:sz="0" w:space="0" w:color="auto"/>
                    <w:right w:val="none" w:sz="0" w:space="0" w:color="auto"/>
                  </w:divBdr>
                  <w:divsChild>
                    <w:div w:id="589433829">
                      <w:marLeft w:val="-225"/>
                      <w:marRight w:val="-225"/>
                      <w:marTop w:val="0"/>
                      <w:marBottom w:val="0"/>
                      <w:divBdr>
                        <w:top w:val="none" w:sz="0" w:space="0" w:color="auto"/>
                        <w:left w:val="none" w:sz="0" w:space="0" w:color="auto"/>
                        <w:bottom w:val="none" w:sz="0" w:space="0" w:color="auto"/>
                        <w:right w:val="none" w:sz="0" w:space="0" w:color="auto"/>
                      </w:divBdr>
                      <w:divsChild>
                        <w:div w:id="4473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4600">
              <w:marLeft w:val="0"/>
              <w:marRight w:val="0"/>
              <w:marTop w:val="0"/>
              <w:marBottom w:val="0"/>
              <w:divBdr>
                <w:top w:val="none" w:sz="0" w:space="0" w:color="auto"/>
                <w:left w:val="none" w:sz="0" w:space="0" w:color="auto"/>
                <w:bottom w:val="none" w:sz="0" w:space="0" w:color="auto"/>
                <w:right w:val="none" w:sz="0" w:space="0" w:color="auto"/>
              </w:divBdr>
              <w:divsChild>
                <w:div w:id="1156413669">
                  <w:marLeft w:val="-225"/>
                  <w:marRight w:val="-225"/>
                  <w:marTop w:val="0"/>
                  <w:marBottom w:val="0"/>
                  <w:divBdr>
                    <w:top w:val="none" w:sz="0" w:space="0" w:color="auto"/>
                    <w:left w:val="none" w:sz="0" w:space="0" w:color="auto"/>
                    <w:bottom w:val="none" w:sz="0" w:space="0" w:color="auto"/>
                    <w:right w:val="none" w:sz="0" w:space="0" w:color="auto"/>
                  </w:divBdr>
                  <w:divsChild>
                    <w:div w:id="570385610">
                      <w:marLeft w:val="0"/>
                      <w:marRight w:val="0"/>
                      <w:marTop w:val="0"/>
                      <w:marBottom w:val="375"/>
                      <w:divBdr>
                        <w:top w:val="none" w:sz="0" w:space="0" w:color="auto"/>
                        <w:left w:val="none" w:sz="0" w:space="0" w:color="auto"/>
                        <w:bottom w:val="none" w:sz="0" w:space="0" w:color="auto"/>
                        <w:right w:val="none" w:sz="0" w:space="0" w:color="auto"/>
                      </w:divBdr>
                      <w:divsChild>
                        <w:div w:id="430206995">
                          <w:marLeft w:val="0"/>
                          <w:marRight w:val="0"/>
                          <w:marTop w:val="525"/>
                          <w:marBottom w:val="0"/>
                          <w:divBdr>
                            <w:top w:val="none" w:sz="0" w:space="0" w:color="auto"/>
                            <w:left w:val="none" w:sz="0" w:space="0" w:color="auto"/>
                            <w:bottom w:val="none" w:sz="0" w:space="0" w:color="auto"/>
                            <w:right w:val="none" w:sz="0" w:space="0" w:color="auto"/>
                          </w:divBdr>
                        </w:div>
                      </w:divsChild>
                    </w:div>
                    <w:div w:id="546989659">
                      <w:marLeft w:val="0"/>
                      <w:marRight w:val="0"/>
                      <w:marTop w:val="0"/>
                      <w:marBottom w:val="375"/>
                      <w:divBdr>
                        <w:top w:val="none" w:sz="0" w:space="0" w:color="auto"/>
                        <w:left w:val="none" w:sz="0" w:space="0" w:color="auto"/>
                        <w:bottom w:val="none" w:sz="0" w:space="0" w:color="auto"/>
                        <w:right w:val="none" w:sz="0" w:space="0" w:color="auto"/>
                      </w:divBdr>
                      <w:divsChild>
                        <w:div w:id="940070739">
                          <w:marLeft w:val="-225"/>
                          <w:marRight w:val="-225"/>
                          <w:marTop w:val="0"/>
                          <w:marBottom w:val="0"/>
                          <w:divBdr>
                            <w:top w:val="none" w:sz="0" w:space="0" w:color="auto"/>
                            <w:left w:val="none" w:sz="0" w:space="0" w:color="auto"/>
                            <w:bottom w:val="none" w:sz="0" w:space="0" w:color="auto"/>
                            <w:right w:val="none" w:sz="0" w:space="0" w:color="auto"/>
                          </w:divBdr>
                          <w:divsChild>
                            <w:div w:id="1019426111">
                              <w:marLeft w:val="0"/>
                              <w:marRight w:val="0"/>
                              <w:marTop w:val="0"/>
                              <w:marBottom w:val="375"/>
                              <w:divBdr>
                                <w:top w:val="none" w:sz="0" w:space="0" w:color="auto"/>
                                <w:left w:val="none" w:sz="0" w:space="0" w:color="auto"/>
                                <w:bottom w:val="none" w:sz="0" w:space="0" w:color="auto"/>
                                <w:right w:val="none" w:sz="0" w:space="0" w:color="auto"/>
                              </w:divBdr>
                            </w:div>
                          </w:divsChild>
                        </w:div>
                        <w:div w:id="155531976">
                          <w:marLeft w:val="-225"/>
                          <w:marRight w:val="-225"/>
                          <w:marTop w:val="0"/>
                          <w:marBottom w:val="0"/>
                          <w:divBdr>
                            <w:top w:val="none" w:sz="0" w:space="0" w:color="auto"/>
                            <w:left w:val="none" w:sz="0" w:space="0" w:color="auto"/>
                            <w:bottom w:val="none" w:sz="0" w:space="0" w:color="auto"/>
                            <w:right w:val="none" w:sz="0" w:space="0" w:color="auto"/>
                          </w:divBdr>
                          <w:divsChild>
                            <w:div w:id="198709136">
                              <w:marLeft w:val="0"/>
                              <w:marRight w:val="0"/>
                              <w:marTop w:val="0"/>
                              <w:marBottom w:val="375"/>
                              <w:divBdr>
                                <w:top w:val="none" w:sz="0" w:space="0" w:color="auto"/>
                                <w:left w:val="none" w:sz="0" w:space="0" w:color="auto"/>
                                <w:bottom w:val="none" w:sz="0" w:space="0" w:color="auto"/>
                                <w:right w:val="none" w:sz="0" w:space="0" w:color="auto"/>
                              </w:divBdr>
                              <w:divsChild>
                                <w:div w:id="8299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962077">
              <w:marLeft w:val="0"/>
              <w:marRight w:val="0"/>
              <w:marTop w:val="0"/>
              <w:marBottom w:val="0"/>
              <w:divBdr>
                <w:top w:val="single" w:sz="2" w:space="11" w:color="060606"/>
                <w:left w:val="none" w:sz="0" w:space="0" w:color="auto"/>
                <w:bottom w:val="none" w:sz="0" w:space="0" w:color="auto"/>
                <w:right w:val="none" w:sz="0" w:space="0" w:color="auto"/>
              </w:divBdr>
              <w:divsChild>
                <w:div w:id="733821007">
                  <w:marLeft w:val="0"/>
                  <w:marRight w:val="0"/>
                  <w:marTop w:val="0"/>
                  <w:marBottom w:val="0"/>
                  <w:divBdr>
                    <w:top w:val="none" w:sz="0" w:space="0" w:color="auto"/>
                    <w:left w:val="none" w:sz="0" w:space="0" w:color="auto"/>
                    <w:bottom w:val="none" w:sz="0" w:space="0" w:color="auto"/>
                    <w:right w:val="none" w:sz="0" w:space="0" w:color="auto"/>
                  </w:divBdr>
                  <w:divsChild>
                    <w:div w:id="1447890646">
                      <w:marLeft w:val="-225"/>
                      <w:marRight w:val="-225"/>
                      <w:marTop w:val="0"/>
                      <w:marBottom w:val="0"/>
                      <w:divBdr>
                        <w:top w:val="none" w:sz="0" w:space="0" w:color="auto"/>
                        <w:left w:val="none" w:sz="0" w:space="0" w:color="auto"/>
                        <w:bottom w:val="none" w:sz="0" w:space="0" w:color="auto"/>
                        <w:right w:val="none" w:sz="0" w:space="0" w:color="auto"/>
                      </w:divBdr>
                      <w:divsChild>
                        <w:div w:id="1562400826">
                          <w:marLeft w:val="0"/>
                          <w:marRight w:val="0"/>
                          <w:marTop w:val="0"/>
                          <w:marBottom w:val="375"/>
                          <w:divBdr>
                            <w:top w:val="none" w:sz="0" w:space="0" w:color="auto"/>
                            <w:left w:val="none" w:sz="0" w:space="0" w:color="auto"/>
                            <w:bottom w:val="none" w:sz="0" w:space="0" w:color="auto"/>
                            <w:right w:val="none" w:sz="0" w:space="0" w:color="auto"/>
                          </w:divBdr>
                        </w:div>
                        <w:div w:id="119492052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39454201-B450-461D-898A-6B16FA6444E0}"/>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LMC student handout styles</Template>
  <TotalTime>2</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3</cp:revision>
  <dcterms:created xsi:type="dcterms:W3CDTF">2020-07-09T16:16:00Z</dcterms:created>
  <dcterms:modified xsi:type="dcterms:W3CDTF">2020-07-09T16:22:00Z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