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17A142" w14:textId="682CD87C" w:rsidR="005311FB" w:rsidRPr="00400A3F" w:rsidRDefault="00893468" w:rsidP="00F64E56">
      <w:pPr>
        <w:pStyle w:val="Title1sl"/>
        <w:pBdr>
          <w:bottom w:val="single" w:sz="12" w:space="1" w:color="auto"/>
        </w:pBdr>
        <w:rPr>
          <w:sz w:val="44"/>
          <w:szCs w:val="44"/>
        </w:rPr>
      </w:pPr>
      <w:r w:rsidRPr="00400A3F">
        <w:rPr>
          <w:i/>
          <w:iCs/>
          <w:sz w:val="44"/>
          <w:szCs w:val="44"/>
        </w:rPr>
        <w:t>Brown v. Board of Education</w:t>
      </w:r>
      <w:r w:rsidR="00400A3F" w:rsidRPr="00400A3F">
        <w:rPr>
          <w:i/>
          <w:iCs/>
          <w:sz w:val="44"/>
          <w:szCs w:val="44"/>
        </w:rPr>
        <w:t xml:space="preserve"> of Topeka</w:t>
      </w:r>
      <w:r w:rsidR="00DB4824" w:rsidRPr="00400A3F">
        <w:rPr>
          <w:i/>
          <w:iCs/>
          <w:sz w:val="44"/>
          <w:szCs w:val="44"/>
        </w:rPr>
        <w:t xml:space="preserve"> </w:t>
      </w:r>
      <w:r w:rsidR="00DB4824" w:rsidRPr="006F3D57">
        <w:rPr>
          <w:i/>
          <w:iCs/>
          <w:sz w:val="44"/>
          <w:szCs w:val="44"/>
        </w:rPr>
        <w:t>(</w:t>
      </w:r>
      <w:r w:rsidR="006F3D57" w:rsidRPr="006F3D57">
        <w:rPr>
          <w:i/>
          <w:iCs/>
          <w:sz w:val="44"/>
          <w:szCs w:val="44"/>
        </w:rPr>
        <w:t>I</w:t>
      </w:r>
      <w:r w:rsidR="00DB4824" w:rsidRPr="006F3D57">
        <w:rPr>
          <w:i/>
          <w:iCs/>
          <w:sz w:val="44"/>
          <w:szCs w:val="44"/>
        </w:rPr>
        <w:t>)</w:t>
      </w:r>
      <w:r w:rsidR="00F64E56" w:rsidRPr="00400A3F">
        <w:rPr>
          <w:sz w:val="44"/>
          <w:szCs w:val="44"/>
        </w:rPr>
        <w:t xml:space="preserve"> </w:t>
      </w:r>
      <w:r w:rsidR="00E34DAA" w:rsidRPr="00400A3F">
        <w:rPr>
          <w:sz w:val="44"/>
          <w:szCs w:val="44"/>
        </w:rPr>
        <w:t xml:space="preserve">/ </w:t>
      </w:r>
      <w:r w:rsidR="00BF69AD">
        <w:rPr>
          <w:sz w:val="44"/>
          <w:szCs w:val="44"/>
        </w:rPr>
        <w:t>Summary of Decision</w:t>
      </w:r>
    </w:p>
    <w:p w14:paraId="128BD77E" w14:textId="7B535BB4" w:rsidR="00BF69AD" w:rsidRPr="001226F3" w:rsidRDefault="00BF69AD" w:rsidP="00BF69AD">
      <w:pPr>
        <w:pStyle w:val="Basiccopysl"/>
        <w:rPr>
          <w:sz w:val="24"/>
          <w:szCs w:val="24"/>
        </w:rPr>
      </w:pPr>
      <w:r w:rsidRPr="001226F3">
        <w:rPr>
          <w:sz w:val="24"/>
          <w:szCs w:val="24"/>
        </w:rPr>
        <w:t xml:space="preserve">In a unanimous decision, the Supreme Court ruled in favor of </w:t>
      </w:r>
      <w:r w:rsidR="00341ECD" w:rsidRPr="001226F3">
        <w:rPr>
          <w:sz w:val="24"/>
          <w:szCs w:val="24"/>
        </w:rPr>
        <w:t xml:space="preserve">the </w:t>
      </w:r>
      <w:r w:rsidRPr="001226F3">
        <w:rPr>
          <w:sz w:val="24"/>
          <w:szCs w:val="24"/>
        </w:rPr>
        <w:t>Brown</w:t>
      </w:r>
      <w:r w:rsidR="00341ECD" w:rsidRPr="001226F3">
        <w:rPr>
          <w:sz w:val="24"/>
          <w:szCs w:val="24"/>
        </w:rPr>
        <w:t>s</w:t>
      </w:r>
      <w:r w:rsidRPr="001226F3">
        <w:rPr>
          <w:sz w:val="24"/>
          <w:szCs w:val="24"/>
        </w:rPr>
        <w:t>. The Court found the practice of segregation in public schools unconstitutional and refused to apply its decision in </w:t>
      </w:r>
      <w:r w:rsidRPr="001226F3">
        <w:rPr>
          <w:rStyle w:val="Emphasis"/>
          <w:color w:val="000000"/>
          <w:sz w:val="24"/>
          <w:szCs w:val="24"/>
        </w:rPr>
        <w:t>Plessy v. Ferguson </w:t>
      </w:r>
      <w:r w:rsidRPr="001226F3">
        <w:rPr>
          <w:sz w:val="24"/>
          <w:szCs w:val="24"/>
        </w:rPr>
        <w:t xml:space="preserve">to “the field of public education.” Chief Justice Earl Warren wrote the opinion for the </w:t>
      </w:r>
      <w:r w:rsidR="001226F3" w:rsidRPr="001226F3">
        <w:rPr>
          <w:sz w:val="24"/>
          <w:szCs w:val="24"/>
        </w:rPr>
        <w:t xml:space="preserve">unanimous </w:t>
      </w:r>
      <w:r w:rsidRPr="001226F3">
        <w:rPr>
          <w:sz w:val="24"/>
          <w:szCs w:val="24"/>
        </w:rPr>
        <w:t>Court. </w:t>
      </w:r>
    </w:p>
    <w:p w14:paraId="19D6AED4" w14:textId="77777777" w:rsidR="00BF69AD" w:rsidRPr="001226F3" w:rsidRDefault="00BF69AD" w:rsidP="00BF69AD">
      <w:pPr>
        <w:pStyle w:val="Basiccopysl"/>
        <w:rPr>
          <w:sz w:val="24"/>
          <w:szCs w:val="24"/>
        </w:rPr>
      </w:pPr>
      <w:r w:rsidRPr="001226F3">
        <w:rPr>
          <w:sz w:val="24"/>
          <w:szCs w:val="24"/>
        </w:rPr>
        <w:t>The Court noted that public education was central to American life. They acknowledged that public education was necessary to prepare children for their future professions and to enable them to participate in the democratic process. In their own words, public education was also “a principal instrument in awakening the child to cultural values” present in their communities. The justices found it very unlikely that a child would be able to succeed in life without a good education. Access to such an education was thus “a right which must be made available to all on equal terms.”</w:t>
      </w:r>
    </w:p>
    <w:p w14:paraId="5BFDBB61" w14:textId="77777777" w:rsidR="00BF69AD" w:rsidRPr="001226F3" w:rsidRDefault="00BF69AD" w:rsidP="00BF69AD">
      <w:pPr>
        <w:pStyle w:val="Basiccopysl"/>
        <w:rPr>
          <w:sz w:val="24"/>
          <w:szCs w:val="24"/>
        </w:rPr>
      </w:pPr>
      <w:r w:rsidRPr="001226F3">
        <w:rPr>
          <w:sz w:val="24"/>
          <w:szCs w:val="24"/>
        </w:rPr>
        <w:t>The justices then assessed the equality of the facilities that the Board of Education of Topeka provided for the education of Black children against those provided for White children. Ruling that they were substantially equal in “tangible factors” that could be measured easily (such as “buildings, curricula, and qualifications and salaries of teachers”), they concluded that the Court must examine the subtle effects of segregation on public education.</w:t>
      </w:r>
    </w:p>
    <w:p w14:paraId="300A5334" w14:textId="60ECF884" w:rsidR="00BF69AD" w:rsidRPr="001226F3" w:rsidRDefault="00BF69AD" w:rsidP="00BF69AD">
      <w:pPr>
        <w:pStyle w:val="Basiccopysl"/>
        <w:rPr>
          <w:sz w:val="24"/>
          <w:szCs w:val="24"/>
        </w:rPr>
      </w:pPr>
      <w:r w:rsidRPr="001226F3">
        <w:rPr>
          <w:sz w:val="24"/>
          <w:szCs w:val="24"/>
        </w:rPr>
        <w:t>Changing from the Court’s earlier reasoning in </w:t>
      </w:r>
      <w:r w:rsidRPr="001226F3">
        <w:rPr>
          <w:rStyle w:val="Emphasis"/>
          <w:color w:val="000000"/>
          <w:sz w:val="24"/>
          <w:szCs w:val="24"/>
        </w:rPr>
        <w:t>Plessy</w:t>
      </w:r>
      <w:r w:rsidRPr="001226F3">
        <w:rPr>
          <w:sz w:val="24"/>
          <w:szCs w:val="24"/>
        </w:rPr>
        <w:t>, the justices now argued that separating children only on the basis of race created a feeling of inferiority in African American children. Segregating children in public education perpetuated the idea that Black children held a lower status in the community than White children, even if their separate educational facilities were substantially equal. This feeling of inferiority reduced their desire to learn and achieve and had “a tendency to retard their educational and mental development and to deprive them of some of the benefits they would receive in a racially integrated school system.” Concluding that separate education facilities are unequal, the Supreme Court ruled that segregation in public education denied African American children the equal protection of the laws guaranteed by the 14</w:t>
      </w:r>
      <w:r w:rsidRPr="001226F3">
        <w:rPr>
          <w:sz w:val="24"/>
          <w:szCs w:val="24"/>
          <w:vertAlign w:val="superscript"/>
        </w:rPr>
        <w:t>th</w:t>
      </w:r>
      <w:r w:rsidRPr="001226F3">
        <w:rPr>
          <w:sz w:val="24"/>
          <w:szCs w:val="24"/>
        </w:rPr>
        <w:t xml:space="preserve"> Amendment.</w:t>
      </w:r>
    </w:p>
    <w:p w14:paraId="4A0D583B" w14:textId="2253ADC0" w:rsidR="00242B26" w:rsidRPr="00B76B78" w:rsidRDefault="00BF69AD" w:rsidP="001226F3">
      <w:pPr>
        <w:pStyle w:val="Basiccopysl"/>
        <w:rPr>
          <w:caps/>
          <w:color w:val="FFFFFF"/>
        </w:rPr>
      </w:pPr>
      <w:r w:rsidRPr="001226F3">
        <w:rPr>
          <w:sz w:val="24"/>
          <w:szCs w:val="24"/>
        </w:rPr>
        <w:t>One year later, the Court addressed how its decision would be implemented in a case known as </w:t>
      </w:r>
      <w:r w:rsidRPr="001226F3">
        <w:rPr>
          <w:rStyle w:val="Emphasis"/>
          <w:color w:val="000000"/>
          <w:sz w:val="24"/>
          <w:szCs w:val="24"/>
        </w:rPr>
        <w:t xml:space="preserve">Brown v. Board of Education </w:t>
      </w:r>
      <w:r w:rsidR="00341ECD" w:rsidRPr="001226F3">
        <w:rPr>
          <w:rStyle w:val="Emphasis"/>
          <w:color w:val="000000"/>
          <w:sz w:val="24"/>
          <w:szCs w:val="24"/>
        </w:rPr>
        <w:t xml:space="preserve">of Topeka </w:t>
      </w:r>
      <w:r w:rsidR="001226F3">
        <w:rPr>
          <w:rStyle w:val="Emphasis"/>
          <w:color w:val="000000"/>
          <w:sz w:val="24"/>
          <w:szCs w:val="24"/>
        </w:rPr>
        <w:t>(</w:t>
      </w:r>
      <w:r w:rsidRPr="001226F3">
        <w:rPr>
          <w:rStyle w:val="Emphasis"/>
          <w:color w:val="000000"/>
          <w:sz w:val="24"/>
          <w:szCs w:val="24"/>
        </w:rPr>
        <w:t>II</w:t>
      </w:r>
      <w:r w:rsidR="001226F3">
        <w:rPr>
          <w:rStyle w:val="Emphasis"/>
          <w:color w:val="000000"/>
          <w:sz w:val="24"/>
          <w:szCs w:val="24"/>
        </w:rPr>
        <w:t>)</w:t>
      </w:r>
      <w:r w:rsidRPr="001226F3">
        <w:rPr>
          <w:sz w:val="24"/>
          <w:szCs w:val="24"/>
        </w:rPr>
        <w:t xml:space="preserve">. Chief Justice Warren once again wrote an opinion for the unanimous </w:t>
      </w:r>
      <w:r w:rsidR="001226F3" w:rsidRPr="001226F3">
        <w:rPr>
          <w:sz w:val="24"/>
          <w:szCs w:val="24"/>
        </w:rPr>
        <w:t>C</w:t>
      </w:r>
      <w:r w:rsidRPr="001226F3">
        <w:rPr>
          <w:sz w:val="24"/>
          <w:szCs w:val="24"/>
        </w:rPr>
        <w:t>ourt. The Court acknowledged that desegregating public schools would take place in various ways, depending on the unique problems faced by individual school districts. After charging local school authorities with the responsibility for solving these problems, the Court instructed federal trial courts to oversee the process and determine whether local authorities were desegregating schools in good faith. They mandated that desegregation take place with “with all deliberate speed.”</w:t>
      </w:r>
    </w:p>
    <w:p w14:paraId="7CFEA2AD" w14:textId="77777777" w:rsidR="00242B26" w:rsidRDefault="00242B26" w:rsidP="00242B26">
      <w:pPr>
        <w:pStyle w:val="z-BottomofForm"/>
      </w:pPr>
      <w:r>
        <w:t>Bottom of Form</w:t>
      </w:r>
    </w:p>
    <w:p w14:paraId="019CDB14" w14:textId="40D430DA" w:rsidR="009445FA" w:rsidRPr="00B54D15" w:rsidRDefault="009445FA" w:rsidP="00242B26">
      <w:pPr>
        <w:pStyle w:val="NormalWeb"/>
        <w:shd w:val="clear" w:color="auto" w:fill="FFFFFF"/>
        <w:spacing w:before="0" w:beforeAutospacing="0" w:after="300" w:afterAutospacing="0" w:line="300" w:lineRule="atLeast"/>
        <w:rPr>
          <w:rFonts w:ascii="Garamond" w:hAnsi="Garamond"/>
        </w:rPr>
      </w:pPr>
    </w:p>
    <w:sectPr w:rsidR="009445FA" w:rsidRPr="00B54D15" w:rsidSect="00987C9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74596A" w14:textId="77777777" w:rsidR="00F14CA2" w:rsidRDefault="00F14CA2" w:rsidP="0078549D">
      <w:pPr>
        <w:spacing w:after="0" w:line="240" w:lineRule="auto"/>
      </w:pPr>
      <w:r>
        <w:separator/>
      </w:r>
    </w:p>
  </w:endnote>
  <w:endnote w:type="continuationSeparator" w:id="0">
    <w:p w14:paraId="1151253F" w14:textId="77777777" w:rsidR="00F14CA2" w:rsidRDefault="00F14CA2"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3ADE0CFC" w14:textId="77777777"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1A195194" w14:textId="62B86992"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w:t>
        </w:r>
        <w:r w:rsidR="00782E25">
          <w:rPr>
            <w:rStyle w:val="BasiccopyslChar"/>
            <w:sz w:val="22"/>
            <w:szCs w:val="22"/>
          </w:rPr>
          <w:t xml:space="preserve"> 07/09/2020</w:t>
        </w:r>
        <w:r w:rsidRPr="00987C93">
          <w:rPr>
            <w:rStyle w:val="BasiccopyslChar"/>
            <w:sz w:val="22"/>
            <w:szCs w:val="2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4BBC37" w14:textId="77777777" w:rsidR="00F14CA2" w:rsidRDefault="00F14CA2" w:rsidP="0078549D">
      <w:pPr>
        <w:spacing w:after="0" w:line="240" w:lineRule="auto"/>
      </w:pPr>
      <w:r>
        <w:separator/>
      </w:r>
    </w:p>
  </w:footnote>
  <w:footnote w:type="continuationSeparator" w:id="0">
    <w:p w14:paraId="62546E8A" w14:textId="77777777" w:rsidR="00F14CA2" w:rsidRDefault="00F14CA2"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F267D" w14:textId="7CAD5E3A" w:rsidR="00F64E56" w:rsidRPr="00BF69AD" w:rsidRDefault="00BF69AD" w:rsidP="00BF69AD">
    <w:pPr>
      <w:pStyle w:val="Basiccopysl"/>
    </w:pPr>
    <w:r w:rsidRPr="00987C93">
      <w:rPr>
        <w:sz w:val="22"/>
        <w:szCs w:val="22"/>
      </w:rPr>
      <w:t>LandmarkCases.org</w:t>
    </w:r>
    <w:r>
      <w:rPr>
        <w:sz w:val="22"/>
        <w:szCs w:val="22"/>
      </w:rPr>
      <w:t xml:space="preserve">               </w:t>
    </w:r>
    <w:r>
      <w:rPr>
        <w:sz w:val="22"/>
        <w:szCs w:val="22"/>
      </w:rPr>
      <w:tab/>
    </w:r>
    <w:r>
      <w:rPr>
        <w:sz w:val="22"/>
        <w:szCs w:val="22"/>
      </w:rPr>
      <w:tab/>
      <w:t xml:space="preserve">        </w:t>
    </w:r>
    <w:r>
      <w:rPr>
        <w:i/>
        <w:iCs/>
        <w:sz w:val="22"/>
        <w:szCs w:val="22"/>
      </w:rPr>
      <w:t xml:space="preserve">Brown v. Board of Education of Topeka (I) </w:t>
    </w:r>
    <w:r w:rsidRPr="0096171F">
      <w:rPr>
        <w:sz w:val="22"/>
        <w:szCs w:val="22"/>
      </w:rPr>
      <w:t>/</w:t>
    </w:r>
    <w:r>
      <w:rPr>
        <w:sz w:val="22"/>
        <w:szCs w:val="22"/>
      </w:rPr>
      <w:t xml:space="preserve"> Summary of Decision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18760" w14:textId="5A68B980" w:rsidR="00987C93" w:rsidRPr="00987C93" w:rsidRDefault="00987C93" w:rsidP="00987C93">
    <w:pPr>
      <w:pStyle w:val="Basiccopysl"/>
      <w:rPr>
        <w:sz w:val="22"/>
        <w:szCs w:val="22"/>
      </w:rPr>
    </w:pPr>
    <w:r w:rsidRPr="00987C93">
      <w:rPr>
        <w:sz w:val="22"/>
        <w:szCs w:val="22"/>
      </w:rPr>
      <w:t>LandmarkCases.org</w:t>
    </w:r>
    <w:r w:rsidR="006F3D57">
      <w:rPr>
        <w:sz w:val="22"/>
        <w:szCs w:val="22"/>
      </w:rPr>
      <w:t xml:space="preserve">               </w:t>
    </w:r>
    <w:r w:rsidR="00BF69AD">
      <w:rPr>
        <w:sz w:val="22"/>
        <w:szCs w:val="22"/>
      </w:rPr>
      <w:tab/>
    </w:r>
    <w:r w:rsidR="00BF69AD">
      <w:rPr>
        <w:sz w:val="22"/>
        <w:szCs w:val="22"/>
      </w:rPr>
      <w:tab/>
      <w:t xml:space="preserve">        </w:t>
    </w:r>
    <w:r w:rsidR="0096171F">
      <w:rPr>
        <w:i/>
        <w:iCs/>
        <w:sz w:val="22"/>
        <w:szCs w:val="22"/>
      </w:rPr>
      <w:t>Brown v. Board of Education</w:t>
    </w:r>
    <w:r w:rsidR="00782E25">
      <w:rPr>
        <w:i/>
        <w:iCs/>
        <w:sz w:val="22"/>
        <w:szCs w:val="22"/>
      </w:rPr>
      <w:t xml:space="preserve"> of Topeka</w:t>
    </w:r>
    <w:r w:rsidR="006F3D57">
      <w:rPr>
        <w:i/>
        <w:iCs/>
        <w:sz w:val="22"/>
        <w:szCs w:val="22"/>
      </w:rPr>
      <w:t xml:space="preserve"> (I)</w:t>
    </w:r>
    <w:r w:rsidR="00782E25">
      <w:rPr>
        <w:i/>
        <w:iCs/>
        <w:sz w:val="22"/>
        <w:szCs w:val="22"/>
      </w:rPr>
      <w:t xml:space="preserve"> </w:t>
    </w:r>
    <w:r w:rsidR="0096171F" w:rsidRPr="0096171F">
      <w:rPr>
        <w:sz w:val="22"/>
        <w:szCs w:val="22"/>
      </w:rPr>
      <w:t>/</w:t>
    </w:r>
    <w:r w:rsidR="00782E25">
      <w:rPr>
        <w:sz w:val="22"/>
        <w:szCs w:val="22"/>
      </w:rPr>
      <w:t xml:space="preserve"> </w:t>
    </w:r>
    <w:r w:rsidR="00BF69AD">
      <w:rPr>
        <w:sz w:val="22"/>
        <w:szCs w:val="22"/>
      </w:rPr>
      <w:t>Summary of Decision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65187"/>
    <w:multiLevelType w:val="multilevel"/>
    <w:tmpl w:val="FD36B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8A3923"/>
    <w:multiLevelType w:val="hybridMultilevel"/>
    <w:tmpl w:val="59929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DA4DBE"/>
    <w:multiLevelType w:val="hybridMultilevel"/>
    <w:tmpl w:val="6862E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7"/>
  </w:num>
  <w:num w:numId="6">
    <w:abstractNumId w:val="4"/>
  </w:num>
  <w:num w:numId="7">
    <w:abstractNumId w:val="7"/>
    <w:lvlOverride w:ilvl="0">
      <w:startOverride w:val="1"/>
    </w:lvlOverride>
  </w:num>
  <w:num w:numId="8">
    <w:abstractNumId w:val="7"/>
    <w:lvlOverride w:ilvl="0">
      <w:startOverride w:val="1"/>
    </w:lvlOverride>
  </w:num>
  <w:num w:numId="9">
    <w:abstractNumId w:val="7"/>
    <w:lvlOverride w:ilvl="0">
      <w:startOverride w:val="1"/>
    </w:lvlOverride>
  </w:num>
  <w:num w:numId="10">
    <w:abstractNumId w:val="7"/>
    <w:lvlOverride w:ilvl="0">
      <w:startOverride w:val="1"/>
    </w:lvlOverride>
  </w:num>
  <w:num w:numId="11">
    <w:abstractNumId w:val="2"/>
  </w:num>
  <w:num w:numId="12">
    <w:abstractNumId w:val="9"/>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58C"/>
    <w:rsid w:val="000356BB"/>
    <w:rsid w:val="000E239D"/>
    <w:rsid w:val="000E363F"/>
    <w:rsid w:val="001056C3"/>
    <w:rsid w:val="001226F3"/>
    <w:rsid w:val="00170B98"/>
    <w:rsid w:val="001B3E05"/>
    <w:rsid w:val="00207E2A"/>
    <w:rsid w:val="0021030F"/>
    <w:rsid w:val="00242B26"/>
    <w:rsid w:val="0025076D"/>
    <w:rsid w:val="00290061"/>
    <w:rsid w:val="002B4D38"/>
    <w:rsid w:val="002C68A3"/>
    <w:rsid w:val="002D2203"/>
    <w:rsid w:val="00317735"/>
    <w:rsid w:val="00341ECD"/>
    <w:rsid w:val="00375090"/>
    <w:rsid w:val="00396AEB"/>
    <w:rsid w:val="003C6F20"/>
    <w:rsid w:val="00400A3F"/>
    <w:rsid w:val="00400A63"/>
    <w:rsid w:val="004329FA"/>
    <w:rsid w:val="004632BE"/>
    <w:rsid w:val="004B560A"/>
    <w:rsid w:val="004B73F9"/>
    <w:rsid w:val="004E7457"/>
    <w:rsid w:val="004F77FB"/>
    <w:rsid w:val="005311FB"/>
    <w:rsid w:val="005A0330"/>
    <w:rsid w:val="005A4E3D"/>
    <w:rsid w:val="005D058C"/>
    <w:rsid w:val="005E7D9F"/>
    <w:rsid w:val="006135E5"/>
    <w:rsid w:val="006368B5"/>
    <w:rsid w:val="006C3E71"/>
    <w:rsid w:val="006E09C9"/>
    <w:rsid w:val="006E3717"/>
    <w:rsid w:val="006F3D57"/>
    <w:rsid w:val="00705362"/>
    <w:rsid w:val="00733BF4"/>
    <w:rsid w:val="00782E25"/>
    <w:rsid w:val="0078549D"/>
    <w:rsid w:val="007D2901"/>
    <w:rsid w:val="007F700D"/>
    <w:rsid w:val="00807F02"/>
    <w:rsid w:val="00815CB0"/>
    <w:rsid w:val="0081706F"/>
    <w:rsid w:val="00821646"/>
    <w:rsid w:val="00876D4C"/>
    <w:rsid w:val="00893468"/>
    <w:rsid w:val="009445FA"/>
    <w:rsid w:val="0096171F"/>
    <w:rsid w:val="00987C93"/>
    <w:rsid w:val="009C50F9"/>
    <w:rsid w:val="009D6B03"/>
    <w:rsid w:val="009E1A5F"/>
    <w:rsid w:val="00A740A5"/>
    <w:rsid w:val="00AE0C77"/>
    <w:rsid w:val="00B535F7"/>
    <w:rsid w:val="00B54D15"/>
    <w:rsid w:val="00B62487"/>
    <w:rsid w:val="00B76B78"/>
    <w:rsid w:val="00BB678E"/>
    <w:rsid w:val="00BF69AD"/>
    <w:rsid w:val="00C05B0A"/>
    <w:rsid w:val="00C15DAC"/>
    <w:rsid w:val="00C87D80"/>
    <w:rsid w:val="00DB4824"/>
    <w:rsid w:val="00DD0131"/>
    <w:rsid w:val="00DE3D18"/>
    <w:rsid w:val="00E32A74"/>
    <w:rsid w:val="00E34DAA"/>
    <w:rsid w:val="00E3555A"/>
    <w:rsid w:val="00E64542"/>
    <w:rsid w:val="00E81FC8"/>
    <w:rsid w:val="00EA54F7"/>
    <w:rsid w:val="00EB20C0"/>
    <w:rsid w:val="00ED2EEA"/>
    <w:rsid w:val="00EF7C97"/>
    <w:rsid w:val="00F14CA2"/>
    <w:rsid w:val="00F64E56"/>
    <w:rsid w:val="00F957BE"/>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F61D1"/>
  <w15:docId w15:val="{7E554181-5AB6-4DA4-9EC0-767F23C2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242B2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ListParagraph">
    <w:name w:val="List Paragraph"/>
    <w:basedOn w:val="Normal"/>
    <w:uiPriority w:val="34"/>
    <w:qFormat/>
    <w:rsid w:val="00207E2A"/>
    <w:pPr>
      <w:spacing w:after="160" w:line="259" w:lineRule="auto"/>
      <w:ind w:left="720"/>
      <w:contextualSpacing/>
    </w:pPr>
  </w:style>
  <w:style w:type="paragraph" w:styleId="NormalWeb">
    <w:name w:val="Normal (Web)"/>
    <w:basedOn w:val="Normal"/>
    <w:uiPriority w:val="99"/>
    <w:unhideWhenUsed/>
    <w:rsid w:val="00E32A7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32A74"/>
    <w:rPr>
      <w:i/>
      <w:iCs/>
    </w:rPr>
  </w:style>
  <w:style w:type="character" w:styleId="UnresolvedMention">
    <w:name w:val="Unresolved Mention"/>
    <w:basedOn w:val="DefaultParagraphFont"/>
    <w:uiPriority w:val="99"/>
    <w:semiHidden/>
    <w:unhideWhenUsed/>
    <w:rsid w:val="00B54D15"/>
    <w:rPr>
      <w:color w:val="605E5C"/>
      <w:shd w:val="clear" w:color="auto" w:fill="E1DFDD"/>
    </w:rPr>
  </w:style>
  <w:style w:type="character" w:customStyle="1" w:styleId="Heading4Char">
    <w:name w:val="Heading 4 Char"/>
    <w:basedOn w:val="DefaultParagraphFont"/>
    <w:link w:val="Heading4"/>
    <w:uiPriority w:val="9"/>
    <w:rsid w:val="00242B26"/>
    <w:rPr>
      <w:rFonts w:ascii="Times New Roman" w:eastAsia="Times New Roman" w:hAnsi="Times New Roman" w:cs="Times New Roman"/>
      <w:b/>
      <w:bCs/>
      <w:sz w:val="24"/>
      <w:szCs w:val="24"/>
    </w:rPr>
  </w:style>
  <w:style w:type="paragraph" w:styleId="z-TopofForm">
    <w:name w:val="HTML Top of Form"/>
    <w:basedOn w:val="Normal"/>
    <w:next w:val="Normal"/>
    <w:link w:val="z-TopofFormChar"/>
    <w:hidden/>
    <w:uiPriority w:val="99"/>
    <w:semiHidden/>
    <w:unhideWhenUsed/>
    <w:rsid w:val="00242B2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42B2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42B2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42B26"/>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133179">
      <w:bodyDiv w:val="1"/>
      <w:marLeft w:val="0"/>
      <w:marRight w:val="0"/>
      <w:marTop w:val="0"/>
      <w:marBottom w:val="0"/>
      <w:divBdr>
        <w:top w:val="none" w:sz="0" w:space="0" w:color="auto"/>
        <w:left w:val="none" w:sz="0" w:space="0" w:color="auto"/>
        <w:bottom w:val="none" w:sz="0" w:space="0" w:color="auto"/>
        <w:right w:val="none" w:sz="0" w:space="0" w:color="auto"/>
      </w:divBdr>
      <w:divsChild>
        <w:div w:id="505292723">
          <w:marLeft w:val="0"/>
          <w:marRight w:val="0"/>
          <w:marTop w:val="0"/>
          <w:marBottom w:val="0"/>
          <w:divBdr>
            <w:top w:val="none" w:sz="0" w:space="0" w:color="auto"/>
            <w:left w:val="none" w:sz="0" w:space="0" w:color="auto"/>
            <w:bottom w:val="none" w:sz="0" w:space="0" w:color="auto"/>
            <w:right w:val="none" w:sz="0" w:space="0" w:color="auto"/>
          </w:divBdr>
          <w:divsChild>
            <w:div w:id="827865843">
              <w:marLeft w:val="0"/>
              <w:marRight w:val="0"/>
              <w:marTop w:val="0"/>
              <w:marBottom w:val="0"/>
              <w:divBdr>
                <w:top w:val="none" w:sz="0" w:space="0" w:color="auto"/>
                <w:left w:val="none" w:sz="0" w:space="0" w:color="auto"/>
                <w:bottom w:val="none" w:sz="0" w:space="0" w:color="auto"/>
                <w:right w:val="none" w:sz="0" w:space="0" w:color="auto"/>
              </w:divBdr>
              <w:divsChild>
                <w:div w:id="1794865942">
                  <w:marLeft w:val="0"/>
                  <w:marRight w:val="0"/>
                  <w:marTop w:val="0"/>
                  <w:marBottom w:val="0"/>
                  <w:divBdr>
                    <w:top w:val="none" w:sz="0" w:space="0" w:color="auto"/>
                    <w:left w:val="none" w:sz="0" w:space="0" w:color="auto"/>
                    <w:bottom w:val="none" w:sz="0" w:space="0" w:color="auto"/>
                    <w:right w:val="none" w:sz="0" w:space="0" w:color="auto"/>
                  </w:divBdr>
                  <w:divsChild>
                    <w:div w:id="589433829">
                      <w:marLeft w:val="-225"/>
                      <w:marRight w:val="-225"/>
                      <w:marTop w:val="0"/>
                      <w:marBottom w:val="0"/>
                      <w:divBdr>
                        <w:top w:val="none" w:sz="0" w:space="0" w:color="auto"/>
                        <w:left w:val="none" w:sz="0" w:space="0" w:color="auto"/>
                        <w:bottom w:val="none" w:sz="0" w:space="0" w:color="auto"/>
                        <w:right w:val="none" w:sz="0" w:space="0" w:color="auto"/>
                      </w:divBdr>
                      <w:divsChild>
                        <w:div w:id="4473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14600">
              <w:marLeft w:val="0"/>
              <w:marRight w:val="0"/>
              <w:marTop w:val="0"/>
              <w:marBottom w:val="0"/>
              <w:divBdr>
                <w:top w:val="none" w:sz="0" w:space="0" w:color="auto"/>
                <w:left w:val="none" w:sz="0" w:space="0" w:color="auto"/>
                <w:bottom w:val="none" w:sz="0" w:space="0" w:color="auto"/>
                <w:right w:val="none" w:sz="0" w:space="0" w:color="auto"/>
              </w:divBdr>
              <w:divsChild>
                <w:div w:id="1156413669">
                  <w:marLeft w:val="-225"/>
                  <w:marRight w:val="-225"/>
                  <w:marTop w:val="0"/>
                  <w:marBottom w:val="0"/>
                  <w:divBdr>
                    <w:top w:val="none" w:sz="0" w:space="0" w:color="auto"/>
                    <w:left w:val="none" w:sz="0" w:space="0" w:color="auto"/>
                    <w:bottom w:val="none" w:sz="0" w:space="0" w:color="auto"/>
                    <w:right w:val="none" w:sz="0" w:space="0" w:color="auto"/>
                  </w:divBdr>
                  <w:divsChild>
                    <w:div w:id="570385610">
                      <w:marLeft w:val="0"/>
                      <w:marRight w:val="0"/>
                      <w:marTop w:val="0"/>
                      <w:marBottom w:val="375"/>
                      <w:divBdr>
                        <w:top w:val="none" w:sz="0" w:space="0" w:color="auto"/>
                        <w:left w:val="none" w:sz="0" w:space="0" w:color="auto"/>
                        <w:bottom w:val="none" w:sz="0" w:space="0" w:color="auto"/>
                        <w:right w:val="none" w:sz="0" w:space="0" w:color="auto"/>
                      </w:divBdr>
                      <w:divsChild>
                        <w:div w:id="430206995">
                          <w:marLeft w:val="0"/>
                          <w:marRight w:val="0"/>
                          <w:marTop w:val="525"/>
                          <w:marBottom w:val="0"/>
                          <w:divBdr>
                            <w:top w:val="none" w:sz="0" w:space="0" w:color="auto"/>
                            <w:left w:val="none" w:sz="0" w:space="0" w:color="auto"/>
                            <w:bottom w:val="none" w:sz="0" w:space="0" w:color="auto"/>
                            <w:right w:val="none" w:sz="0" w:space="0" w:color="auto"/>
                          </w:divBdr>
                        </w:div>
                      </w:divsChild>
                    </w:div>
                    <w:div w:id="546989659">
                      <w:marLeft w:val="0"/>
                      <w:marRight w:val="0"/>
                      <w:marTop w:val="0"/>
                      <w:marBottom w:val="375"/>
                      <w:divBdr>
                        <w:top w:val="none" w:sz="0" w:space="0" w:color="auto"/>
                        <w:left w:val="none" w:sz="0" w:space="0" w:color="auto"/>
                        <w:bottom w:val="none" w:sz="0" w:space="0" w:color="auto"/>
                        <w:right w:val="none" w:sz="0" w:space="0" w:color="auto"/>
                      </w:divBdr>
                      <w:divsChild>
                        <w:div w:id="940070739">
                          <w:marLeft w:val="-225"/>
                          <w:marRight w:val="-225"/>
                          <w:marTop w:val="0"/>
                          <w:marBottom w:val="0"/>
                          <w:divBdr>
                            <w:top w:val="none" w:sz="0" w:space="0" w:color="auto"/>
                            <w:left w:val="none" w:sz="0" w:space="0" w:color="auto"/>
                            <w:bottom w:val="none" w:sz="0" w:space="0" w:color="auto"/>
                            <w:right w:val="none" w:sz="0" w:space="0" w:color="auto"/>
                          </w:divBdr>
                          <w:divsChild>
                            <w:div w:id="1019426111">
                              <w:marLeft w:val="0"/>
                              <w:marRight w:val="0"/>
                              <w:marTop w:val="0"/>
                              <w:marBottom w:val="375"/>
                              <w:divBdr>
                                <w:top w:val="none" w:sz="0" w:space="0" w:color="auto"/>
                                <w:left w:val="none" w:sz="0" w:space="0" w:color="auto"/>
                                <w:bottom w:val="none" w:sz="0" w:space="0" w:color="auto"/>
                                <w:right w:val="none" w:sz="0" w:space="0" w:color="auto"/>
                              </w:divBdr>
                            </w:div>
                          </w:divsChild>
                        </w:div>
                        <w:div w:id="155531976">
                          <w:marLeft w:val="-225"/>
                          <w:marRight w:val="-225"/>
                          <w:marTop w:val="0"/>
                          <w:marBottom w:val="0"/>
                          <w:divBdr>
                            <w:top w:val="none" w:sz="0" w:space="0" w:color="auto"/>
                            <w:left w:val="none" w:sz="0" w:space="0" w:color="auto"/>
                            <w:bottom w:val="none" w:sz="0" w:space="0" w:color="auto"/>
                            <w:right w:val="none" w:sz="0" w:space="0" w:color="auto"/>
                          </w:divBdr>
                          <w:divsChild>
                            <w:div w:id="198709136">
                              <w:marLeft w:val="0"/>
                              <w:marRight w:val="0"/>
                              <w:marTop w:val="0"/>
                              <w:marBottom w:val="375"/>
                              <w:divBdr>
                                <w:top w:val="none" w:sz="0" w:space="0" w:color="auto"/>
                                <w:left w:val="none" w:sz="0" w:space="0" w:color="auto"/>
                                <w:bottom w:val="none" w:sz="0" w:space="0" w:color="auto"/>
                                <w:right w:val="none" w:sz="0" w:space="0" w:color="auto"/>
                              </w:divBdr>
                              <w:divsChild>
                                <w:div w:id="82997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2962077">
              <w:marLeft w:val="0"/>
              <w:marRight w:val="0"/>
              <w:marTop w:val="0"/>
              <w:marBottom w:val="0"/>
              <w:divBdr>
                <w:top w:val="single" w:sz="2" w:space="11" w:color="060606"/>
                <w:left w:val="none" w:sz="0" w:space="0" w:color="auto"/>
                <w:bottom w:val="none" w:sz="0" w:space="0" w:color="auto"/>
                <w:right w:val="none" w:sz="0" w:space="0" w:color="auto"/>
              </w:divBdr>
              <w:divsChild>
                <w:div w:id="733821007">
                  <w:marLeft w:val="0"/>
                  <w:marRight w:val="0"/>
                  <w:marTop w:val="0"/>
                  <w:marBottom w:val="0"/>
                  <w:divBdr>
                    <w:top w:val="none" w:sz="0" w:space="0" w:color="auto"/>
                    <w:left w:val="none" w:sz="0" w:space="0" w:color="auto"/>
                    <w:bottom w:val="none" w:sz="0" w:space="0" w:color="auto"/>
                    <w:right w:val="none" w:sz="0" w:space="0" w:color="auto"/>
                  </w:divBdr>
                  <w:divsChild>
                    <w:div w:id="1447890646">
                      <w:marLeft w:val="-225"/>
                      <w:marRight w:val="-225"/>
                      <w:marTop w:val="0"/>
                      <w:marBottom w:val="0"/>
                      <w:divBdr>
                        <w:top w:val="none" w:sz="0" w:space="0" w:color="auto"/>
                        <w:left w:val="none" w:sz="0" w:space="0" w:color="auto"/>
                        <w:bottom w:val="none" w:sz="0" w:space="0" w:color="auto"/>
                        <w:right w:val="none" w:sz="0" w:space="0" w:color="auto"/>
                      </w:divBdr>
                      <w:divsChild>
                        <w:div w:id="1562400826">
                          <w:marLeft w:val="0"/>
                          <w:marRight w:val="0"/>
                          <w:marTop w:val="0"/>
                          <w:marBottom w:val="375"/>
                          <w:divBdr>
                            <w:top w:val="none" w:sz="0" w:space="0" w:color="auto"/>
                            <w:left w:val="none" w:sz="0" w:space="0" w:color="auto"/>
                            <w:bottom w:val="none" w:sz="0" w:space="0" w:color="auto"/>
                            <w:right w:val="none" w:sz="0" w:space="0" w:color="auto"/>
                          </w:divBdr>
                        </w:div>
                        <w:div w:id="1194920526">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uffing.SLHQ\Downloads\LMC%20student%20handout%20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2007F-0F78-47FC-887A-BB96BECE78F1}">
  <ds:schemaRefs>
    <ds:schemaRef ds:uri="http://schemas.microsoft.com/office/2006/metadata/properties"/>
    <ds:schemaRef ds:uri="http://schemas.microsoft.com/office/infopath/2007/PartnerControls"/>
    <ds:schemaRef ds:uri="9af227aa-5493-4bfe-a302-9771bcf92926"/>
  </ds:schemaRefs>
</ds:datastoreItem>
</file>

<file path=customXml/itemProps2.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3.xml><?xml version="1.0" encoding="utf-8"?>
<ds:datastoreItem xmlns:ds="http://schemas.openxmlformats.org/officeDocument/2006/customXml" ds:itemID="{064BCCD4-39A4-4091-A14C-20E2EBBBE9D8}"/>
</file>

<file path=docProps/app.xml><?xml version="1.0" encoding="utf-8"?>
<Properties xmlns="http://schemas.openxmlformats.org/officeDocument/2006/extended-properties" xmlns:vt="http://schemas.openxmlformats.org/officeDocument/2006/docPropsVTypes">
  <Template>LMC student handout styles</Template>
  <TotalTime>6</TotalTime>
  <Pages>1</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Ruffing</dc:creator>
  <cp:lastModifiedBy>Allison Hawkins</cp:lastModifiedBy>
  <cp:revision>3</cp:revision>
  <dcterms:created xsi:type="dcterms:W3CDTF">2020-07-09T16:33:00Z</dcterms:created>
  <dcterms:modified xsi:type="dcterms:W3CDTF">2020-07-09T16:38:00Z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