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7A142" w14:textId="5F743545" w:rsidR="005311FB" w:rsidRDefault="0061553E" w:rsidP="00F64E56">
      <w:pPr>
        <w:pStyle w:val="Title1sl"/>
        <w:pBdr>
          <w:bottom w:val="single" w:sz="12" w:space="1" w:color="auto"/>
        </w:pBdr>
        <w:rPr>
          <w:i/>
          <w:iCs/>
        </w:rPr>
      </w:pPr>
      <w:r>
        <w:rPr>
          <w:i/>
          <w:iCs/>
        </w:rPr>
        <w:t>Brown v. Board of Education</w:t>
      </w:r>
      <w:r w:rsidR="00D053D4">
        <w:rPr>
          <w:i/>
          <w:iCs/>
        </w:rPr>
        <w:t xml:space="preserve"> of Topeka</w:t>
      </w:r>
      <w:r w:rsidR="00F64E56">
        <w:t xml:space="preserve"> /</w:t>
      </w:r>
      <w:r w:rsidR="00671226">
        <w:t xml:space="preserve"> </w:t>
      </w:r>
      <w:r w:rsidR="00DF7A6E">
        <w:t>Immediate Reaction to the Decision</w:t>
      </w:r>
    </w:p>
    <w:p w14:paraId="37C00BC7" w14:textId="5AFEE130" w:rsidR="00DF7A6E" w:rsidRPr="00D053D4" w:rsidRDefault="00DF7A6E" w:rsidP="00D053D4">
      <w:pPr>
        <w:spacing w:after="120"/>
        <w:rPr>
          <w:rFonts w:ascii="Garamond" w:eastAsia="Garamond" w:hAnsi="Garamond" w:cs="Garamond"/>
          <w:sz w:val="25"/>
          <w:szCs w:val="25"/>
        </w:rPr>
      </w:pPr>
      <w:r w:rsidRPr="00D053D4">
        <w:rPr>
          <w:rFonts w:ascii="Garamond" w:eastAsia="Garamond" w:hAnsi="Garamond" w:cs="Garamond"/>
          <w:sz w:val="25"/>
          <w:szCs w:val="25"/>
        </w:rPr>
        <w:t xml:space="preserve">The editorials below are from </w:t>
      </w:r>
      <w:r w:rsidR="00D053D4" w:rsidRPr="00D053D4">
        <w:rPr>
          <w:rFonts w:ascii="Garamond" w:eastAsia="Garamond" w:hAnsi="Garamond" w:cs="Garamond"/>
          <w:sz w:val="25"/>
          <w:szCs w:val="25"/>
        </w:rPr>
        <w:t>“</w:t>
      </w:r>
      <w:r w:rsidRPr="00D053D4">
        <w:rPr>
          <w:rFonts w:ascii="Garamond" w:eastAsia="Garamond" w:hAnsi="Garamond" w:cs="Garamond"/>
          <w:sz w:val="25"/>
          <w:szCs w:val="25"/>
        </w:rPr>
        <w:t>Editorial Excerpts from the Nation</w:t>
      </w:r>
      <w:r w:rsidR="00D053D4" w:rsidRPr="00D053D4">
        <w:rPr>
          <w:rFonts w:ascii="Garamond" w:eastAsia="Garamond" w:hAnsi="Garamond" w:cs="Garamond"/>
          <w:sz w:val="25"/>
          <w:szCs w:val="25"/>
        </w:rPr>
        <w:t>’</w:t>
      </w:r>
      <w:r w:rsidRPr="00D053D4">
        <w:rPr>
          <w:rFonts w:ascii="Garamond" w:eastAsia="Garamond" w:hAnsi="Garamond" w:cs="Garamond"/>
          <w:sz w:val="25"/>
          <w:szCs w:val="25"/>
        </w:rPr>
        <w:t>s Press on Segregation Ruling,</w:t>
      </w:r>
      <w:r w:rsidR="00D053D4" w:rsidRPr="00D053D4">
        <w:rPr>
          <w:rFonts w:ascii="Garamond" w:eastAsia="Garamond" w:hAnsi="Garamond" w:cs="Garamond"/>
          <w:sz w:val="25"/>
          <w:szCs w:val="25"/>
        </w:rPr>
        <w:t>”</w:t>
      </w:r>
      <w:r w:rsidRPr="00D053D4">
        <w:rPr>
          <w:rFonts w:ascii="Garamond" w:eastAsia="Garamond" w:hAnsi="Garamond" w:cs="Garamond"/>
          <w:sz w:val="25"/>
          <w:szCs w:val="25"/>
        </w:rPr>
        <w:t xml:space="preserve"> </w:t>
      </w:r>
      <w:r w:rsidRPr="00D053D4">
        <w:rPr>
          <w:rFonts w:ascii="Garamond" w:eastAsia="Garamond" w:hAnsi="Garamond" w:cs="Garamond"/>
          <w:i/>
          <w:iCs/>
          <w:sz w:val="25"/>
          <w:szCs w:val="25"/>
        </w:rPr>
        <w:t>New York Times,</w:t>
      </w:r>
      <w:r w:rsidRPr="00D053D4">
        <w:rPr>
          <w:rFonts w:ascii="Garamond" w:eastAsia="Garamond" w:hAnsi="Garamond" w:cs="Garamond"/>
          <w:sz w:val="25"/>
          <w:szCs w:val="25"/>
        </w:rPr>
        <w:t xml:space="preserve"> May 18, 1954.</w:t>
      </w:r>
    </w:p>
    <w:p w14:paraId="7F87BEF3" w14:textId="77777777" w:rsidR="00983DE5" w:rsidRDefault="00DF7A6E" w:rsidP="00D053D4">
      <w:pPr>
        <w:spacing w:after="120"/>
        <w:rPr>
          <w:rFonts w:ascii="Garamond" w:eastAsia="Garamond" w:hAnsi="Garamond" w:cs="Garamond"/>
          <w:b/>
          <w:sz w:val="25"/>
          <w:szCs w:val="25"/>
        </w:rPr>
      </w:pPr>
      <w:r w:rsidRPr="00D053D4">
        <w:rPr>
          <w:rFonts w:ascii="Garamond" w:eastAsia="Garamond" w:hAnsi="Garamond" w:cs="Garamond"/>
          <w:b/>
          <w:sz w:val="25"/>
          <w:szCs w:val="25"/>
        </w:rPr>
        <w:t xml:space="preserve">Directions: </w:t>
      </w:r>
    </w:p>
    <w:p w14:paraId="13359B30" w14:textId="09FAA242" w:rsidR="00DF7A6E" w:rsidRPr="00D053D4" w:rsidRDefault="00DF7A6E" w:rsidP="00D053D4">
      <w:pPr>
        <w:spacing w:after="120"/>
        <w:rPr>
          <w:rFonts w:ascii="Garamond" w:eastAsia="Garamond" w:hAnsi="Garamond" w:cs="Garamond"/>
          <w:sz w:val="25"/>
          <w:szCs w:val="25"/>
        </w:rPr>
      </w:pPr>
      <w:r w:rsidRPr="00D053D4">
        <w:rPr>
          <w:rFonts w:ascii="Garamond" w:eastAsia="Garamond" w:hAnsi="Garamond" w:cs="Garamond"/>
          <w:sz w:val="25"/>
          <w:szCs w:val="25"/>
        </w:rPr>
        <w:t>Read the following excerpts from editorials in newspapers and consider these questions:</w:t>
      </w:r>
    </w:p>
    <w:p w14:paraId="0A8F46E0" w14:textId="751A8B58" w:rsidR="00DF7A6E" w:rsidRPr="00D053D4" w:rsidRDefault="00DF7A6E" w:rsidP="00D053D4">
      <w:pPr>
        <w:pStyle w:val="Bulletsl"/>
        <w:spacing w:line="276" w:lineRule="auto"/>
        <w:rPr>
          <w:sz w:val="25"/>
          <w:szCs w:val="25"/>
        </w:rPr>
      </w:pPr>
      <w:r w:rsidRPr="00D053D4">
        <w:rPr>
          <w:sz w:val="25"/>
          <w:szCs w:val="25"/>
        </w:rPr>
        <w:t>Does the editorial seem to support or reject the Supreme Court</w:t>
      </w:r>
      <w:r w:rsidR="00983DE5">
        <w:rPr>
          <w:sz w:val="25"/>
          <w:szCs w:val="25"/>
        </w:rPr>
        <w:t>’</w:t>
      </w:r>
      <w:r w:rsidRPr="00D053D4">
        <w:rPr>
          <w:sz w:val="25"/>
          <w:szCs w:val="25"/>
        </w:rPr>
        <w:t xml:space="preserve">s decision in </w:t>
      </w:r>
      <w:r w:rsidRPr="00D053D4">
        <w:rPr>
          <w:i/>
          <w:iCs/>
          <w:sz w:val="25"/>
          <w:szCs w:val="25"/>
        </w:rPr>
        <w:t>Brown</w:t>
      </w:r>
      <w:r w:rsidRPr="00D053D4">
        <w:rPr>
          <w:sz w:val="25"/>
          <w:szCs w:val="25"/>
        </w:rPr>
        <w:t>? Find sentences that support your position.</w:t>
      </w:r>
    </w:p>
    <w:p w14:paraId="359EA8F6" w14:textId="6F2F7AF7" w:rsidR="00DF7A6E" w:rsidRDefault="00DF7A6E" w:rsidP="00D053D4">
      <w:pPr>
        <w:pStyle w:val="Bulletsl"/>
        <w:spacing w:line="276" w:lineRule="auto"/>
        <w:rPr>
          <w:sz w:val="25"/>
          <w:szCs w:val="25"/>
        </w:rPr>
      </w:pPr>
      <w:r w:rsidRPr="00D053D4">
        <w:rPr>
          <w:sz w:val="25"/>
          <w:szCs w:val="25"/>
        </w:rPr>
        <w:t>How are the editorials similar? How are they different? What do you believe accounts for the differences in perspectives?</w:t>
      </w:r>
    </w:p>
    <w:p w14:paraId="0B8D5064" w14:textId="0AC8F8D6" w:rsidR="00983DE5" w:rsidRPr="00D053D4" w:rsidRDefault="00983DE5" w:rsidP="00983DE5">
      <w:pPr>
        <w:pStyle w:val="Bulletsl"/>
        <w:numPr>
          <w:ilvl w:val="0"/>
          <w:numId w:val="0"/>
        </w:numPr>
        <w:spacing w:line="276" w:lineRule="auto"/>
        <w:rPr>
          <w:sz w:val="25"/>
          <w:szCs w:val="25"/>
        </w:rPr>
      </w:pPr>
      <w:r>
        <w:rPr>
          <w:sz w:val="25"/>
          <w:szCs w:val="25"/>
        </w:rPr>
        <w:t>Complete the table on page 4.</w:t>
      </w:r>
    </w:p>
    <w:p w14:paraId="22C4B7F1" w14:textId="0EBE8F5E" w:rsidR="00DF7A6E" w:rsidRDefault="00D053D4" w:rsidP="00D053D4">
      <w:pPr>
        <w:spacing w:after="120"/>
        <w:rPr>
          <w:rFonts w:ascii="Garamond" w:eastAsia="Garamond" w:hAnsi="Garamond" w:cs="Garamond"/>
          <w:sz w:val="24"/>
          <w:szCs w:val="24"/>
        </w:rPr>
      </w:pPr>
      <w:r>
        <w:rPr>
          <w:rFonts w:ascii="Garamond" w:eastAsia="Garamond" w:hAnsi="Garamond" w:cs="Garamond"/>
          <w:sz w:val="24"/>
          <w:szCs w:val="24"/>
        </w:rPr>
        <w:pict w14:anchorId="3F8EC863">
          <v:rect id="_x0000_i1025" style="width:0;height:1.5pt" o:hralign="center" o:hrstd="t" o:hr="t" fillcolor="#a0a0a0" stroked="f"/>
        </w:pict>
      </w:r>
    </w:p>
    <w:p w14:paraId="6FD15278" w14:textId="163DF41C" w:rsidR="00DF7A6E" w:rsidRDefault="00D053D4" w:rsidP="00D053D4">
      <w:pPr>
        <w:pStyle w:val="Subhead3sl"/>
        <w:numPr>
          <w:ilvl w:val="0"/>
          <w:numId w:val="13"/>
        </w:numPr>
        <w:ind w:left="360"/>
      </w:pPr>
      <w:r>
        <w:t>New York Times</w:t>
      </w:r>
      <w:r w:rsidR="00467C43">
        <w:t xml:space="preserve"> (New York, NY)</w:t>
      </w:r>
      <w:r w:rsidR="00DF7A6E">
        <w:t xml:space="preserve">: </w:t>
      </w:r>
      <w:r>
        <w:t>“</w:t>
      </w:r>
      <w:r w:rsidR="00DF7A6E">
        <w:t>All God</w:t>
      </w:r>
      <w:r>
        <w:t>’</w:t>
      </w:r>
      <w:r w:rsidR="00DF7A6E">
        <w:t xml:space="preserve">s </w:t>
      </w:r>
      <w:proofErr w:type="spellStart"/>
      <w:r w:rsidR="00DF7A6E">
        <w:t>Chillun</w:t>
      </w:r>
      <w:proofErr w:type="spellEnd"/>
      <w:r>
        <w:t>”</w:t>
      </w:r>
      <w:r w:rsidR="00DF7A6E">
        <w:t xml:space="preserve"> </w:t>
      </w:r>
      <w:r>
        <w:t>(</w:t>
      </w:r>
      <w:r>
        <w:t>May 18, 1954</w:t>
      </w:r>
      <w:r>
        <w:t>)</w:t>
      </w:r>
    </w:p>
    <w:p w14:paraId="0E2AFBF8" w14:textId="02773A5E" w:rsidR="00DF7A6E" w:rsidRPr="00D053D4" w:rsidRDefault="00DF7A6E" w:rsidP="00D053D4">
      <w:pPr>
        <w:spacing w:after="120"/>
        <w:ind w:left="360"/>
        <w:rPr>
          <w:rFonts w:ascii="Garamond" w:eastAsia="Garamond" w:hAnsi="Garamond" w:cs="Garamond"/>
          <w:sz w:val="25"/>
          <w:szCs w:val="25"/>
        </w:rPr>
      </w:pPr>
      <w:r w:rsidRPr="00D053D4">
        <w:rPr>
          <w:rFonts w:ascii="Garamond" w:eastAsia="Garamond" w:hAnsi="Garamond" w:cs="Garamond"/>
          <w:sz w:val="25"/>
          <w:szCs w:val="25"/>
        </w:rPr>
        <w:t xml:space="preserve">It is true, of course, that the court is not talking of that sort of </w:t>
      </w:r>
      <w:r w:rsidR="00D053D4" w:rsidRPr="00D053D4">
        <w:rPr>
          <w:rFonts w:ascii="Garamond" w:eastAsia="Garamond" w:hAnsi="Garamond" w:cs="Garamond"/>
          <w:sz w:val="25"/>
          <w:szCs w:val="25"/>
        </w:rPr>
        <w:t>“</w:t>
      </w:r>
      <w:r w:rsidRPr="00D053D4">
        <w:rPr>
          <w:rFonts w:ascii="Garamond" w:eastAsia="Garamond" w:hAnsi="Garamond" w:cs="Garamond"/>
          <w:sz w:val="25"/>
          <w:szCs w:val="25"/>
        </w:rPr>
        <w:t>equality</w:t>
      </w:r>
      <w:r w:rsidR="00D053D4" w:rsidRPr="00D053D4">
        <w:rPr>
          <w:rFonts w:ascii="Garamond" w:eastAsia="Garamond" w:hAnsi="Garamond" w:cs="Garamond"/>
          <w:sz w:val="25"/>
          <w:szCs w:val="25"/>
        </w:rPr>
        <w:t>”</w:t>
      </w:r>
      <w:r w:rsidRPr="00D053D4">
        <w:rPr>
          <w:rFonts w:ascii="Garamond" w:eastAsia="Garamond" w:hAnsi="Garamond" w:cs="Garamond"/>
          <w:sz w:val="25"/>
          <w:szCs w:val="25"/>
        </w:rPr>
        <w:t xml:space="preserve"> which produces interracial marriages. It is not talking of a social system at all. It is talking of a system of human rights which is foreshadowed in the second paragraph of the Declaration of Independence, which stated </w:t>
      </w:r>
      <w:r w:rsidR="00D053D4" w:rsidRPr="00D053D4">
        <w:rPr>
          <w:rFonts w:ascii="Garamond" w:eastAsia="Garamond" w:hAnsi="Garamond" w:cs="Garamond"/>
          <w:sz w:val="25"/>
          <w:szCs w:val="25"/>
        </w:rPr>
        <w:t>“</w:t>
      </w:r>
      <w:r w:rsidRPr="00D053D4">
        <w:rPr>
          <w:rFonts w:ascii="Garamond" w:eastAsia="Garamond" w:hAnsi="Garamond" w:cs="Garamond"/>
          <w:sz w:val="25"/>
          <w:szCs w:val="25"/>
        </w:rPr>
        <w:t>that all men are created equal.</w:t>
      </w:r>
      <w:r w:rsidR="00D053D4" w:rsidRPr="00D053D4">
        <w:rPr>
          <w:rFonts w:ascii="Garamond" w:eastAsia="Garamond" w:hAnsi="Garamond" w:cs="Garamond"/>
          <w:sz w:val="25"/>
          <w:szCs w:val="25"/>
        </w:rPr>
        <w:t>”</w:t>
      </w:r>
      <w:r w:rsidRPr="00D053D4">
        <w:rPr>
          <w:rFonts w:ascii="Garamond" w:eastAsia="Garamond" w:hAnsi="Garamond" w:cs="Garamond"/>
          <w:sz w:val="25"/>
          <w:szCs w:val="25"/>
        </w:rPr>
        <w:t xml:space="preserve"> Mr. Jefferson and the others who were responsible for the Declaration did not intend to say that all men are equally intelligent, equally </w:t>
      </w:r>
      <w:proofErr w:type="gramStart"/>
      <w:r w:rsidRPr="00D053D4">
        <w:rPr>
          <w:rFonts w:ascii="Garamond" w:eastAsia="Garamond" w:hAnsi="Garamond" w:cs="Garamond"/>
          <w:sz w:val="25"/>
          <w:szCs w:val="25"/>
        </w:rPr>
        <w:t>good</w:t>
      </w:r>
      <w:proofErr w:type="gramEnd"/>
      <w:r w:rsidRPr="00D053D4">
        <w:rPr>
          <w:rFonts w:ascii="Garamond" w:eastAsia="Garamond" w:hAnsi="Garamond" w:cs="Garamond"/>
          <w:sz w:val="25"/>
          <w:szCs w:val="25"/>
        </w:rPr>
        <w:t xml:space="preserve"> or equal in height or weight. They meant to say that all men were, and ought to be, equal before the law. If men are equal, children are equal, too. There is an even greater necessity in the case of children, whose opportunities to advance themselves and to be useful to the community may be lost if they do not have the right to be educated.</w:t>
      </w:r>
    </w:p>
    <w:p w14:paraId="06328B26" w14:textId="1F5AD3B3" w:rsidR="00DF7A6E" w:rsidRPr="00D053D4" w:rsidRDefault="00DF7A6E" w:rsidP="00D053D4">
      <w:pPr>
        <w:spacing w:after="120"/>
        <w:ind w:left="360"/>
        <w:rPr>
          <w:rFonts w:ascii="Garamond" w:eastAsia="Garamond" w:hAnsi="Garamond" w:cs="Garamond"/>
          <w:sz w:val="25"/>
          <w:szCs w:val="25"/>
        </w:rPr>
      </w:pPr>
      <w:r w:rsidRPr="00D053D4">
        <w:rPr>
          <w:rFonts w:ascii="Garamond" w:eastAsia="Garamond" w:hAnsi="Garamond" w:cs="Garamond"/>
          <w:sz w:val="25"/>
          <w:szCs w:val="25"/>
        </w:rPr>
        <w:t>No one can deny that the mingling of the races in the schools of the seventeen states which have required segregation and the three states which have permitted it will create problems. The folkways in southern communities will have to be adapted to new conditions if white and Negro children, together with white and Negro teachers, are to enjoy not only equal facilities but the same facilities in the same schools.</w:t>
      </w:r>
    </w:p>
    <w:p w14:paraId="5C10F570" w14:textId="706255FF" w:rsidR="00DF7A6E" w:rsidRPr="00D053D4" w:rsidRDefault="00DF7A6E" w:rsidP="00D053D4">
      <w:pPr>
        <w:spacing w:after="120"/>
        <w:ind w:left="360"/>
        <w:rPr>
          <w:rFonts w:ascii="Garamond" w:eastAsia="Garamond" w:hAnsi="Garamond" w:cs="Garamond"/>
          <w:sz w:val="25"/>
          <w:szCs w:val="25"/>
        </w:rPr>
      </w:pPr>
      <w:r w:rsidRPr="00D053D4">
        <w:rPr>
          <w:rFonts w:ascii="Garamond" w:eastAsia="Garamond" w:hAnsi="Garamond" w:cs="Garamond"/>
          <w:sz w:val="25"/>
          <w:szCs w:val="25"/>
        </w:rPr>
        <w:t>The highest court in the land, the guardian of our national conscience, has reaffirmed its faith—and the undying American faith—in the equality of all men and all children before the law.</w:t>
      </w:r>
    </w:p>
    <w:p w14:paraId="7655AA5D" w14:textId="7ED92E23" w:rsidR="00DF7A6E" w:rsidRPr="00D053D4" w:rsidRDefault="00D053D4" w:rsidP="00983DE5">
      <w:pPr>
        <w:pStyle w:val="Subhead3sl"/>
        <w:keepNext/>
        <w:numPr>
          <w:ilvl w:val="0"/>
          <w:numId w:val="13"/>
        </w:numPr>
        <w:ind w:left="360"/>
      </w:pPr>
      <w:r>
        <w:lastRenderedPageBreak/>
        <w:t xml:space="preserve">Chicago </w:t>
      </w:r>
      <w:r w:rsidR="00DF7A6E" w:rsidRPr="00D053D4">
        <w:t>Defender</w:t>
      </w:r>
      <w:r w:rsidR="00467C43">
        <w:t xml:space="preserve"> (Chicago, IL)</w:t>
      </w:r>
      <w:r w:rsidR="00DF7A6E" w:rsidRPr="00D053D4">
        <w:t xml:space="preserve">: </w:t>
      </w:r>
      <w:r>
        <w:t>“</w:t>
      </w:r>
      <w:r w:rsidR="00DF7A6E" w:rsidRPr="00D053D4">
        <w:t>End of Dual Society</w:t>
      </w:r>
      <w:r>
        <w:t>” (</w:t>
      </w:r>
      <w:r w:rsidR="00DF7A6E" w:rsidRPr="00D053D4">
        <w:t>May 18, 1954</w:t>
      </w:r>
      <w:r>
        <w:t>)</w:t>
      </w:r>
    </w:p>
    <w:p w14:paraId="4F75AF70" w14:textId="77777777" w:rsidR="00DF7A6E" w:rsidRPr="00D053D4" w:rsidRDefault="00DF7A6E" w:rsidP="00D053D4">
      <w:pPr>
        <w:spacing w:after="120"/>
        <w:ind w:left="360"/>
        <w:rPr>
          <w:rFonts w:ascii="Garamond" w:eastAsia="Garamond" w:hAnsi="Garamond" w:cs="Garamond"/>
          <w:sz w:val="25"/>
          <w:szCs w:val="25"/>
        </w:rPr>
      </w:pPr>
      <w:r w:rsidRPr="00D053D4">
        <w:rPr>
          <w:rFonts w:ascii="Garamond" w:eastAsia="Garamond" w:hAnsi="Garamond" w:cs="Garamond"/>
          <w:sz w:val="25"/>
          <w:szCs w:val="25"/>
        </w:rPr>
        <w:t>Neither the atom bomb nor the hydrogen bomb will ever be as meaningful to our democracy as the unanimous decision of the Supreme Court of the United States that racial segregation violates the spirit and letter of our Constitution. This means the beginning of the end of the dual society in American life and the . . . segregation which supported it.</w:t>
      </w:r>
    </w:p>
    <w:p w14:paraId="3510E51C" w14:textId="0C014B58" w:rsidR="00DF7A6E" w:rsidRDefault="00D053D4" w:rsidP="00D053D4">
      <w:pPr>
        <w:pStyle w:val="Subhead3sl"/>
        <w:numPr>
          <w:ilvl w:val="0"/>
          <w:numId w:val="13"/>
        </w:numPr>
        <w:ind w:left="360"/>
        <w:rPr>
          <w:b w:val="0"/>
          <w:sz w:val="24"/>
          <w:szCs w:val="24"/>
        </w:rPr>
      </w:pPr>
      <w:r>
        <w:t xml:space="preserve">Washington </w:t>
      </w:r>
      <w:r w:rsidR="00DF7A6E" w:rsidRPr="00D053D4">
        <w:t>Post and Times</w:t>
      </w:r>
      <w:r>
        <w:t>-</w:t>
      </w:r>
      <w:r w:rsidR="00DF7A6E" w:rsidRPr="00D053D4">
        <w:t>Herald</w:t>
      </w:r>
      <w:r>
        <w:t xml:space="preserve"> (Washington, DC): “</w:t>
      </w:r>
      <w:r w:rsidR="00DF7A6E" w:rsidRPr="00D053D4">
        <w:t xml:space="preserve">A </w:t>
      </w:r>
      <w:r>
        <w:t>‘</w:t>
      </w:r>
      <w:r w:rsidR="00DF7A6E" w:rsidRPr="00D053D4">
        <w:t>Healing</w:t>
      </w:r>
      <w:r>
        <w:t>’</w:t>
      </w:r>
      <w:r w:rsidR="00DF7A6E" w:rsidRPr="00D053D4">
        <w:t xml:space="preserve"> Decision</w:t>
      </w:r>
      <w:r>
        <w:t>” (</w:t>
      </w:r>
      <w:r w:rsidR="00DF7A6E" w:rsidRPr="00D053D4">
        <w:t>May 18, 1954</w:t>
      </w:r>
      <w:r>
        <w:t>)</w:t>
      </w:r>
    </w:p>
    <w:p w14:paraId="64322089" w14:textId="36A7B82A" w:rsidR="00DF7A6E" w:rsidRPr="00D053D4" w:rsidRDefault="00DF7A6E" w:rsidP="00D053D4">
      <w:pPr>
        <w:spacing w:after="120"/>
        <w:ind w:left="360"/>
        <w:rPr>
          <w:rFonts w:ascii="Garamond" w:eastAsia="Garamond" w:hAnsi="Garamond" w:cs="Garamond"/>
          <w:sz w:val="25"/>
          <w:szCs w:val="25"/>
        </w:rPr>
      </w:pPr>
      <w:r w:rsidRPr="00D053D4">
        <w:rPr>
          <w:rFonts w:ascii="Garamond" w:eastAsia="Garamond" w:hAnsi="Garamond" w:cs="Garamond"/>
          <w:sz w:val="25"/>
          <w:szCs w:val="25"/>
        </w:rPr>
        <w:t>The Supreme Court</w:t>
      </w:r>
      <w:r w:rsidR="00D053D4">
        <w:rPr>
          <w:rFonts w:ascii="Garamond" w:eastAsia="Garamond" w:hAnsi="Garamond" w:cs="Garamond"/>
          <w:sz w:val="25"/>
          <w:szCs w:val="25"/>
        </w:rPr>
        <w:t>’</w:t>
      </w:r>
      <w:r w:rsidRPr="00D053D4">
        <w:rPr>
          <w:rFonts w:ascii="Garamond" w:eastAsia="Garamond" w:hAnsi="Garamond" w:cs="Garamond"/>
          <w:sz w:val="25"/>
          <w:szCs w:val="25"/>
        </w:rPr>
        <w:t xml:space="preserve">s resolution yesterday of the school segregation cases affords all Americans an occasion for pride and gratification. The decision will prove, we are sure—whatever transient difficulties it may create and whatever irritations it may arouse—a profoundly healthy and healing one. It will serve—and speedily—to close an ancient wound too long allowed to fester. It will </w:t>
      </w:r>
      <w:proofErr w:type="gramStart"/>
      <w:r w:rsidRPr="00D053D4">
        <w:rPr>
          <w:rFonts w:ascii="Garamond" w:eastAsia="Garamond" w:hAnsi="Garamond" w:cs="Garamond"/>
          <w:sz w:val="25"/>
          <w:szCs w:val="25"/>
        </w:rPr>
        <w:t>bring to an end</w:t>
      </w:r>
      <w:proofErr w:type="gramEnd"/>
      <w:r w:rsidRPr="00D053D4">
        <w:rPr>
          <w:rFonts w:ascii="Garamond" w:eastAsia="Garamond" w:hAnsi="Garamond" w:cs="Garamond"/>
          <w:sz w:val="25"/>
          <w:szCs w:val="25"/>
        </w:rPr>
        <w:t xml:space="preserve"> a painful disparity between American principles and American practices. It will help to refurbish American prestige in a world which looks to this land for moral inspiration and restore the faith of Americans themselves in their own great values and traditions.</w:t>
      </w:r>
    </w:p>
    <w:p w14:paraId="7C097CC6" w14:textId="2685786F" w:rsidR="00DF7A6E" w:rsidRPr="00D053D4" w:rsidRDefault="00D053D4" w:rsidP="00D053D4">
      <w:pPr>
        <w:pStyle w:val="Subhead3sl"/>
        <w:numPr>
          <w:ilvl w:val="0"/>
          <w:numId w:val="13"/>
        </w:numPr>
        <w:ind w:left="360"/>
      </w:pPr>
      <w:r w:rsidRPr="00D053D4">
        <w:t xml:space="preserve">Jackson </w:t>
      </w:r>
      <w:r w:rsidR="00DF7A6E" w:rsidRPr="00D053D4">
        <w:t xml:space="preserve">Daily News (Jackson, Mississippi): </w:t>
      </w:r>
      <w:r w:rsidRPr="00D053D4">
        <w:t>“</w:t>
      </w:r>
      <w:r w:rsidR="00DF7A6E" w:rsidRPr="00D053D4">
        <w:t xml:space="preserve">Bloodstains </w:t>
      </w:r>
      <w:proofErr w:type="gramStart"/>
      <w:r w:rsidR="00DF7A6E" w:rsidRPr="00D053D4">
        <w:t>On</w:t>
      </w:r>
      <w:proofErr w:type="gramEnd"/>
      <w:r w:rsidR="00DF7A6E" w:rsidRPr="00D053D4">
        <w:t xml:space="preserve"> White Marble Steps</w:t>
      </w:r>
      <w:r w:rsidRPr="00D053D4">
        <w:t>” (</w:t>
      </w:r>
      <w:r w:rsidR="00DF7A6E" w:rsidRPr="00D053D4">
        <w:t>May 18, 1954</w:t>
      </w:r>
      <w:r w:rsidRPr="00D053D4">
        <w:t>)</w:t>
      </w:r>
    </w:p>
    <w:p w14:paraId="1304B7AF" w14:textId="6A972F70" w:rsidR="00DF7A6E" w:rsidRPr="00467C43" w:rsidRDefault="00DF7A6E" w:rsidP="00467C43">
      <w:pPr>
        <w:spacing w:after="120"/>
        <w:ind w:left="360"/>
        <w:rPr>
          <w:rFonts w:ascii="Garamond" w:eastAsia="Garamond" w:hAnsi="Garamond" w:cs="Garamond"/>
          <w:sz w:val="25"/>
          <w:szCs w:val="25"/>
        </w:rPr>
      </w:pPr>
      <w:r w:rsidRPr="00467C43">
        <w:rPr>
          <w:rFonts w:ascii="Garamond" w:eastAsia="Garamond" w:hAnsi="Garamond" w:cs="Garamond"/>
          <w:sz w:val="25"/>
          <w:szCs w:val="25"/>
        </w:rPr>
        <w:t xml:space="preserve">Human blood may stain Southern soil in many places because of this decision but the dark red stains of that blood will be on the marble steps of the United States Supreme Court building. </w:t>
      </w:r>
    </w:p>
    <w:p w14:paraId="36349E19" w14:textId="6B93C30E" w:rsidR="00DF7A6E" w:rsidRPr="00467C43" w:rsidRDefault="00467C43" w:rsidP="00467C43">
      <w:pPr>
        <w:pStyle w:val="Subhead3sl"/>
        <w:numPr>
          <w:ilvl w:val="0"/>
          <w:numId w:val="13"/>
        </w:numPr>
        <w:ind w:left="360"/>
      </w:pPr>
      <w:r w:rsidRPr="00467C43">
        <w:t xml:space="preserve">Atlanta </w:t>
      </w:r>
      <w:r w:rsidR="00DF7A6E" w:rsidRPr="00467C43">
        <w:t>Constitution</w:t>
      </w:r>
      <w:r>
        <w:t xml:space="preserve"> (Atlanta, GA)</w:t>
      </w:r>
      <w:r w:rsidR="00DF7A6E" w:rsidRPr="00467C43">
        <w:t xml:space="preserve">: </w:t>
      </w:r>
      <w:r w:rsidRPr="00467C43">
        <w:t>“</w:t>
      </w:r>
      <w:r w:rsidR="00DF7A6E" w:rsidRPr="00467C43">
        <w:t>The Supreme Court Has Given Us Time</w:t>
      </w:r>
      <w:r w:rsidRPr="00467C43">
        <w:t>” (</w:t>
      </w:r>
      <w:r w:rsidR="00DF7A6E" w:rsidRPr="00467C43">
        <w:t>May 18, 1954</w:t>
      </w:r>
      <w:r w:rsidRPr="00467C43">
        <w:t>)</w:t>
      </w:r>
    </w:p>
    <w:p w14:paraId="1BA1ECF1" w14:textId="1444C543" w:rsidR="00DF7A6E" w:rsidRPr="00467C43" w:rsidRDefault="00DF7A6E" w:rsidP="00467C43">
      <w:pPr>
        <w:spacing w:after="120"/>
        <w:ind w:left="360"/>
        <w:rPr>
          <w:rFonts w:ascii="Garamond" w:eastAsia="Garamond" w:hAnsi="Garamond" w:cs="Garamond"/>
          <w:sz w:val="25"/>
          <w:szCs w:val="25"/>
        </w:rPr>
      </w:pPr>
      <w:r w:rsidRPr="00467C43">
        <w:rPr>
          <w:rFonts w:ascii="Garamond" w:eastAsia="Garamond" w:hAnsi="Garamond" w:cs="Garamond"/>
          <w:sz w:val="25"/>
          <w:szCs w:val="25"/>
        </w:rPr>
        <w:t xml:space="preserve">The court decision does not mean that Negro and white children will go to school together this fall. The court itself provides for a </w:t>
      </w:r>
      <w:r w:rsidR="00467C43">
        <w:rPr>
          <w:rFonts w:ascii="Garamond" w:eastAsia="Garamond" w:hAnsi="Garamond" w:cs="Garamond"/>
          <w:sz w:val="25"/>
          <w:szCs w:val="25"/>
        </w:rPr>
        <w:t>“</w:t>
      </w:r>
      <w:r w:rsidRPr="00467C43">
        <w:rPr>
          <w:rFonts w:ascii="Garamond" w:eastAsia="Garamond" w:hAnsi="Garamond" w:cs="Garamond"/>
          <w:sz w:val="25"/>
          <w:szCs w:val="25"/>
        </w:rPr>
        <w:t>cooling off</w:t>
      </w:r>
      <w:r w:rsidR="00467C43">
        <w:rPr>
          <w:rFonts w:ascii="Garamond" w:eastAsia="Garamond" w:hAnsi="Garamond" w:cs="Garamond"/>
          <w:sz w:val="25"/>
          <w:szCs w:val="25"/>
        </w:rPr>
        <w:t>”</w:t>
      </w:r>
      <w:r w:rsidRPr="00467C43">
        <w:rPr>
          <w:rFonts w:ascii="Garamond" w:eastAsia="Garamond" w:hAnsi="Garamond" w:cs="Garamond"/>
          <w:sz w:val="25"/>
          <w:szCs w:val="25"/>
        </w:rPr>
        <w:t xml:space="preserve"> period. Not until next autumn will it even begin to hear arguments from the attorneys general of the 17 states involved on how to implement the ruling. Meanwhile, it is no time for hasty or ill-considered actions. It is no time to indulge demagogues on either side nor to listen to those who always are ready to incite violence and hate. It is a time for Georgia to think clearly. Our best minds must be put to work, not to destroy, but to seek out constructive conclusions.</w:t>
      </w:r>
    </w:p>
    <w:p w14:paraId="0D4AAA6A" w14:textId="2508174A" w:rsidR="00DF7A6E" w:rsidRPr="00467C43" w:rsidRDefault="00467C43" w:rsidP="00467C43">
      <w:pPr>
        <w:pStyle w:val="Subhead3sl"/>
        <w:numPr>
          <w:ilvl w:val="0"/>
          <w:numId w:val="13"/>
        </w:numPr>
        <w:ind w:left="360"/>
      </w:pPr>
      <w:r>
        <w:t xml:space="preserve">Boston </w:t>
      </w:r>
      <w:r w:rsidR="00DF7A6E" w:rsidRPr="00467C43">
        <w:t>Herald (Boston</w:t>
      </w:r>
      <w:r>
        <w:t>, MA</w:t>
      </w:r>
      <w:r w:rsidR="00DF7A6E" w:rsidRPr="00467C43">
        <w:t xml:space="preserve">): </w:t>
      </w:r>
      <w:r>
        <w:t>“</w:t>
      </w:r>
      <w:r w:rsidR="00DF7A6E" w:rsidRPr="00467C43">
        <w:t>Equality Redefined</w:t>
      </w:r>
      <w:r>
        <w:t>” (</w:t>
      </w:r>
      <w:r w:rsidR="00DF7A6E" w:rsidRPr="00467C43">
        <w:t>May 18, 1954</w:t>
      </w:r>
      <w:r>
        <w:t>)</w:t>
      </w:r>
    </w:p>
    <w:p w14:paraId="0478658D" w14:textId="77777777" w:rsidR="00DF7A6E" w:rsidRPr="00467C43" w:rsidRDefault="00DF7A6E" w:rsidP="00467C43">
      <w:pPr>
        <w:spacing w:after="120"/>
        <w:ind w:left="360"/>
        <w:rPr>
          <w:rFonts w:ascii="Garamond" w:eastAsia="Garamond" w:hAnsi="Garamond" w:cs="Garamond"/>
          <w:sz w:val="25"/>
          <w:szCs w:val="25"/>
        </w:rPr>
      </w:pPr>
      <w:r w:rsidRPr="00467C43">
        <w:rPr>
          <w:rFonts w:ascii="Garamond" w:eastAsia="Garamond" w:hAnsi="Garamond" w:cs="Garamond"/>
          <w:sz w:val="25"/>
          <w:szCs w:val="25"/>
        </w:rPr>
        <w:t xml:space="preserve">The Supreme Court's history-making decision against racial segregation in the public schools proves more than anything else that the Constitution is still a live and growing </w:t>
      </w:r>
      <w:proofErr w:type="gramStart"/>
      <w:r w:rsidRPr="00467C43">
        <w:rPr>
          <w:rFonts w:ascii="Garamond" w:eastAsia="Garamond" w:hAnsi="Garamond" w:cs="Garamond"/>
          <w:sz w:val="25"/>
          <w:szCs w:val="25"/>
        </w:rPr>
        <w:t>document.. . .</w:t>
      </w:r>
      <w:proofErr w:type="gramEnd"/>
      <w:r w:rsidRPr="00467C43">
        <w:rPr>
          <w:rFonts w:ascii="Garamond" w:eastAsia="Garamond" w:hAnsi="Garamond" w:cs="Garamond"/>
          <w:sz w:val="25"/>
          <w:szCs w:val="25"/>
        </w:rPr>
        <w:t xml:space="preserve"> The segregation ruling is frankly expedient. It recognizes the growing national feeling that </w:t>
      </w:r>
      <w:r w:rsidRPr="00467C43">
        <w:rPr>
          <w:rFonts w:ascii="Garamond" w:eastAsia="Garamond" w:hAnsi="Garamond" w:cs="Garamond"/>
          <w:sz w:val="25"/>
          <w:szCs w:val="25"/>
        </w:rPr>
        <w:lastRenderedPageBreak/>
        <w:t>the separation of Negro (or other minority) children from the majority race at school age is an abuse of the democratic process and the democratic principle. But it is also the culmination of a series of judicial opinions which circumspectly prepared the way for change.</w:t>
      </w:r>
    </w:p>
    <w:p w14:paraId="3A138BF2" w14:textId="16DAF776" w:rsidR="00DF7A6E" w:rsidRPr="00467C43" w:rsidRDefault="00DF7A6E" w:rsidP="00467C43">
      <w:pPr>
        <w:pStyle w:val="Subhead3sl"/>
        <w:numPr>
          <w:ilvl w:val="0"/>
          <w:numId w:val="13"/>
        </w:numPr>
        <w:ind w:left="360"/>
      </w:pPr>
      <w:r w:rsidRPr="00467C43">
        <w:t xml:space="preserve">Cavalier Daily (University of Virginia): </w:t>
      </w:r>
      <w:r w:rsidR="00467C43">
        <w:t>“‘</w:t>
      </w:r>
      <w:r w:rsidRPr="00467C43">
        <w:t>Violates</w:t>
      </w:r>
      <w:r w:rsidR="00467C43">
        <w:t>’</w:t>
      </w:r>
      <w:r w:rsidRPr="00467C43">
        <w:t xml:space="preserve"> Way of Life</w:t>
      </w:r>
      <w:r w:rsidR="00467C43">
        <w:t>”</w:t>
      </w:r>
      <w:r w:rsidRPr="00467C43">
        <w:t xml:space="preserve"> </w:t>
      </w:r>
      <w:r w:rsidR="00467C43">
        <w:t>(</w:t>
      </w:r>
      <w:r w:rsidRPr="00467C43">
        <w:t>May 18, 1954</w:t>
      </w:r>
      <w:r w:rsidR="00467C43">
        <w:t>)</w:t>
      </w:r>
    </w:p>
    <w:p w14:paraId="1AEC883A" w14:textId="2CB25EB8" w:rsidR="00DF7A6E" w:rsidRPr="00467C43" w:rsidRDefault="00DF7A6E" w:rsidP="00467C43">
      <w:pPr>
        <w:spacing w:after="120"/>
        <w:ind w:left="360"/>
        <w:rPr>
          <w:rFonts w:ascii="Garamond" w:eastAsia="Garamond" w:hAnsi="Garamond" w:cs="Garamond"/>
          <w:sz w:val="25"/>
          <w:szCs w:val="25"/>
        </w:rPr>
      </w:pPr>
      <w:r w:rsidRPr="00467C43">
        <w:rPr>
          <w:rFonts w:ascii="Garamond" w:eastAsia="Garamond" w:hAnsi="Garamond" w:cs="Garamond"/>
          <w:sz w:val="25"/>
          <w:szCs w:val="25"/>
        </w:rPr>
        <w:t>It is too early to tell what effect the Supreme Court decision to abolish segregated schools will have on the South</w:t>
      </w:r>
      <w:r w:rsidR="00467C43">
        <w:rPr>
          <w:rFonts w:ascii="Garamond" w:eastAsia="Garamond" w:hAnsi="Garamond" w:cs="Garamond"/>
          <w:sz w:val="25"/>
          <w:szCs w:val="25"/>
        </w:rPr>
        <w:t xml:space="preserve"> </w:t>
      </w:r>
      <w:proofErr w:type="gramStart"/>
      <w:r w:rsidR="00467C43">
        <w:rPr>
          <w:rFonts w:ascii="Garamond" w:eastAsia="Garamond" w:hAnsi="Garamond" w:cs="Garamond"/>
          <w:sz w:val="25"/>
          <w:szCs w:val="25"/>
        </w:rPr>
        <w:t>… .</w:t>
      </w:r>
      <w:proofErr w:type="gramEnd"/>
      <w:r w:rsidRPr="00467C43">
        <w:rPr>
          <w:rFonts w:ascii="Garamond" w:eastAsia="Garamond" w:hAnsi="Garamond" w:cs="Garamond"/>
          <w:sz w:val="25"/>
          <w:szCs w:val="25"/>
        </w:rPr>
        <w:t xml:space="preserve"> Although it is hard from a strict legal point of view to justify any action contrary to law, we feel that the people of the South are justified in their bitterness concerning this decision. To many people this decision is contrary to a way of life and violates the way in which they have thought since 1619.</w:t>
      </w:r>
    </w:p>
    <w:p w14:paraId="066F66AE" w14:textId="62FBC858" w:rsidR="00467C43" w:rsidRDefault="00467C43" w:rsidP="00DF7A6E">
      <w:pPr>
        <w:rPr>
          <w:rFonts w:ascii="Garamond" w:eastAsia="Garamond" w:hAnsi="Garamond" w:cs="Garamond"/>
          <w:sz w:val="24"/>
          <w:szCs w:val="24"/>
        </w:rPr>
      </w:pPr>
    </w:p>
    <w:p w14:paraId="4441E02C" w14:textId="77777777" w:rsidR="00467C43" w:rsidRDefault="00467C43" w:rsidP="00DF7A6E">
      <w:pPr>
        <w:rPr>
          <w:rFonts w:ascii="Garamond" w:eastAsia="Garamond" w:hAnsi="Garamond" w:cs="Garamond"/>
          <w:sz w:val="24"/>
          <w:szCs w:val="24"/>
        </w:rPr>
        <w:sectPr w:rsidR="00467C43"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6EA83BE2" w14:textId="2986065E" w:rsidR="00DF7A6E" w:rsidRPr="00A96DB5" w:rsidRDefault="00DF7A6E" w:rsidP="00DF7A6E">
      <w:pPr>
        <w:rPr>
          <w:rFonts w:ascii="Garamond" w:eastAsia="Garamond" w:hAnsi="Garamond" w:cs="Garamond"/>
          <w:sz w:val="24"/>
          <w:szCs w:val="24"/>
        </w:rPr>
      </w:pPr>
      <w:r w:rsidRPr="00A96DB5">
        <w:rPr>
          <w:rFonts w:ascii="Garamond" w:eastAsia="Garamond" w:hAnsi="Garamond" w:cs="Garamond"/>
          <w:sz w:val="24"/>
          <w:szCs w:val="24"/>
        </w:rPr>
        <w:lastRenderedPageBreak/>
        <w:t xml:space="preserve">Based on the </w:t>
      </w:r>
      <w:r w:rsidR="00922243">
        <w:rPr>
          <w:rFonts w:ascii="Garamond" w:eastAsia="Garamond" w:hAnsi="Garamond" w:cs="Garamond"/>
          <w:sz w:val="24"/>
          <w:szCs w:val="24"/>
        </w:rPr>
        <w:t xml:space="preserve">article </w:t>
      </w:r>
      <w:r w:rsidRPr="00A96DB5">
        <w:rPr>
          <w:rFonts w:ascii="Garamond" w:eastAsia="Garamond" w:hAnsi="Garamond" w:cs="Garamond"/>
          <w:sz w:val="24"/>
          <w:szCs w:val="24"/>
        </w:rPr>
        <w:t>excerpts,</w:t>
      </w:r>
      <w:r w:rsidR="00922243">
        <w:rPr>
          <w:rFonts w:ascii="Garamond" w:eastAsia="Garamond" w:hAnsi="Garamond" w:cs="Garamond"/>
          <w:sz w:val="24"/>
          <w:szCs w:val="24"/>
        </w:rPr>
        <w:t xml:space="preserve"> complete the table below. </w:t>
      </w:r>
      <w:r w:rsidR="00ED2DB3">
        <w:rPr>
          <w:rFonts w:ascii="Garamond" w:eastAsia="Garamond" w:hAnsi="Garamond" w:cs="Garamond"/>
          <w:sz w:val="24"/>
          <w:szCs w:val="24"/>
        </w:rPr>
        <w:t>What w</w:t>
      </w:r>
      <w:r w:rsidR="00ED2DB3">
        <w:rPr>
          <w:rFonts w:ascii="Garamond" w:eastAsia="Garamond" w:hAnsi="Garamond" w:cs="Garamond"/>
          <w:sz w:val="24"/>
          <w:szCs w:val="24"/>
        </w:rPr>
        <w:t xml:space="preserve">ere </w:t>
      </w:r>
      <w:r w:rsidR="00ED2DB3">
        <w:rPr>
          <w:rFonts w:ascii="Garamond" w:eastAsia="Garamond" w:hAnsi="Garamond" w:cs="Garamond"/>
          <w:sz w:val="24"/>
          <w:szCs w:val="24"/>
        </w:rPr>
        <w:t>the excerpt</w:t>
      </w:r>
      <w:r w:rsidR="00983DE5">
        <w:rPr>
          <w:rFonts w:ascii="Garamond" w:eastAsia="Garamond" w:hAnsi="Garamond" w:cs="Garamond"/>
          <w:sz w:val="24"/>
          <w:szCs w:val="24"/>
        </w:rPr>
        <w:t>’</w:t>
      </w:r>
      <w:r w:rsidR="00ED2DB3">
        <w:rPr>
          <w:rFonts w:ascii="Garamond" w:eastAsia="Garamond" w:hAnsi="Garamond" w:cs="Garamond"/>
          <w:sz w:val="24"/>
          <w:szCs w:val="24"/>
        </w:rPr>
        <w:t>s main arguments?</w:t>
      </w:r>
      <w:r w:rsidR="00ED2DB3">
        <w:rPr>
          <w:rFonts w:ascii="Garamond" w:eastAsia="Garamond" w:hAnsi="Garamond" w:cs="Garamond"/>
          <w:sz w:val="24"/>
          <w:szCs w:val="24"/>
        </w:rPr>
        <w:t xml:space="preserve"> </w:t>
      </w:r>
      <w:r w:rsidRPr="00A96DB5">
        <w:rPr>
          <w:rFonts w:ascii="Garamond" w:eastAsia="Garamond" w:hAnsi="Garamond" w:cs="Garamond"/>
          <w:sz w:val="24"/>
          <w:szCs w:val="24"/>
        </w:rPr>
        <w:t>W</w:t>
      </w:r>
      <w:r w:rsidR="00983DE5">
        <w:rPr>
          <w:rFonts w:ascii="Garamond" w:eastAsia="Garamond" w:hAnsi="Garamond" w:cs="Garamond"/>
          <w:sz w:val="24"/>
          <w:szCs w:val="24"/>
        </w:rPr>
        <w:t xml:space="preserve">as it </w:t>
      </w:r>
      <w:r w:rsidRPr="00A96DB5">
        <w:rPr>
          <w:rFonts w:ascii="Garamond" w:eastAsia="Garamond" w:hAnsi="Garamond" w:cs="Garamond"/>
          <w:sz w:val="24"/>
          <w:szCs w:val="24"/>
        </w:rPr>
        <w:t xml:space="preserve">in favor </w:t>
      </w:r>
      <w:r w:rsidR="00295C56">
        <w:rPr>
          <w:rFonts w:ascii="Garamond" w:eastAsia="Garamond" w:hAnsi="Garamond" w:cs="Garamond"/>
          <w:sz w:val="24"/>
          <w:szCs w:val="24"/>
        </w:rPr>
        <w:t>of following the</w:t>
      </w:r>
      <w:r w:rsidRPr="00A96DB5">
        <w:rPr>
          <w:rFonts w:ascii="Garamond" w:eastAsia="Garamond" w:hAnsi="Garamond" w:cs="Garamond"/>
          <w:sz w:val="24"/>
          <w:szCs w:val="24"/>
        </w:rPr>
        <w:t xml:space="preserve"> precedent</w:t>
      </w:r>
      <w:r w:rsidR="00295C56">
        <w:rPr>
          <w:rFonts w:ascii="Garamond" w:eastAsia="Garamond" w:hAnsi="Garamond" w:cs="Garamond"/>
          <w:sz w:val="24"/>
          <w:szCs w:val="24"/>
        </w:rPr>
        <w:t xml:space="preserve"> set in </w:t>
      </w:r>
      <w:r w:rsidR="00295C56" w:rsidRPr="00295C56">
        <w:rPr>
          <w:rFonts w:ascii="Garamond" w:eastAsia="Garamond" w:hAnsi="Garamond" w:cs="Garamond"/>
          <w:i/>
          <w:iCs/>
          <w:sz w:val="24"/>
          <w:szCs w:val="24"/>
        </w:rPr>
        <w:t>Plessy v. Ferguson</w:t>
      </w:r>
      <w:r w:rsidRPr="00A96DB5">
        <w:rPr>
          <w:rFonts w:ascii="Garamond" w:eastAsia="Garamond" w:hAnsi="Garamond" w:cs="Garamond"/>
          <w:sz w:val="24"/>
          <w:szCs w:val="24"/>
        </w:rPr>
        <w:t xml:space="preserve"> (keeping segregation)</w:t>
      </w:r>
      <w:r w:rsidR="00983DE5">
        <w:rPr>
          <w:rFonts w:ascii="Garamond" w:eastAsia="Garamond" w:hAnsi="Garamond" w:cs="Garamond"/>
          <w:sz w:val="24"/>
          <w:szCs w:val="24"/>
        </w:rPr>
        <w:t xml:space="preserve"> or </w:t>
      </w:r>
      <w:r w:rsidRPr="00A96DB5">
        <w:rPr>
          <w:rFonts w:ascii="Garamond" w:eastAsia="Garamond" w:hAnsi="Garamond" w:cs="Garamond"/>
          <w:sz w:val="24"/>
          <w:szCs w:val="24"/>
        </w:rPr>
        <w:t xml:space="preserve">in favor of overturning </w:t>
      </w:r>
      <w:r w:rsidR="00295C56">
        <w:rPr>
          <w:rFonts w:ascii="Garamond" w:eastAsia="Garamond" w:hAnsi="Garamond" w:cs="Garamond"/>
          <w:sz w:val="24"/>
          <w:szCs w:val="24"/>
        </w:rPr>
        <w:t xml:space="preserve">the </w:t>
      </w:r>
      <w:r w:rsidRPr="00A96DB5">
        <w:rPr>
          <w:rFonts w:ascii="Garamond" w:eastAsia="Garamond" w:hAnsi="Garamond" w:cs="Garamond"/>
          <w:sz w:val="24"/>
          <w:szCs w:val="24"/>
        </w:rPr>
        <w:t>precedent</w:t>
      </w:r>
      <w:r w:rsidR="00922243">
        <w:rPr>
          <w:rFonts w:ascii="Garamond" w:eastAsia="Garamond" w:hAnsi="Garamond" w:cs="Garamond"/>
          <w:sz w:val="24"/>
          <w:szCs w:val="24"/>
        </w:rPr>
        <w:t xml:space="preserve"> (</w:t>
      </w:r>
      <w:r w:rsidR="00ED2DB3">
        <w:rPr>
          <w:rFonts w:ascii="Garamond" w:eastAsia="Garamond" w:hAnsi="Garamond" w:cs="Garamond"/>
          <w:sz w:val="24"/>
          <w:szCs w:val="24"/>
        </w:rPr>
        <w:t>integration</w:t>
      </w:r>
      <w:r w:rsidR="00922243">
        <w:rPr>
          <w:rFonts w:ascii="Garamond" w:eastAsia="Garamond" w:hAnsi="Garamond" w:cs="Garamond"/>
          <w:sz w:val="24"/>
          <w:szCs w:val="24"/>
        </w:rPr>
        <w:t>)</w:t>
      </w:r>
      <w:r w:rsidRPr="00A96DB5">
        <w:rPr>
          <w:rFonts w:ascii="Garamond" w:eastAsia="Garamond" w:hAnsi="Garamond" w:cs="Garamond"/>
          <w:sz w:val="24"/>
          <w:szCs w:val="24"/>
        </w:rPr>
        <w:t>?</w:t>
      </w:r>
      <w:r w:rsidR="002E13E3">
        <w:rPr>
          <w:rFonts w:ascii="Garamond" w:eastAsia="Garamond" w:hAnsi="Garamond" w:cs="Garamond"/>
          <w:sz w:val="24"/>
          <w:szCs w:val="24"/>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0"/>
        <w:gridCol w:w="5220"/>
        <w:gridCol w:w="2515"/>
        <w:gridCol w:w="2515"/>
      </w:tblGrid>
      <w:tr w:rsidR="00ED2DB3" w:rsidRPr="00791C96" w14:paraId="0FAC8CB8" w14:textId="77777777" w:rsidTr="00ED2DB3">
        <w:tc>
          <w:tcPr>
            <w:tcW w:w="2690" w:type="dxa"/>
            <w:shd w:val="clear" w:color="auto" w:fill="F2F2F2" w:themeFill="background1" w:themeFillShade="F2"/>
            <w:vAlign w:val="center"/>
          </w:tcPr>
          <w:p w14:paraId="20E5F1E5" w14:textId="59ACB0EE" w:rsidR="00ED2DB3" w:rsidRPr="00ED2DB3" w:rsidRDefault="00ED2DB3" w:rsidP="00ED2DB3">
            <w:pPr>
              <w:widowControl w:val="0"/>
              <w:pBdr>
                <w:top w:val="nil"/>
                <w:left w:val="nil"/>
                <w:bottom w:val="nil"/>
                <w:right w:val="nil"/>
                <w:between w:val="nil"/>
              </w:pBdr>
              <w:spacing w:after="120" w:line="240" w:lineRule="auto"/>
              <w:jc w:val="center"/>
              <w:rPr>
                <w:rFonts w:ascii="Garamond" w:eastAsia="Garamond" w:hAnsi="Garamond" w:cs="Garamond"/>
                <w:b/>
              </w:rPr>
            </w:pPr>
            <w:r w:rsidRPr="00ED2DB3">
              <w:rPr>
                <w:rFonts w:ascii="Garamond" w:eastAsia="Garamond" w:hAnsi="Garamond" w:cs="Garamond"/>
                <w:b/>
              </w:rPr>
              <w:t>Newspaper</w:t>
            </w:r>
          </w:p>
        </w:tc>
        <w:tc>
          <w:tcPr>
            <w:tcW w:w="5220" w:type="dxa"/>
            <w:shd w:val="clear" w:color="auto" w:fill="F2F2F2" w:themeFill="background1" w:themeFillShade="F2"/>
            <w:vAlign w:val="center"/>
          </w:tcPr>
          <w:p w14:paraId="3C6FA322" w14:textId="102140F0" w:rsidR="00ED2DB3" w:rsidRPr="00ED2DB3" w:rsidRDefault="00ED2DB3" w:rsidP="00ED2DB3">
            <w:pPr>
              <w:widowControl w:val="0"/>
              <w:pBdr>
                <w:top w:val="nil"/>
                <w:left w:val="nil"/>
                <w:bottom w:val="nil"/>
                <w:right w:val="nil"/>
                <w:between w:val="nil"/>
              </w:pBdr>
              <w:spacing w:after="120" w:line="240" w:lineRule="auto"/>
              <w:jc w:val="center"/>
              <w:rPr>
                <w:rFonts w:ascii="Garamond" w:eastAsia="Garamond" w:hAnsi="Garamond" w:cs="Garamond"/>
                <w:b/>
              </w:rPr>
            </w:pPr>
            <w:r w:rsidRPr="00ED2DB3">
              <w:rPr>
                <w:rFonts w:ascii="Garamond" w:eastAsia="Garamond" w:hAnsi="Garamond" w:cs="Garamond"/>
                <w:b/>
              </w:rPr>
              <w:t>Main arguments</w:t>
            </w:r>
          </w:p>
        </w:tc>
        <w:tc>
          <w:tcPr>
            <w:tcW w:w="2515" w:type="dxa"/>
            <w:shd w:val="clear" w:color="auto" w:fill="F2F2F2" w:themeFill="background1" w:themeFillShade="F2"/>
            <w:tcMar>
              <w:top w:w="100" w:type="dxa"/>
              <w:left w:w="100" w:type="dxa"/>
              <w:bottom w:w="100" w:type="dxa"/>
              <w:right w:w="100" w:type="dxa"/>
            </w:tcMar>
            <w:vAlign w:val="center"/>
          </w:tcPr>
          <w:p w14:paraId="470E4C08" w14:textId="01713035" w:rsidR="00ED2DB3" w:rsidRPr="00ED2DB3" w:rsidRDefault="00ED2DB3" w:rsidP="00ED2DB3">
            <w:pPr>
              <w:widowControl w:val="0"/>
              <w:pBdr>
                <w:top w:val="nil"/>
                <w:left w:val="nil"/>
                <w:bottom w:val="nil"/>
                <w:right w:val="nil"/>
                <w:between w:val="nil"/>
              </w:pBdr>
              <w:spacing w:after="120" w:line="240" w:lineRule="auto"/>
              <w:jc w:val="center"/>
              <w:rPr>
                <w:rFonts w:ascii="Garamond" w:eastAsia="Garamond" w:hAnsi="Garamond" w:cs="Garamond"/>
                <w:b/>
              </w:rPr>
            </w:pPr>
            <w:r w:rsidRPr="00ED2DB3">
              <w:rPr>
                <w:rFonts w:ascii="Garamond" w:eastAsia="Garamond" w:hAnsi="Garamond" w:cs="Garamond"/>
                <w:b/>
              </w:rPr>
              <w:t>Stay with Precedent/</w:t>
            </w:r>
            <w:r w:rsidRPr="00ED2DB3">
              <w:rPr>
                <w:rFonts w:ascii="Garamond" w:eastAsia="Garamond" w:hAnsi="Garamond" w:cs="Garamond"/>
                <w:b/>
              </w:rPr>
              <w:br/>
              <w:t>Keep Segregation?</w:t>
            </w:r>
          </w:p>
        </w:tc>
        <w:tc>
          <w:tcPr>
            <w:tcW w:w="2515" w:type="dxa"/>
            <w:shd w:val="clear" w:color="auto" w:fill="F2F2F2" w:themeFill="background1" w:themeFillShade="F2"/>
            <w:tcMar>
              <w:top w:w="100" w:type="dxa"/>
              <w:left w:w="100" w:type="dxa"/>
              <w:bottom w:w="100" w:type="dxa"/>
              <w:right w:w="100" w:type="dxa"/>
            </w:tcMar>
            <w:vAlign w:val="center"/>
          </w:tcPr>
          <w:p w14:paraId="0A879D5C" w14:textId="37A0BAE0" w:rsidR="00ED2DB3" w:rsidRPr="00ED2DB3" w:rsidRDefault="00ED2DB3" w:rsidP="00ED2DB3">
            <w:pPr>
              <w:widowControl w:val="0"/>
              <w:pBdr>
                <w:top w:val="nil"/>
                <w:left w:val="nil"/>
                <w:bottom w:val="nil"/>
                <w:right w:val="nil"/>
                <w:between w:val="nil"/>
              </w:pBdr>
              <w:spacing w:after="120" w:line="240" w:lineRule="auto"/>
              <w:jc w:val="center"/>
              <w:rPr>
                <w:rFonts w:ascii="Garamond" w:eastAsia="Garamond" w:hAnsi="Garamond" w:cs="Garamond"/>
                <w:b/>
              </w:rPr>
            </w:pPr>
            <w:r w:rsidRPr="00ED2DB3">
              <w:rPr>
                <w:rFonts w:ascii="Garamond" w:eastAsia="Garamond" w:hAnsi="Garamond" w:cs="Garamond"/>
                <w:b/>
              </w:rPr>
              <w:t>Overturn Precedent/</w:t>
            </w:r>
            <w:r w:rsidRPr="00ED2DB3">
              <w:rPr>
                <w:rFonts w:ascii="Garamond" w:eastAsia="Garamond" w:hAnsi="Garamond" w:cs="Garamond"/>
                <w:b/>
              </w:rPr>
              <w:br/>
              <w:t>Begin Integration?</w:t>
            </w:r>
          </w:p>
        </w:tc>
      </w:tr>
      <w:tr w:rsidR="00ED2DB3" w:rsidRPr="00791C96" w14:paraId="3DDA0B8B" w14:textId="77777777" w:rsidTr="00ED2DB3">
        <w:trPr>
          <w:trHeight w:val="2016"/>
        </w:trPr>
        <w:tc>
          <w:tcPr>
            <w:tcW w:w="2690" w:type="dxa"/>
          </w:tcPr>
          <w:p w14:paraId="5E46E7E7" w14:textId="1775188E" w:rsidR="00ED2DB3" w:rsidRPr="00ED2DB3" w:rsidRDefault="00ED2DB3" w:rsidP="00ED2DB3">
            <w:pPr>
              <w:pStyle w:val="ListParagraph"/>
              <w:widowControl w:val="0"/>
              <w:numPr>
                <w:ilvl w:val="0"/>
                <w:numId w:val="14"/>
              </w:numPr>
              <w:pBdr>
                <w:top w:val="nil"/>
                <w:left w:val="nil"/>
                <w:bottom w:val="nil"/>
                <w:right w:val="nil"/>
                <w:between w:val="nil"/>
              </w:pBdr>
              <w:spacing w:after="120" w:line="240" w:lineRule="auto"/>
              <w:ind w:left="335"/>
              <w:rPr>
                <w:rFonts w:ascii="Garamond" w:eastAsia="Garamond" w:hAnsi="Garamond" w:cs="Garamond"/>
                <w:b/>
                <w:sz w:val="24"/>
                <w:szCs w:val="24"/>
              </w:rPr>
            </w:pPr>
            <w:r w:rsidRPr="00ED2DB3">
              <w:rPr>
                <w:rFonts w:ascii="Garamond" w:eastAsia="Garamond" w:hAnsi="Garamond" w:cs="Garamond"/>
                <w:b/>
                <w:sz w:val="24"/>
                <w:szCs w:val="24"/>
              </w:rPr>
              <w:t>New York Times</w:t>
            </w:r>
          </w:p>
        </w:tc>
        <w:tc>
          <w:tcPr>
            <w:tcW w:w="5220" w:type="dxa"/>
          </w:tcPr>
          <w:p w14:paraId="1823DBB9"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auto"/>
            <w:tcMar>
              <w:top w:w="100" w:type="dxa"/>
              <w:left w:w="100" w:type="dxa"/>
              <w:bottom w:w="100" w:type="dxa"/>
              <w:right w:w="100" w:type="dxa"/>
            </w:tcMar>
          </w:tcPr>
          <w:p w14:paraId="699F2E75" w14:textId="21D2340F"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auto"/>
            <w:tcMar>
              <w:top w:w="100" w:type="dxa"/>
              <w:left w:w="100" w:type="dxa"/>
              <w:bottom w:w="100" w:type="dxa"/>
              <w:right w:w="100" w:type="dxa"/>
            </w:tcMar>
          </w:tcPr>
          <w:p w14:paraId="1AC62083"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r>
      <w:tr w:rsidR="00ED2DB3" w:rsidRPr="00791C96" w14:paraId="7F121361" w14:textId="77777777" w:rsidTr="00ED2DB3">
        <w:trPr>
          <w:trHeight w:val="2016"/>
        </w:trPr>
        <w:tc>
          <w:tcPr>
            <w:tcW w:w="2690" w:type="dxa"/>
            <w:shd w:val="clear" w:color="auto" w:fill="F2F2F2" w:themeFill="background1" w:themeFillShade="F2"/>
          </w:tcPr>
          <w:p w14:paraId="5AFF2946" w14:textId="63991D1A" w:rsidR="00ED2DB3" w:rsidRPr="00ED2DB3" w:rsidRDefault="00ED2DB3" w:rsidP="00ED2DB3">
            <w:pPr>
              <w:pStyle w:val="ListParagraph"/>
              <w:widowControl w:val="0"/>
              <w:numPr>
                <w:ilvl w:val="0"/>
                <w:numId w:val="14"/>
              </w:numPr>
              <w:pBdr>
                <w:top w:val="nil"/>
                <w:left w:val="nil"/>
                <w:bottom w:val="nil"/>
                <w:right w:val="nil"/>
                <w:between w:val="nil"/>
              </w:pBdr>
              <w:spacing w:after="120" w:line="240" w:lineRule="auto"/>
              <w:ind w:left="335"/>
              <w:rPr>
                <w:rFonts w:ascii="Garamond" w:eastAsia="Garamond" w:hAnsi="Garamond" w:cs="Garamond"/>
                <w:b/>
                <w:sz w:val="24"/>
                <w:szCs w:val="24"/>
              </w:rPr>
            </w:pPr>
            <w:r w:rsidRPr="00ED2DB3">
              <w:rPr>
                <w:rFonts w:ascii="Garamond" w:eastAsia="Garamond" w:hAnsi="Garamond" w:cs="Garamond"/>
                <w:b/>
                <w:sz w:val="24"/>
                <w:szCs w:val="24"/>
              </w:rPr>
              <w:t>Chicago Defender</w:t>
            </w:r>
          </w:p>
        </w:tc>
        <w:tc>
          <w:tcPr>
            <w:tcW w:w="5220" w:type="dxa"/>
            <w:shd w:val="clear" w:color="auto" w:fill="F2F2F2" w:themeFill="background1" w:themeFillShade="F2"/>
          </w:tcPr>
          <w:p w14:paraId="09DF3D2C"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F2F2F2" w:themeFill="background1" w:themeFillShade="F2"/>
            <w:tcMar>
              <w:top w:w="100" w:type="dxa"/>
              <w:left w:w="100" w:type="dxa"/>
              <w:bottom w:w="100" w:type="dxa"/>
              <w:right w:w="100" w:type="dxa"/>
            </w:tcMar>
          </w:tcPr>
          <w:p w14:paraId="543A732F"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F2F2F2" w:themeFill="background1" w:themeFillShade="F2"/>
            <w:tcMar>
              <w:top w:w="100" w:type="dxa"/>
              <w:left w:w="100" w:type="dxa"/>
              <w:bottom w:w="100" w:type="dxa"/>
              <w:right w:w="100" w:type="dxa"/>
            </w:tcMar>
          </w:tcPr>
          <w:p w14:paraId="6161C6BC"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r>
      <w:tr w:rsidR="00ED2DB3" w:rsidRPr="00791C96" w14:paraId="6365230E" w14:textId="77777777" w:rsidTr="00ED2DB3">
        <w:trPr>
          <w:trHeight w:val="2016"/>
        </w:trPr>
        <w:tc>
          <w:tcPr>
            <w:tcW w:w="2690" w:type="dxa"/>
          </w:tcPr>
          <w:p w14:paraId="2640FA95" w14:textId="2A2DB76F" w:rsidR="00ED2DB3" w:rsidRPr="00ED2DB3" w:rsidRDefault="00ED2DB3" w:rsidP="00ED2DB3">
            <w:pPr>
              <w:pStyle w:val="ListParagraph"/>
              <w:widowControl w:val="0"/>
              <w:numPr>
                <w:ilvl w:val="0"/>
                <w:numId w:val="14"/>
              </w:numPr>
              <w:pBdr>
                <w:top w:val="nil"/>
                <w:left w:val="nil"/>
                <w:bottom w:val="nil"/>
                <w:right w:val="nil"/>
                <w:between w:val="nil"/>
              </w:pBdr>
              <w:spacing w:after="120" w:line="240" w:lineRule="auto"/>
              <w:ind w:left="335"/>
              <w:rPr>
                <w:rFonts w:ascii="Garamond" w:eastAsia="Garamond" w:hAnsi="Garamond" w:cs="Garamond"/>
                <w:b/>
                <w:sz w:val="24"/>
                <w:szCs w:val="24"/>
              </w:rPr>
            </w:pPr>
            <w:r w:rsidRPr="00ED2DB3">
              <w:rPr>
                <w:rFonts w:ascii="Garamond" w:eastAsia="Garamond" w:hAnsi="Garamond" w:cs="Garamond"/>
                <w:b/>
                <w:sz w:val="24"/>
                <w:szCs w:val="24"/>
              </w:rPr>
              <w:t>Washington Post and Times-Herald</w:t>
            </w:r>
          </w:p>
        </w:tc>
        <w:tc>
          <w:tcPr>
            <w:tcW w:w="5220" w:type="dxa"/>
          </w:tcPr>
          <w:p w14:paraId="25D9E538"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auto"/>
            <w:tcMar>
              <w:top w:w="100" w:type="dxa"/>
              <w:left w:w="100" w:type="dxa"/>
              <w:bottom w:w="100" w:type="dxa"/>
              <w:right w:w="100" w:type="dxa"/>
            </w:tcMar>
          </w:tcPr>
          <w:p w14:paraId="333B6CF0"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auto"/>
            <w:tcMar>
              <w:top w:w="100" w:type="dxa"/>
              <w:left w:w="100" w:type="dxa"/>
              <w:bottom w:w="100" w:type="dxa"/>
              <w:right w:w="100" w:type="dxa"/>
            </w:tcMar>
          </w:tcPr>
          <w:p w14:paraId="09CEF3A1"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r>
      <w:tr w:rsidR="00ED2DB3" w:rsidRPr="00791C96" w14:paraId="1118EB87" w14:textId="77777777" w:rsidTr="00ED2DB3">
        <w:trPr>
          <w:trHeight w:val="2016"/>
        </w:trPr>
        <w:tc>
          <w:tcPr>
            <w:tcW w:w="2690" w:type="dxa"/>
            <w:shd w:val="clear" w:color="auto" w:fill="F2F2F2" w:themeFill="background1" w:themeFillShade="F2"/>
          </w:tcPr>
          <w:p w14:paraId="68040879" w14:textId="59A47E15" w:rsidR="00ED2DB3" w:rsidRPr="00ED2DB3" w:rsidRDefault="00ED2DB3" w:rsidP="00ED2DB3">
            <w:pPr>
              <w:pStyle w:val="ListParagraph"/>
              <w:widowControl w:val="0"/>
              <w:numPr>
                <w:ilvl w:val="0"/>
                <w:numId w:val="14"/>
              </w:numPr>
              <w:pBdr>
                <w:top w:val="nil"/>
                <w:left w:val="nil"/>
                <w:bottom w:val="nil"/>
                <w:right w:val="nil"/>
                <w:between w:val="nil"/>
              </w:pBdr>
              <w:spacing w:after="120" w:line="240" w:lineRule="auto"/>
              <w:ind w:left="335"/>
              <w:rPr>
                <w:rFonts w:ascii="Garamond" w:eastAsia="Garamond" w:hAnsi="Garamond" w:cs="Garamond"/>
                <w:b/>
                <w:sz w:val="24"/>
                <w:szCs w:val="24"/>
              </w:rPr>
            </w:pPr>
            <w:r w:rsidRPr="00ED2DB3">
              <w:rPr>
                <w:rFonts w:ascii="Garamond" w:eastAsia="Garamond" w:hAnsi="Garamond" w:cs="Garamond"/>
                <w:b/>
                <w:sz w:val="24"/>
                <w:szCs w:val="24"/>
              </w:rPr>
              <w:lastRenderedPageBreak/>
              <w:t>Jackson Daily News</w:t>
            </w:r>
          </w:p>
        </w:tc>
        <w:tc>
          <w:tcPr>
            <w:tcW w:w="5220" w:type="dxa"/>
            <w:shd w:val="clear" w:color="auto" w:fill="F2F2F2" w:themeFill="background1" w:themeFillShade="F2"/>
          </w:tcPr>
          <w:p w14:paraId="7DC5EE95"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F2F2F2" w:themeFill="background1" w:themeFillShade="F2"/>
            <w:tcMar>
              <w:top w:w="100" w:type="dxa"/>
              <w:left w:w="100" w:type="dxa"/>
              <w:bottom w:w="100" w:type="dxa"/>
              <w:right w:w="100" w:type="dxa"/>
            </w:tcMar>
          </w:tcPr>
          <w:p w14:paraId="2D5EC829"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F2F2F2" w:themeFill="background1" w:themeFillShade="F2"/>
            <w:tcMar>
              <w:top w:w="100" w:type="dxa"/>
              <w:left w:w="100" w:type="dxa"/>
              <w:bottom w:w="100" w:type="dxa"/>
              <w:right w:w="100" w:type="dxa"/>
            </w:tcMar>
          </w:tcPr>
          <w:p w14:paraId="28319474"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r>
      <w:tr w:rsidR="00ED2DB3" w:rsidRPr="00791C96" w14:paraId="3261601E" w14:textId="77777777" w:rsidTr="00ED2DB3">
        <w:trPr>
          <w:trHeight w:val="2016"/>
        </w:trPr>
        <w:tc>
          <w:tcPr>
            <w:tcW w:w="2690" w:type="dxa"/>
          </w:tcPr>
          <w:p w14:paraId="457A305E" w14:textId="00B32459" w:rsidR="00ED2DB3" w:rsidRPr="00ED2DB3" w:rsidRDefault="00ED2DB3" w:rsidP="00ED2DB3">
            <w:pPr>
              <w:pStyle w:val="ListParagraph"/>
              <w:widowControl w:val="0"/>
              <w:numPr>
                <w:ilvl w:val="0"/>
                <w:numId w:val="14"/>
              </w:numPr>
              <w:pBdr>
                <w:top w:val="nil"/>
                <w:left w:val="nil"/>
                <w:bottom w:val="nil"/>
                <w:right w:val="nil"/>
                <w:between w:val="nil"/>
              </w:pBdr>
              <w:spacing w:after="120" w:line="240" w:lineRule="auto"/>
              <w:ind w:left="335"/>
              <w:rPr>
                <w:rFonts w:ascii="Garamond" w:eastAsia="Garamond" w:hAnsi="Garamond" w:cs="Garamond"/>
                <w:b/>
                <w:sz w:val="24"/>
                <w:szCs w:val="24"/>
              </w:rPr>
            </w:pPr>
            <w:r w:rsidRPr="00ED2DB3">
              <w:rPr>
                <w:rFonts w:ascii="Garamond" w:eastAsia="Garamond" w:hAnsi="Garamond" w:cs="Garamond"/>
                <w:b/>
                <w:sz w:val="24"/>
                <w:szCs w:val="24"/>
              </w:rPr>
              <w:t>Atlanta Constitution</w:t>
            </w:r>
          </w:p>
        </w:tc>
        <w:tc>
          <w:tcPr>
            <w:tcW w:w="5220" w:type="dxa"/>
          </w:tcPr>
          <w:p w14:paraId="7B9E4D07"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auto"/>
            <w:tcMar>
              <w:top w:w="100" w:type="dxa"/>
              <w:left w:w="100" w:type="dxa"/>
              <w:bottom w:w="100" w:type="dxa"/>
              <w:right w:w="100" w:type="dxa"/>
            </w:tcMar>
          </w:tcPr>
          <w:p w14:paraId="02FDFF4E"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auto"/>
            <w:tcMar>
              <w:top w:w="100" w:type="dxa"/>
              <w:left w:w="100" w:type="dxa"/>
              <w:bottom w:w="100" w:type="dxa"/>
              <w:right w:w="100" w:type="dxa"/>
            </w:tcMar>
          </w:tcPr>
          <w:p w14:paraId="65380D41"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r>
      <w:tr w:rsidR="00ED2DB3" w:rsidRPr="00791C96" w14:paraId="2748F484" w14:textId="77777777" w:rsidTr="00ED2DB3">
        <w:trPr>
          <w:trHeight w:val="2016"/>
        </w:trPr>
        <w:tc>
          <w:tcPr>
            <w:tcW w:w="2690" w:type="dxa"/>
            <w:shd w:val="clear" w:color="auto" w:fill="F2F2F2" w:themeFill="background1" w:themeFillShade="F2"/>
          </w:tcPr>
          <w:p w14:paraId="2011CDB6" w14:textId="3E1A9CA5" w:rsidR="00ED2DB3" w:rsidRPr="00ED2DB3" w:rsidRDefault="00ED2DB3" w:rsidP="00ED2DB3">
            <w:pPr>
              <w:pStyle w:val="ListParagraph"/>
              <w:widowControl w:val="0"/>
              <w:numPr>
                <w:ilvl w:val="0"/>
                <w:numId w:val="14"/>
              </w:numPr>
              <w:pBdr>
                <w:top w:val="nil"/>
                <w:left w:val="nil"/>
                <w:bottom w:val="nil"/>
                <w:right w:val="nil"/>
                <w:between w:val="nil"/>
              </w:pBdr>
              <w:spacing w:after="120" w:line="240" w:lineRule="auto"/>
              <w:ind w:left="335"/>
              <w:rPr>
                <w:rFonts w:ascii="Garamond" w:eastAsia="Garamond" w:hAnsi="Garamond" w:cs="Garamond"/>
                <w:b/>
                <w:sz w:val="24"/>
                <w:szCs w:val="24"/>
              </w:rPr>
            </w:pPr>
            <w:r w:rsidRPr="00ED2DB3">
              <w:rPr>
                <w:rFonts w:ascii="Garamond" w:eastAsia="Garamond" w:hAnsi="Garamond" w:cs="Garamond"/>
                <w:b/>
                <w:sz w:val="24"/>
                <w:szCs w:val="24"/>
              </w:rPr>
              <w:t>Boston Herald</w:t>
            </w:r>
          </w:p>
        </w:tc>
        <w:tc>
          <w:tcPr>
            <w:tcW w:w="5220" w:type="dxa"/>
            <w:shd w:val="clear" w:color="auto" w:fill="F2F2F2" w:themeFill="background1" w:themeFillShade="F2"/>
          </w:tcPr>
          <w:p w14:paraId="660D7118"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F2F2F2" w:themeFill="background1" w:themeFillShade="F2"/>
            <w:tcMar>
              <w:top w:w="100" w:type="dxa"/>
              <w:left w:w="100" w:type="dxa"/>
              <w:bottom w:w="100" w:type="dxa"/>
              <w:right w:w="100" w:type="dxa"/>
            </w:tcMar>
          </w:tcPr>
          <w:p w14:paraId="2CB8857B"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F2F2F2" w:themeFill="background1" w:themeFillShade="F2"/>
            <w:tcMar>
              <w:top w:w="100" w:type="dxa"/>
              <w:left w:w="100" w:type="dxa"/>
              <w:bottom w:w="100" w:type="dxa"/>
              <w:right w:w="100" w:type="dxa"/>
            </w:tcMar>
          </w:tcPr>
          <w:p w14:paraId="3DE57868"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r>
      <w:tr w:rsidR="00ED2DB3" w:rsidRPr="00791C96" w14:paraId="01B6A695" w14:textId="77777777" w:rsidTr="00ED2DB3">
        <w:trPr>
          <w:trHeight w:val="2016"/>
        </w:trPr>
        <w:tc>
          <w:tcPr>
            <w:tcW w:w="2690" w:type="dxa"/>
          </w:tcPr>
          <w:p w14:paraId="40CBBF91" w14:textId="33640719" w:rsidR="00ED2DB3" w:rsidRPr="00ED2DB3" w:rsidRDefault="00ED2DB3" w:rsidP="00ED2DB3">
            <w:pPr>
              <w:pStyle w:val="ListParagraph"/>
              <w:widowControl w:val="0"/>
              <w:numPr>
                <w:ilvl w:val="0"/>
                <w:numId w:val="14"/>
              </w:numPr>
              <w:pBdr>
                <w:top w:val="nil"/>
                <w:left w:val="nil"/>
                <w:bottom w:val="nil"/>
                <w:right w:val="nil"/>
                <w:between w:val="nil"/>
              </w:pBdr>
              <w:spacing w:after="120" w:line="240" w:lineRule="auto"/>
              <w:ind w:left="335"/>
              <w:rPr>
                <w:rFonts w:ascii="Garamond" w:eastAsia="Garamond" w:hAnsi="Garamond" w:cs="Garamond"/>
                <w:b/>
                <w:sz w:val="24"/>
                <w:szCs w:val="24"/>
              </w:rPr>
            </w:pPr>
            <w:r w:rsidRPr="00ED2DB3">
              <w:rPr>
                <w:rFonts w:ascii="Garamond" w:eastAsia="Garamond" w:hAnsi="Garamond" w:cs="Garamond"/>
                <w:b/>
                <w:sz w:val="24"/>
                <w:szCs w:val="24"/>
              </w:rPr>
              <w:t>Cavalier Daily</w:t>
            </w:r>
          </w:p>
        </w:tc>
        <w:tc>
          <w:tcPr>
            <w:tcW w:w="5220" w:type="dxa"/>
          </w:tcPr>
          <w:p w14:paraId="6380E1DC"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auto"/>
            <w:tcMar>
              <w:top w:w="100" w:type="dxa"/>
              <w:left w:w="100" w:type="dxa"/>
              <w:bottom w:w="100" w:type="dxa"/>
              <w:right w:w="100" w:type="dxa"/>
            </w:tcMar>
          </w:tcPr>
          <w:p w14:paraId="62659A00"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c>
          <w:tcPr>
            <w:tcW w:w="2515" w:type="dxa"/>
            <w:shd w:val="clear" w:color="auto" w:fill="auto"/>
            <w:tcMar>
              <w:top w:w="100" w:type="dxa"/>
              <w:left w:w="100" w:type="dxa"/>
              <w:bottom w:w="100" w:type="dxa"/>
              <w:right w:w="100" w:type="dxa"/>
            </w:tcMar>
          </w:tcPr>
          <w:p w14:paraId="6ED1CD1C" w14:textId="77777777" w:rsidR="00ED2DB3" w:rsidRPr="00A96DB5" w:rsidRDefault="00ED2DB3" w:rsidP="0085723F">
            <w:pPr>
              <w:widowControl w:val="0"/>
              <w:pBdr>
                <w:top w:val="nil"/>
                <w:left w:val="nil"/>
                <w:bottom w:val="nil"/>
                <w:right w:val="nil"/>
                <w:between w:val="nil"/>
              </w:pBdr>
              <w:spacing w:line="240" w:lineRule="auto"/>
              <w:rPr>
                <w:rFonts w:ascii="Garamond" w:eastAsia="Garamond" w:hAnsi="Garamond" w:cs="Garamond"/>
                <w:sz w:val="24"/>
                <w:szCs w:val="24"/>
              </w:rPr>
            </w:pPr>
          </w:p>
        </w:tc>
      </w:tr>
    </w:tbl>
    <w:p w14:paraId="278DFB74" w14:textId="4BA4B631" w:rsidR="0061553E" w:rsidRPr="0061553E" w:rsidRDefault="0061553E" w:rsidP="0061553E"/>
    <w:sectPr w:rsidR="0061553E" w:rsidRPr="0061553E" w:rsidSect="00467C43">
      <w:headerReference w:type="default" r:id="rId14"/>
      <w:footerReference w:type="default" r:id="rId15"/>
      <w:headerReference w:type="first" r:id="rId16"/>
      <w:footerReference w:type="first" r:id="rId1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3EC6F" w14:textId="77777777" w:rsidR="00DF48D2" w:rsidRDefault="00DF48D2" w:rsidP="0078549D">
      <w:pPr>
        <w:spacing w:after="0" w:line="240" w:lineRule="auto"/>
      </w:pPr>
      <w:r>
        <w:separator/>
      </w:r>
    </w:p>
  </w:endnote>
  <w:endnote w:type="continuationSeparator" w:id="0">
    <w:p w14:paraId="07136C9A" w14:textId="77777777" w:rsidR="00DF48D2" w:rsidRDefault="00DF48D2"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792322263"/>
      <w:docPartObj>
        <w:docPartGallery w:val="Page Numbers (Bottom of Page)"/>
        <w:docPartUnique/>
      </w:docPartObj>
    </w:sdtPr>
    <w:sdtEndPr>
      <w:rPr>
        <w:rStyle w:val="BasiccopyslChar"/>
        <w:rFonts w:eastAsia="Garamond" w:cs="Garamond"/>
        <w:sz w:val="25"/>
        <w:szCs w:val="25"/>
      </w:rPr>
    </w:sdtEndPr>
    <w:sdtContent>
      <w:p w14:paraId="3ADE0CFC" w14:textId="71D34284" w:rsidR="0078549D" w:rsidRPr="00987C93" w:rsidRDefault="00983DE5">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  </w:t>
        </w:r>
        <w:r>
          <w:rPr>
            <w:rStyle w:val="BasiccopyslChar"/>
            <w:sz w:val="22"/>
            <w:szCs w:val="22"/>
          </w:rPr>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Pr>
            <w:rStyle w:val="BasiccopyslChar"/>
            <w:sz w:val="22"/>
            <w:szCs w:val="22"/>
          </w:rPr>
          <w:t>4</w:t>
        </w:r>
        <w:r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166593250"/>
      <w:docPartObj>
        <w:docPartGallery w:val="Page Numbers (Bottom of Page)"/>
        <w:docPartUnique/>
      </w:docPartObj>
    </w:sdtPr>
    <w:sdtEndPr>
      <w:rPr>
        <w:rStyle w:val="BasiccopyslChar"/>
        <w:rFonts w:eastAsia="Garamond" w:cs="Garamond"/>
        <w:sz w:val="25"/>
        <w:szCs w:val="25"/>
      </w:rPr>
    </w:sdtEndPr>
    <w:sdtContent>
      <w:p w14:paraId="29299C73" w14:textId="7F17BFE7" w:rsidR="00922243" w:rsidRPr="00987C93" w:rsidRDefault="00922243" w:rsidP="0092224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sidR="00983DE5">
          <w:rPr>
            <w:rStyle w:val="BasiccopyslChar"/>
            <w:sz w:val="22"/>
            <w:szCs w:val="22"/>
          </w:rPr>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Pr>
            <w:rStyle w:val="BasiccopyslChar"/>
            <w:sz w:val="22"/>
            <w:szCs w:val="22"/>
          </w:rPr>
          <w:t>3</w:t>
        </w:r>
        <w:r w:rsidRPr="00E64542">
          <w:rPr>
            <w:rStyle w:val="BasiccopyslChar"/>
            <w:noProof/>
            <w:sz w:val="22"/>
            <w:szCs w:val="22"/>
          </w:rPr>
          <w:fldChar w:fldCharType="end"/>
        </w:r>
      </w:p>
    </w:sdtContent>
  </w:sdt>
  <w:p w14:paraId="1A195194" w14:textId="29622D0F" w:rsidR="00987C93" w:rsidRPr="00E64542" w:rsidRDefault="00987C93">
    <w:pPr>
      <w:pStyle w:val="Footer"/>
      <w:rPr>
        <w:rFonts w:ascii="Garamond" w:eastAsia="Garamond" w:hAnsi="Garamond" w:cs="Garam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819459844"/>
      <w:docPartObj>
        <w:docPartGallery w:val="Page Numbers (Bottom of Page)"/>
        <w:docPartUnique/>
      </w:docPartObj>
    </w:sdtPr>
    <w:sdtEndPr>
      <w:rPr>
        <w:rStyle w:val="BasiccopyslChar"/>
        <w:rFonts w:eastAsia="Garamond" w:cs="Garamond"/>
        <w:sz w:val="25"/>
        <w:szCs w:val="25"/>
      </w:rPr>
    </w:sdtEndPr>
    <w:sdtContent>
      <w:p w14:paraId="58475C22" w14:textId="4C830AA4" w:rsidR="00983DE5" w:rsidRPr="00987C93" w:rsidRDefault="00983DE5">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  </w:t>
        </w:r>
        <w:r>
          <w:rPr>
            <w:rStyle w:val="BasiccopyslChar"/>
            <w:sz w:val="22"/>
            <w:szCs w:val="22"/>
          </w:rPr>
          <w:t xml:space="preserve"> </w:t>
        </w:r>
        <w:r>
          <w:rPr>
            <w:rStyle w:val="BasiccopyslChar"/>
            <w:sz w:val="22"/>
            <w:szCs w:val="22"/>
          </w:rPr>
          <w:tab/>
        </w:r>
        <w:r>
          <w:rPr>
            <w:rStyle w:val="BasiccopyslChar"/>
            <w:sz w:val="22"/>
            <w:szCs w:val="22"/>
          </w:rPr>
          <w:tab/>
        </w:r>
        <w:r>
          <w:rPr>
            <w:rStyle w:val="BasiccopyslChar"/>
            <w:sz w:val="22"/>
            <w:szCs w:val="22"/>
          </w:rPr>
          <w:tab/>
        </w:r>
        <w:r>
          <w:rPr>
            <w:rStyle w:val="BasiccopyslChar"/>
            <w:sz w:val="22"/>
            <w:szCs w:val="22"/>
          </w:rPr>
          <w:tab/>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Pr>
            <w:rStyle w:val="BasiccopyslChar"/>
            <w:sz w:val="22"/>
            <w:szCs w:val="22"/>
          </w:rPr>
          <w:t>4</w:t>
        </w:r>
        <w:r w:rsidRPr="00E64542">
          <w:rPr>
            <w:rStyle w:val="BasiccopyslChar"/>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746341479"/>
      <w:docPartObj>
        <w:docPartGallery w:val="Page Numbers (Bottom of Page)"/>
        <w:docPartUnique/>
      </w:docPartObj>
    </w:sdtPr>
    <w:sdtEndPr>
      <w:rPr>
        <w:rStyle w:val="BasiccopyslChar"/>
        <w:rFonts w:eastAsia="Garamond" w:cs="Garamond"/>
        <w:sz w:val="25"/>
        <w:szCs w:val="25"/>
      </w:rPr>
    </w:sdtEndPr>
    <w:sdtContent>
      <w:p w14:paraId="1EBF4A57" w14:textId="1E53F4EE" w:rsidR="00983DE5" w:rsidRPr="00987C93" w:rsidRDefault="00983DE5" w:rsidP="0092224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 </w:t>
        </w:r>
        <w:r>
          <w:rPr>
            <w:rStyle w:val="BasiccopyslChar"/>
            <w:sz w:val="22"/>
            <w:szCs w:val="22"/>
          </w:rPr>
          <w:tab/>
        </w:r>
        <w:r>
          <w:rPr>
            <w:rStyle w:val="BasiccopyslChar"/>
            <w:sz w:val="22"/>
            <w:szCs w:val="22"/>
          </w:rPr>
          <w:tab/>
        </w:r>
        <w:r>
          <w:rPr>
            <w:rStyle w:val="BasiccopyslChar"/>
            <w:sz w:val="22"/>
            <w:szCs w:val="22"/>
          </w:rPr>
          <w:tab/>
        </w:r>
        <w:r>
          <w:rPr>
            <w:rStyle w:val="BasiccopyslChar"/>
            <w:sz w:val="22"/>
            <w:szCs w:val="22"/>
          </w:rPr>
          <w:tab/>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Pr>
            <w:rStyle w:val="BasiccopyslChar"/>
            <w:sz w:val="22"/>
            <w:szCs w:val="22"/>
          </w:rPr>
          <w:t>3</w:t>
        </w:r>
        <w:r w:rsidRPr="00E64542">
          <w:rPr>
            <w:rStyle w:val="BasiccopyslChar"/>
            <w:noProof/>
            <w:sz w:val="22"/>
            <w:szCs w:val="22"/>
          </w:rPr>
          <w:fldChar w:fldCharType="end"/>
        </w:r>
      </w:p>
    </w:sdtContent>
  </w:sdt>
  <w:p w14:paraId="2B93A53A" w14:textId="77777777" w:rsidR="00983DE5" w:rsidRPr="00E64542" w:rsidRDefault="00983DE5">
    <w:pPr>
      <w:pStyle w:val="Footer"/>
      <w:rPr>
        <w:rFonts w:ascii="Garamond" w:eastAsia="Garamond" w:hAnsi="Garamond" w:cs="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D3289" w14:textId="77777777" w:rsidR="00DF48D2" w:rsidRDefault="00DF48D2" w:rsidP="0078549D">
      <w:pPr>
        <w:spacing w:after="0" w:line="240" w:lineRule="auto"/>
      </w:pPr>
      <w:r>
        <w:separator/>
      </w:r>
    </w:p>
  </w:footnote>
  <w:footnote w:type="continuationSeparator" w:id="0">
    <w:p w14:paraId="013EF9FF" w14:textId="77777777" w:rsidR="00DF48D2" w:rsidRDefault="00DF48D2"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4685F396" w:rsidR="00F64E56" w:rsidRPr="00ED2DB3" w:rsidRDefault="00ED2DB3" w:rsidP="00ED2DB3">
    <w:pPr>
      <w:pStyle w:val="Basiccopysl"/>
    </w:pPr>
    <w:r w:rsidRPr="00987C93">
      <w:rPr>
        <w:sz w:val="22"/>
        <w:szCs w:val="22"/>
      </w:rPr>
      <w:t>LandmarkCases.org</w:t>
    </w:r>
    <w:r w:rsidRPr="00987C93">
      <w:rPr>
        <w:sz w:val="22"/>
        <w:szCs w:val="22"/>
      </w:rPr>
      <w:tab/>
    </w:r>
    <w:r w:rsidRPr="00987C93">
      <w:rPr>
        <w:sz w:val="22"/>
        <w:szCs w:val="22"/>
      </w:rPr>
      <w:tab/>
    </w:r>
    <w:r>
      <w:rPr>
        <w:sz w:val="22"/>
        <w:szCs w:val="22"/>
      </w:rPr>
      <w:t xml:space="preserve">   </w:t>
    </w:r>
    <w:r>
      <w:rPr>
        <w:i/>
        <w:iCs/>
        <w:sz w:val="22"/>
        <w:szCs w:val="22"/>
      </w:rPr>
      <w:t xml:space="preserve">Brown v. Board of Education of Topeka </w:t>
    </w:r>
    <w:r w:rsidRPr="00D053D4">
      <w:rPr>
        <w:sz w:val="22"/>
        <w:szCs w:val="22"/>
      </w:rPr>
      <w:t>/ Immediate Reaction to the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5D8C9B2A"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00467C43">
      <w:rPr>
        <w:sz w:val="22"/>
        <w:szCs w:val="22"/>
      </w:rPr>
      <w:t xml:space="preserve">   </w:t>
    </w:r>
    <w:r w:rsidR="0061553E">
      <w:rPr>
        <w:i/>
        <w:iCs/>
        <w:sz w:val="22"/>
        <w:szCs w:val="22"/>
      </w:rPr>
      <w:t>Brown v. Board of Education</w:t>
    </w:r>
    <w:r w:rsidR="00D053D4">
      <w:rPr>
        <w:i/>
        <w:iCs/>
        <w:sz w:val="22"/>
        <w:szCs w:val="22"/>
      </w:rPr>
      <w:t xml:space="preserve"> of Topeka </w:t>
    </w:r>
    <w:r w:rsidR="00D053D4" w:rsidRPr="00D053D4">
      <w:rPr>
        <w:sz w:val="22"/>
        <w:szCs w:val="22"/>
      </w:rPr>
      <w:t>/ Immediate Reaction to the Decision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86FA3" w14:textId="6CAA5C6F" w:rsidR="00983DE5" w:rsidRPr="00ED2DB3" w:rsidRDefault="00983DE5" w:rsidP="00ED2DB3">
    <w:pPr>
      <w:pStyle w:val="Basiccopysl"/>
    </w:pPr>
    <w:r w:rsidRPr="00987C93">
      <w:rPr>
        <w:sz w:val="22"/>
        <w:szCs w:val="22"/>
      </w:rPr>
      <w:t>LandmarkCases.org</w:t>
    </w:r>
    <w:r w:rsidRPr="00987C93">
      <w:rPr>
        <w:sz w:val="22"/>
        <w:szCs w:val="22"/>
      </w:rPr>
      <w:tab/>
    </w:r>
    <w:r w:rsidRPr="00987C93">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Pr>
        <w:i/>
        <w:iCs/>
        <w:sz w:val="22"/>
        <w:szCs w:val="22"/>
      </w:rPr>
      <w:t xml:space="preserve">Brown v. Board of Education of Topeka </w:t>
    </w:r>
    <w:r w:rsidRPr="00D053D4">
      <w:rPr>
        <w:sz w:val="22"/>
        <w:szCs w:val="22"/>
      </w:rPr>
      <w:t>/ Immediate Reaction to the Decision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B811A" w14:textId="61D220BE" w:rsidR="00ED2DB3" w:rsidRPr="00987C93" w:rsidRDefault="00ED2DB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Pr>
        <w:i/>
        <w:iCs/>
        <w:sz w:val="22"/>
        <w:szCs w:val="22"/>
      </w:rPr>
      <w:t xml:space="preserve">Brown v. Board of Education of Topeka </w:t>
    </w:r>
    <w:r w:rsidRPr="00D053D4">
      <w:rPr>
        <w:sz w:val="22"/>
        <w:szCs w:val="22"/>
      </w:rPr>
      <w:t>/ Immediate Reaction to the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4A0E"/>
    <w:multiLevelType w:val="hybridMultilevel"/>
    <w:tmpl w:val="6DB89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E5046"/>
    <w:multiLevelType w:val="hybridMultilevel"/>
    <w:tmpl w:val="2E8ACBAC"/>
    <w:lvl w:ilvl="0" w:tplc="15B29F90">
      <w:start w:val="1"/>
      <w:numFmt w:val="decimal"/>
      <w:lvlText w:val="%1."/>
      <w:lvlJc w:val="left"/>
      <w:pPr>
        <w:ind w:left="720" w:hanging="360"/>
      </w:pPr>
      <w:rPr>
        <w:b/>
        <w:bCs w:val="0"/>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3B465E"/>
    <w:multiLevelType w:val="multilevel"/>
    <w:tmpl w:val="9848A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9"/>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63651"/>
    <w:rsid w:val="00170B98"/>
    <w:rsid w:val="001B3E05"/>
    <w:rsid w:val="0021030F"/>
    <w:rsid w:val="0025076D"/>
    <w:rsid w:val="00262C85"/>
    <w:rsid w:val="00290061"/>
    <w:rsid w:val="00295C56"/>
    <w:rsid w:val="002B4D38"/>
    <w:rsid w:val="002C68A3"/>
    <w:rsid w:val="002D2203"/>
    <w:rsid w:val="002E13E3"/>
    <w:rsid w:val="00317735"/>
    <w:rsid w:val="00375090"/>
    <w:rsid w:val="00396AEB"/>
    <w:rsid w:val="003C6F20"/>
    <w:rsid w:val="00400A63"/>
    <w:rsid w:val="004632BE"/>
    <w:rsid w:val="00467C43"/>
    <w:rsid w:val="004B560A"/>
    <w:rsid w:val="004B73F9"/>
    <w:rsid w:val="004E7457"/>
    <w:rsid w:val="004F77FB"/>
    <w:rsid w:val="005311FB"/>
    <w:rsid w:val="00553CFA"/>
    <w:rsid w:val="005A0330"/>
    <w:rsid w:val="005A4E3D"/>
    <w:rsid w:val="005D058C"/>
    <w:rsid w:val="005E562D"/>
    <w:rsid w:val="006135E5"/>
    <w:rsid w:val="0061553E"/>
    <w:rsid w:val="00671226"/>
    <w:rsid w:val="006C3E71"/>
    <w:rsid w:val="006E09C9"/>
    <w:rsid w:val="006E3717"/>
    <w:rsid w:val="00733BF4"/>
    <w:rsid w:val="0078549D"/>
    <w:rsid w:val="007C6C75"/>
    <w:rsid w:val="007F700D"/>
    <w:rsid w:val="00807F02"/>
    <w:rsid w:val="00815CB0"/>
    <w:rsid w:val="0081706F"/>
    <w:rsid w:val="00922243"/>
    <w:rsid w:val="00983DE5"/>
    <w:rsid w:val="00987C93"/>
    <w:rsid w:val="00995B07"/>
    <w:rsid w:val="009C50F9"/>
    <w:rsid w:val="009D6B03"/>
    <w:rsid w:val="009E1A5F"/>
    <w:rsid w:val="00A36162"/>
    <w:rsid w:val="00A740A5"/>
    <w:rsid w:val="00AE0C77"/>
    <w:rsid w:val="00B535F7"/>
    <w:rsid w:val="00B62487"/>
    <w:rsid w:val="00C05B0A"/>
    <w:rsid w:val="00C15DAC"/>
    <w:rsid w:val="00C37CCC"/>
    <w:rsid w:val="00C472D7"/>
    <w:rsid w:val="00C87D80"/>
    <w:rsid w:val="00D053D4"/>
    <w:rsid w:val="00D237B4"/>
    <w:rsid w:val="00D83AFD"/>
    <w:rsid w:val="00DE3D18"/>
    <w:rsid w:val="00DF48D2"/>
    <w:rsid w:val="00DF7A6E"/>
    <w:rsid w:val="00E3555A"/>
    <w:rsid w:val="00E64542"/>
    <w:rsid w:val="00EB20C0"/>
    <w:rsid w:val="00ED2DB3"/>
    <w:rsid w:val="00EF7C97"/>
    <w:rsid w:val="00F64E56"/>
    <w:rsid w:val="00F957BE"/>
    <w:rsid w:val="00FC7E4B"/>
    <w:rsid w:val="00FD1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6155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character" w:customStyle="1" w:styleId="Heading4Char">
    <w:name w:val="Heading 4 Char"/>
    <w:basedOn w:val="DefaultParagraphFont"/>
    <w:link w:val="Heading4"/>
    <w:uiPriority w:val="9"/>
    <w:rsid w:val="0061553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155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553E"/>
    <w:rPr>
      <w:i/>
      <w:iCs/>
    </w:rPr>
  </w:style>
  <w:style w:type="paragraph" w:styleId="ListParagraph">
    <w:name w:val="List Paragraph"/>
    <w:basedOn w:val="Normal"/>
    <w:uiPriority w:val="34"/>
    <w:rsid w:val="00ED2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346353">
      <w:bodyDiv w:val="1"/>
      <w:marLeft w:val="0"/>
      <w:marRight w:val="0"/>
      <w:marTop w:val="0"/>
      <w:marBottom w:val="0"/>
      <w:divBdr>
        <w:top w:val="none" w:sz="0" w:space="0" w:color="auto"/>
        <w:left w:val="none" w:sz="0" w:space="0" w:color="auto"/>
        <w:bottom w:val="none" w:sz="0" w:space="0" w:color="auto"/>
        <w:right w:val="none" w:sz="0" w:space="0" w:color="auto"/>
      </w:divBdr>
      <w:divsChild>
        <w:div w:id="1623073095">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6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38E0D872-AE77-4B61-8870-9D9BD69E7387}"/>
</file>

<file path=docProps/app.xml><?xml version="1.0" encoding="utf-8"?>
<Properties xmlns="http://schemas.openxmlformats.org/officeDocument/2006/extended-properties" xmlns:vt="http://schemas.openxmlformats.org/officeDocument/2006/docPropsVTypes">
  <Template>LMC student handout styles</Template>
  <TotalTime>30</TotalTime>
  <Pages>5</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3</cp:revision>
  <dcterms:created xsi:type="dcterms:W3CDTF">2020-07-10T03:06:00Z</dcterms:created>
  <dcterms:modified xsi:type="dcterms:W3CDTF">2020-07-10T03:29:00Z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