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B4D7" w14:textId="56414822" w:rsidR="007415D6" w:rsidRPr="002A1F95" w:rsidRDefault="006E18BA" w:rsidP="00CC6930">
      <w:pPr>
        <w:pStyle w:val="Title1sl"/>
        <w:pBdr>
          <w:bottom w:val="single" w:sz="12" w:space="1" w:color="auto"/>
        </w:pBdr>
        <w:spacing w:before="240"/>
        <w:rPr>
          <w:i/>
          <w:iCs/>
          <w:sz w:val="36"/>
          <w:szCs w:val="36"/>
        </w:rPr>
      </w:pPr>
      <w:r w:rsidRPr="002A1F95">
        <w:rPr>
          <w:i/>
          <w:iCs/>
          <w:sz w:val="36"/>
          <w:szCs w:val="36"/>
        </w:rPr>
        <w:t xml:space="preserve">Regents of </w:t>
      </w:r>
      <w:r w:rsidR="002A1F95" w:rsidRPr="002A1F95">
        <w:rPr>
          <w:i/>
          <w:iCs/>
          <w:sz w:val="36"/>
          <w:szCs w:val="36"/>
        </w:rPr>
        <w:t xml:space="preserve">UC </w:t>
      </w:r>
      <w:r w:rsidRPr="002A1F95">
        <w:rPr>
          <w:i/>
          <w:iCs/>
          <w:sz w:val="36"/>
          <w:szCs w:val="36"/>
        </w:rPr>
        <w:t xml:space="preserve">v. Bakke </w:t>
      </w:r>
      <w:r w:rsidR="00F64E56" w:rsidRPr="002A1F95">
        <w:rPr>
          <w:sz w:val="36"/>
          <w:szCs w:val="36"/>
        </w:rPr>
        <w:t>/</w:t>
      </w:r>
      <w:r w:rsidR="007A7F2A" w:rsidRPr="002A1F95">
        <w:rPr>
          <w:sz w:val="36"/>
          <w:szCs w:val="36"/>
        </w:rPr>
        <w:t xml:space="preserve"> Excerpts from </w:t>
      </w:r>
      <w:r w:rsidR="00CC6930" w:rsidRPr="002A1F95">
        <w:rPr>
          <w:sz w:val="36"/>
          <w:szCs w:val="36"/>
        </w:rPr>
        <w:t>the</w:t>
      </w:r>
      <w:r w:rsidR="007A7F2A" w:rsidRPr="002A1F95">
        <w:rPr>
          <w:sz w:val="36"/>
          <w:szCs w:val="36"/>
        </w:rPr>
        <w:t xml:space="preserve"> </w:t>
      </w:r>
      <w:r w:rsidR="00630DFD" w:rsidRPr="002A1F95">
        <w:rPr>
          <w:sz w:val="36"/>
          <w:szCs w:val="36"/>
        </w:rPr>
        <w:t>Opinion</w:t>
      </w:r>
    </w:p>
    <w:p w14:paraId="7895DC2C" w14:textId="2179346B" w:rsidR="00F2638C" w:rsidRPr="008B0AAE" w:rsidRDefault="00F2638C" w:rsidP="00F2638C">
      <w:pPr>
        <w:pStyle w:val="Subhead2sl"/>
        <w:spacing w:before="360"/>
        <w:rPr>
          <w:i w:val="0"/>
          <w:iCs/>
        </w:rPr>
      </w:pPr>
      <w:r w:rsidRPr="00F2638C">
        <w:rPr>
          <w:rFonts w:ascii="Garamond" w:eastAsia="Times New Roman" w:hAnsi="Garamond" w:cs="Times New Roman"/>
          <w:i w:val="0"/>
          <w:iCs/>
          <w:color w:val="000000"/>
          <w:sz w:val="25"/>
          <w:szCs w:val="25"/>
        </w:rPr>
        <w:t xml:space="preserve">Writing for a divided Court, Justice Powell rendered a judgment. Four justices agreed with part of it and another four justices agreed with another part of his opinion. </w:t>
      </w:r>
    </w:p>
    <w:p w14:paraId="7E11A5A5" w14:textId="2B7E209C" w:rsidR="002A1F95" w:rsidRDefault="00F2638C" w:rsidP="00F2638C">
      <w:pPr>
        <w:pStyle w:val="Subhead2sl"/>
        <w:spacing w:before="360"/>
        <w:rPr>
          <w:rFonts w:ascii="Garamond" w:eastAsia="Times New Roman" w:hAnsi="Garamond" w:cs="Times New Roman"/>
          <w:color w:val="000000"/>
          <w:sz w:val="25"/>
          <w:szCs w:val="25"/>
        </w:rPr>
      </w:pPr>
      <w:r w:rsidRPr="00CC6930">
        <w:t xml:space="preserve">The following are excerpts from Justice </w:t>
      </w:r>
      <w:r>
        <w:t>Powell’s</w:t>
      </w:r>
      <w:r w:rsidRPr="00CC6930">
        <w:t xml:space="preserve"> opinion</w:t>
      </w:r>
      <w:r>
        <w:t xml:space="preserve"> of the Court</w:t>
      </w:r>
      <w:r w:rsidR="002A1F95">
        <w:t>:</w:t>
      </w:r>
      <w:r w:rsidRPr="00CC6930">
        <w:t xml:space="preserve"> </w:t>
      </w:r>
    </w:p>
    <w:p w14:paraId="1A234AA5" w14:textId="11943714" w:rsidR="002A1F95" w:rsidRDefault="00F2638C" w:rsidP="002A1F95">
      <w:pPr>
        <w:pStyle w:val="Subhead2sl"/>
        <w:spacing w:before="0"/>
        <w:rPr>
          <w:rFonts w:ascii="Garamond" w:eastAsia="Times New Roman" w:hAnsi="Garamond" w:cs="Times New Roman"/>
          <w:b w:val="0"/>
          <w:bCs/>
          <w:i w:val="0"/>
          <w:iCs/>
          <w:color w:val="000000"/>
          <w:sz w:val="25"/>
          <w:szCs w:val="25"/>
        </w:rPr>
      </w:pPr>
      <w:r w:rsidRPr="00F2638C">
        <w:rPr>
          <w:rFonts w:ascii="Garamond" w:eastAsia="Times New Roman" w:hAnsi="Garamond" w:cs="Times New Roman"/>
          <w:b w:val="0"/>
          <w:bCs/>
          <w:i w:val="0"/>
          <w:iCs/>
          <w:color w:val="000000"/>
          <w:sz w:val="25"/>
          <w:szCs w:val="25"/>
        </w:rPr>
        <w:t>The special admissions program is undeniably a classification based on race and ethnic background.</w:t>
      </w:r>
    </w:p>
    <w:p w14:paraId="702A4045" w14:textId="2188DA16" w:rsidR="002A1F95" w:rsidRDefault="00F2638C" w:rsidP="002A1F95">
      <w:pPr>
        <w:pStyle w:val="Subhead2sl"/>
        <w:spacing w:before="0"/>
        <w:rPr>
          <w:rFonts w:ascii="Garamond" w:eastAsia="Times New Roman" w:hAnsi="Garamond" w:cs="Times New Roman"/>
          <w:b w:val="0"/>
          <w:bCs/>
          <w:i w:val="0"/>
          <w:iCs/>
          <w:color w:val="000000"/>
          <w:sz w:val="25"/>
          <w:szCs w:val="25"/>
        </w:rPr>
      </w:pPr>
      <w:r w:rsidRPr="00F2638C">
        <w:rPr>
          <w:rFonts w:ascii="Garamond" w:eastAsia="Times New Roman" w:hAnsi="Garamond" w:cs="Times New Roman"/>
          <w:b w:val="0"/>
          <w:bCs/>
          <w:i w:val="0"/>
          <w:iCs/>
          <w:color w:val="000000"/>
          <w:sz w:val="25"/>
          <w:szCs w:val="25"/>
        </w:rPr>
        <w:t xml:space="preserve">The guarantees of the Fourteenth Amendment extend to all persons. Its language is explicit: </w:t>
      </w:r>
      <w:r w:rsidR="002A1F95">
        <w:rPr>
          <w:rFonts w:ascii="Garamond" w:eastAsia="Times New Roman" w:hAnsi="Garamond" w:cs="Times New Roman"/>
          <w:b w:val="0"/>
          <w:bCs/>
          <w:i w:val="0"/>
          <w:iCs/>
          <w:color w:val="000000"/>
          <w:sz w:val="25"/>
          <w:szCs w:val="25"/>
        </w:rPr>
        <w:t>“</w:t>
      </w:r>
      <w:r w:rsidRPr="00F2638C">
        <w:rPr>
          <w:rFonts w:ascii="Garamond" w:eastAsia="Times New Roman" w:hAnsi="Garamond" w:cs="Times New Roman"/>
          <w:b w:val="0"/>
          <w:bCs/>
          <w:i w:val="0"/>
          <w:iCs/>
          <w:color w:val="000000"/>
          <w:sz w:val="25"/>
          <w:szCs w:val="25"/>
        </w:rPr>
        <w:t>No State shall . . . deny to any person within its jurisdiction the equal protection of the laws.</w:t>
      </w:r>
      <w:r w:rsidR="002A1F95">
        <w:rPr>
          <w:rFonts w:ascii="Garamond" w:eastAsia="Times New Roman" w:hAnsi="Garamond" w:cs="Times New Roman"/>
          <w:b w:val="0"/>
          <w:bCs/>
          <w:i w:val="0"/>
          <w:iCs/>
          <w:color w:val="000000"/>
          <w:sz w:val="25"/>
          <w:szCs w:val="25"/>
        </w:rPr>
        <w:t xml:space="preserve">” </w:t>
      </w:r>
      <w:r w:rsidRPr="00F2638C">
        <w:rPr>
          <w:rFonts w:ascii="Garamond" w:eastAsia="Times New Roman" w:hAnsi="Garamond" w:cs="Times New Roman"/>
          <w:b w:val="0"/>
          <w:bCs/>
          <w:i w:val="0"/>
          <w:iCs/>
          <w:color w:val="000000"/>
          <w:sz w:val="25"/>
          <w:szCs w:val="25"/>
        </w:rPr>
        <w:t>The guarantee of equal protection cannot mean one thing when applied to one individual and something else when applied to a person of another color. If both are not accorded the same protection, then it is not equal.</w:t>
      </w:r>
    </w:p>
    <w:p w14:paraId="2CFCB7A6" w14:textId="270E71A3" w:rsidR="002A1F95" w:rsidRDefault="00F2638C" w:rsidP="002A1F95">
      <w:pPr>
        <w:pStyle w:val="Subhead2sl"/>
        <w:spacing w:before="0"/>
        <w:rPr>
          <w:rFonts w:ascii="Garamond" w:eastAsia="Times New Roman" w:hAnsi="Garamond" w:cs="Times New Roman"/>
          <w:b w:val="0"/>
          <w:bCs/>
          <w:i w:val="0"/>
          <w:iCs/>
          <w:color w:val="000000"/>
          <w:sz w:val="25"/>
          <w:szCs w:val="25"/>
        </w:rPr>
      </w:pPr>
      <w:r w:rsidRPr="00F2638C">
        <w:rPr>
          <w:rFonts w:ascii="Garamond" w:eastAsia="Times New Roman" w:hAnsi="Garamond" w:cs="Times New Roman"/>
          <w:b w:val="0"/>
          <w:bCs/>
          <w:i w:val="0"/>
          <w:iCs/>
          <w:color w:val="000000"/>
          <w:sz w:val="25"/>
          <w:szCs w:val="25"/>
        </w:rPr>
        <w:t xml:space="preserve">Petitioner urges us to adopt . . . more restrictive view of the Equal Protection Clause and hold that discrimination against members of the white </w:t>
      </w:r>
      <w:r w:rsidR="002A1F95">
        <w:rPr>
          <w:rFonts w:ascii="Garamond" w:eastAsia="Times New Roman" w:hAnsi="Garamond" w:cs="Times New Roman"/>
          <w:b w:val="0"/>
          <w:bCs/>
          <w:i w:val="0"/>
          <w:iCs/>
          <w:color w:val="000000"/>
          <w:sz w:val="25"/>
          <w:szCs w:val="25"/>
        </w:rPr>
        <w:t>“</w:t>
      </w:r>
      <w:r w:rsidRPr="00F2638C">
        <w:rPr>
          <w:rFonts w:ascii="Garamond" w:eastAsia="Times New Roman" w:hAnsi="Garamond" w:cs="Times New Roman"/>
          <w:b w:val="0"/>
          <w:bCs/>
          <w:i w:val="0"/>
          <w:iCs/>
          <w:color w:val="000000"/>
          <w:sz w:val="25"/>
          <w:szCs w:val="25"/>
        </w:rPr>
        <w:t>majority</w:t>
      </w:r>
      <w:r w:rsidR="002A1F95">
        <w:rPr>
          <w:rFonts w:ascii="Garamond" w:eastAsia="Times New Roman" w:hAnsi="Garamond" w:cs="Times New Roman"/>
          <w:b w:val="0"/>
          <w:bCs/>
          <w:i w:val="0"/>
          <w:iCs/>
          <w:color w:val="000000"/>
          <w:sz w:val="25"/>
          <w:szCs w:val="25"/>
        </w:rPr>
        <w:t>”</w:t>
      </w:r>
      <w:r w:rsidRPr="00F2638C">
        <w:rPr>
          <w:rFonts w:ascii="Garamond" w:eastAsia="Times New Roman" w:hAnsi="Garamond" w:cs="Times New Roman"/>
          <w:b w:val="0"/>
          <w:bCs/>
          <w:i w:val="0"/>
          <w:iCs/>
          <w:color w:val="000000"/>
          <w:sz w:val="25"/>
          <w:szCs w:val="25"/>
        </w:rPr>
        <w:t xml:space="preserve"> cannot be suspect if its purpose can be characterized as </w:t>
      </w:r>
      <w:r w:rsidR="002A1F95">
        <w:rPr>
          <w:rFonts w:ascii="Garamond" w:eastAsia="Times New Roman" w:hAnsi="Garamond" w:cs="Times New Roman"/>
          <w:b w:val="0"/>
          <w:bCs/>
          <w:i w:val="0"/>
          <w:iCs/>
          <w:color w:val="000000"/>
          <w:sz w:val="25"/>
          <w:szCs w:val="25"/>
        </w:rPr>
        <w:t>“</w:t>
      </w:r>
      <w:r w:rsidRPr="00F2638C">
        <w:rPr>
          <w:rFonts w:ascii="Garamond" w:eastAsia="Times New Roman" w:hAnsi="Garamond" w:cs="Times New Roman"/>
          <w:b w:val="0"/>
          <w:bCs/>
          <w:i w:val="0"/>
          <w:iCs/>
          <w:color w:val="000000"/>
          <w:sz w:val="25"/>
          <w:szCs w:val="25"/>
        </w:rPr>
        <w:t>benign.</w:t>
      </w:r>
      <w:r w:rsidR="002A1F95">
        <w:rPr>
          <w:rFonts w:ascii="Garamond" w:eastAsia="Times New Roman" w:hAnsi="Garamond" w:cs="Times New Roman"/>
          <w:b w:val="0"/>
          <w:bCs/>
          <w:i w:val="0"/>
          <w:iCs/>
          <w:color w:val="000000"/>
          <w:sz w:val="25"/>
          <w:szCs w:val="25"/>
        </w:rPr>
        <w:t>”</w:t>
      </w:r>
    </w:p>
    <w:p w14:paraId="6C50F68B" w14:textId="2167FA5E" w:rsidR="002A1F95" w:rsidRDefault="00F2638C" w:rsidP="002A1F95">
      <w:pPr>
        <w:pStyle w:val="Subhead2sl"/>
        <w:spacing w:before="0"/>
        <w:rPr>
          <w:rFonts w:ascii="Garamond" w:eastAsia="Times New Roman" w:hAnsi="Garamond" w:cs="Times New Roman"/>
          <w:b w:val="0"/>
          <w:bCs/>
          <w:i w:val="0"/>
          <w:iCs/>
          <w:color w:val="000000"/>
          <w:sz w:val="25"/>
          <w:szCs w:val="25"/>
        </w:rPr>
      </w:pPr>
      <w:r w:rsidRPr="00F2638C">
        <w:rPr>
          <w:rFonts w:ascii="Garamond" w:eastAsia="Times New Roman" w:hAnsi="Garamond" w:cs="Times New Roman"/>
          <w:b w:val="0"/>
          <w:bCs/>
          <w:i w:val="0"/>
          <w:iCs/>
          <w:color w:val="000000"/>
          <w:sz w:val="25"/>
          <w:szCs w:val="25"/>
        </w:rPr>
        <w:t>[T]here are serious problems of justice connected with the idea of preference</w:t>
      </w:r>
      <w:proofErr w:type="gramStart"/>
      <w:r w:rsidRPr="00F2638C">
        <w:rPr>
          <w:rFonts w:ascii="Garamond" w:eastAsia="Times New Roman" w:hAnsi="Garamond" w:cs="Times New Roman"/>
          <w:b w:val="0"/>
          <w:bCs/>
          <w:i w:val="0"/>
          <w:iCs/>
          <w:color w:val="000000"/>
          <w:sz w:val="25"/>
          <w:szCs w:val="25"/>
        </w:rPr>
        <w:t>. . . .</w:t>
      </w:r>
      <w:proofErr w:type="gramEnd"/>
      <w:r w:rsidRPr="00F2638C">
        <w:rPr>
          <w:rFonts w:ascii="Garamond" w:eastAsia="Times New Roman" w:hAnsi="Garamond" w:cs="Times New Roman"/>
          <w:b w:val="0"/>
          <w:bCs/>
          <w:i w:val="0"/>
          <w:iCs/>
          <w:color w:val="000000"/>
          <w:sz w:val="25"/>
          <w:szCs w:val="25"/>
        </w:rPr>
        <w:t xml:space="preserve"> First, it may not always be clear that a so-called preference is in fact benign. Courts may be asked to validate burdens imposed upon individual members of a particular group in order to advance the group</w:t>
      </w:r>
      <w:r w:rsidR="002A1F95">
        <w:rPr>
          <w:rFonts w:ascii="Garamond" w:eastAsia="Times New Roman" w:hAnsi="Garamond" w:cs="Times New Roman"/>
          <w:b w:val="0"/>
          <w:bCs/>
          <w:i w:val="0"/>
          <w:iCs/>
          <w:color w:val="000000"/>
          <w:sz w:val="25"/>
          <w:szCs w:val="25"/>
        </w:rPr>
        <w:t>’</w:t>
      </w:r>
      <w:r w:rsidRPr="00F2638C">
        <w:rPr>
          <w:rFonts w:ascii="Garamond" w:eastAsia="Times New Roman" w:hAnsi="Garamond" w:cs="Times New Roman"/>
          <w:b w:val="0"/>
          <w:bCs/>
          <w:i w:val="0"/>
          <w:iCs/>
          <w:color w:val="000000"/>
          <w:sz w:val="25"/>
          <w:szCs w:val="25"/>
        </w:rPr>
        <w:t>s general interest</w:t>
      </w:r>
      <w:proofErr w:type="gramStart"/>
      <w:r w:rsidRPr="00F2638C">
        <w:rPr>
          <w:rFonts w:ascii="Garamond" w:eastAsia="Times New Roman" w:hAnsi="Garamond" w:cs="Times New Roman"/>
          <w:b w:val="0"/>
          <w:bCs/>
          <w:i w:val="0"/>
          <w:iCs/>
          <w:color w:val="000000"/>
          <w:sz w:val="25"/>
          <w:szCs w:val="25"/>
        </w:rPr>
        <w:t>. . . .</w:t>
      </w:r>
      <w:proofErr w:type="gramEnd"/>
      <w:r w:rsidRPr="00F2638C">
        <w:rPr>
          <w:rFonts w:ascii="Garamond" w:eastAsia="Times New Roman" w:hAnsi="Garamond" w:cs="Times New Roman"/>
          <w:b w:val="0"/>
          <w:bCs/>
          <w:i w:val="0"/>
          <w:iCs/>
          <w:color w:val="000000"/>
          <w:sz w:val="25"/>
          <w:szCs w:val="25"/>
        </w:rPr>
        <w:t xml:space="preserve"> Nothing in the Constitution supports the notion that individuals may be asked to suffer otherwise impermissible burdens in order to enhance the societal standing of their ethnic groups. Second, preferential programs may only reinforce common stereotypes holding that certain groups are unable to achieve success without special protection based on a factor having no relationship to individual worth</w:t>
      </w:r>
      <w:proofErr w:type="gramStart"/>
      <w:r w:rsidRPr="00F2638C">
        <w:rPr>
          <w:rFonts w:ascii="Garamond" w:eastAsia="Times New Roman" w:hAnsi="Garamond" w:cs="Times New Roman"/>
          <w:b w:val="0"/>
          <w:bCs/>
          <w:i w:val="0"/>
          <w:iCs/>
          <w:color w:val="000000"/>
          <w:sz w:val="25"/>
          <w:szCs w:val="25"/>
        </w:rPr>
        <w:t>. . . .</w:t>
      </w:r>
      <w:proofErr w:type="gramEnd"/>
      <w:r w:rsidRPr="00F2638C">
        <w:rPr>
          <w:rFonts w:ascii="Garamond" w:eastAsia="Times New Roman" w:hAnsi="Garamond" w:cs="Times New Roman"/>
          <w:b w:val="0"/>
          <w:bCs/>
          <w:i w:val="0"/>
          <w:iCs/>
          <w:color w:val="000000"/>
          <w:sz w:val="25"/>
          <w:szCs w:val="25"/>
        </w:rPr>
        <w:t xml:space="preserve"> Third, there is a measure of inequity in forcing innocent persons in respondent</w:t>
      </w:r>
      <w:r w:rsidR="002A1F95">
        <w:rPr>
          <w:rFonts w:ascii="Garamond" w:eastAsia="Times New Roman" w:hAnsi="Garamond" w:cs="Times New Roman"/>
          <w:b w:val="0"/>
          <w:bCs/>
          <w:i w:val="0"/>
          <w:iCs/>
          <w:color w:val="000000"/>
          <w:sz w:val="25"/>
          <w:szCs w:val="25"/>
        </w:rPr>
        <w:t>’</w:t>
      </w:r>
      <w:r w:rsidRPr="00F2638C">
        <w:rPr>
          <w:rFonts w:ascii="Garamond" w:eastAsia="Times New Roman" w:hAnsi="Garamond" w:cs="Times New Roman"/>
          <w:b w:val="0"/>
          <w:bCs/>
          <w:i w:val="0"/>
          <w:iCs/>
          <w:color w:val="000000"/>
          <w:sz w:val="25"/>
          <w:szCs w:val="25"/>
        </w:rPr>
        <w:t>s position to bear the burdens of redressing grievances not of their making.</w:t>
      </w:r>
    </w:p>
    <w:p w14:paraId="044A3193" w14:textId="276AB08A" w:rsidR="00F2638C" w:rsidRPr="00F2638C" w:rsidRDefault="00F2638C" w:rsidP="002A1F95">
      <w:pPr>
        <w:pStyle w:val="Subhead2sl"/>
        <w:spacing w:before="0"/>
        <w:rPr>
          <w:b w:val="0"/>
          <w:bCs/>
          <w:i w:val="0"/>
          <w:iCs/>
        </w:rPr>
      </w:pPr>
      <w:r w:rsidRPr="00F2638C">
        <w:rPr>
          <w:rFonts w:ascii="Garamond" w:eastAsia="Times New Roman" w:hAnsi="Garamond" w:cs="Times New Roman"/>
          <w:b w:val="0"/>
          <w:bCs/>
          <w:i w:val="0"/>
          <w:iCs/>
          <w:color w:val="000000"/>
          <w:sz w:val="25"/>
          <w:szCs w:val="25"/>
        </w:rPr>
        <w:t xml:space="preserve">We have held that in </w:t>
      </w:r>
      <w:r w:rsidR="002A1F95">
        <w:rPr>
          <w:rFonts w:ascii="Garamond" w:eastAsia="Times New Roman" w:hAnsi="Garamond" w:cs="Times New Roman"/>
          <w:b w:val="0"/>
          <w:bCs/>
          <w:i w:val="0"/>
          <w:iCs/>
          <w:color w:val="000000"/>
          <w:sz w:val="25"/>
          <w:szCs w:val="25"/>
        </w:rPr>
        <w:t>“</w:t>
      </w:r>
      <w:r w:rsidRPr="00F2638C">
        <w:rPr>
          <w:rFonts w:ascii="Garamond" w:eastAsia="Times New Roman" w:hAnsi="Garamond" w:cs="Times New Roman"/>
          <w:b w:val="0"/>
          <w:bCs/>
          <w:i w:val="0"/>
          <w:iCs/>
          <w:color w:val="000000"/>
          <w:sz w:val="25"/>
          <w:szCs w:val="25"/>
        </w:rPr>
        <w:t xml:space="preserve">order to justify the use of a suspect classification [i.e. in order to discriminate on the basis of race], a State must show that its purpose . . . is both constitutionally permissible and substantial, and that its use of the classification is </w:t>
      </w:r>
      <w:r w:rsidR="002A1F95">
        <w:rPr>
          <w:rFonts w:ascii="Garamond" w:eastAsia="Times New Roman" w:hAnsi="Garamond" w:cs="Times New Roman"/>
          <w:b w:val="0"/>
          <w:bCs/>
          <w:i w:val="0"/>
          <w:iCs/>
          <w:color w:val="000000"/>
          <w:sz w:val="25"/>
          <w:szCs w:val="25"/>
        </w:rPr>
        <w:t>‘</w:t>
      </w:r>
      <w:r w:rsidRPr="00F2638C">
        <w:rPr>
          <w:rFonts w:ascii="Garamond" w:eastAsia="Times New Roman" w:hAnsi="Garamond" w:cs="Times New Roman"/>
          <w:b w:val="0"/>
          <w:bCs/>
          <w:i w:val="0"/>
          <w:iCs/>
          <w:color w:val="000000"/>
          <w:sz w:val="25"/>
          <w:szCs w:val="25"/>
        </w:rPr>
        <w:t>necessary . . . to the accomplishment</w:t>
      </w:r>
      <w:r w:rsidR="002A1F95">
        <w:rPr>
          <w:rFonts w:ascii="Garamond" w:eastAsia="Times New Roman" w:hAnsi="Garamond" w:cs="Times New Roman"/>
          <w:b w:val="0"/>
          <w:bCs/>
          <w:i w:val="0"/>
          <w:iCs/>
          <w:color w:val="000000"/>
          <w:sz w:val="25"/>
          <w:szCs w:val="25"/>
        </w:rPr>
        <w:t>’</w:t>
      </w:r>
      <w:r w:rsidRPr="00F2638C">
        <w:rPr>
          <w:rFonts w:ascii="Garamond" w:eastAsia="Times New Roman" w:hAnsi="Garamond" w:cs="Times New Roman"/>
          <w:b w:val="0"/>
          <w:bCs/>
          <w:i w:val="0"/>
          <w:iCs/>
          <w:color w:val="000000"/>
          <w:sz w:val="25"/>
          <w:szCs w:val="25"/>
        </w:rPr>
        <w:t xml:space="preserve"> of its purpose. . . . The special admissions program purports to serve the purposes of: (i) </w:t>
      </w:r>
      <w:r w:rsidR="002A1F95">
        <w:rPr>
          <w:rFonts w:ascii="Garamond" w:eastAsia="Times New Roman" w:hAnsi="Garamond" w:cs="Times New Roman"/>
          <w:b w:val="0"/>
          <w:bCs/>
          <w:i w:val="0"/>
          <w:iCs/>
          <w:color w:val="000000"/>
          <w:sz w:val="25"/>
          <w:szCs w:val="25"/>
        </w:rPr>
        <w:t>“</w:t>
      </w:r>
      <w:r w:rsidRPr="00F2638C">
        <w:rPr>
          <w:rFonts w:ascii="Garamond" w:eastAsia="Times New Roman" w:hAnsi="Garamond" w:cs="Times New Roman"/>
          <w:b w:val="0"/>
          <w:bCs/>
          <w:i w:val="0"/>
          <w:iCs/>
          <w:color w:val="000000"/>
          <w:sz w:val="25"/>
          <w:szCs w:val="25"/>
        </w:rPr>
        <w:t>reducing the historic deficit of traditionally disfavored minorities in medical schools and in the medical profession,</w:t>
      </w:r>
      <w:r w:rsidR="002A1F95">
        <w:rPr>
          <w:rFonts w:ascii="Garamond" w:eastAsia="Times New Roman" w:hAnsi="Garamond" w:cs="Times New Roman"/>
          <w:b w:val="0"/>
          <w:bCs/>
          <w:i w:val="0"/>
          <w:iCs/>
          <w:color w:val="000000"/>
          <w:sz w:val="25"/>
          <w:szCs w:val="25"/>
        </w:rPr>
        <w:t>”</w:t>
      </w:r>
      <w:r w:rsidRPr="00F2638C">
        <w:rPr>
          <w:rFonts w:ascii="Garamond" w:eastAsia="Times New Roman" w:hAnsi="Garamond" w:cs="Times New Roman"/>
          <w:b w:val="0"/>
          <w:bCs/>
          <w:i w:val="0"/>
          <w:iCs/>
          <w:color w:val="000000"/>
          <w:sz w:val="25"/>
          <w:szCs w:val="25"/>
        </w:rPr>
        <w:t xml:space="preserve"> . . . (ii) countering the effects of societal discrimination; (iii) increasing the number of physicians who will practice in communities currently underserved; and (iv) obtaining the educational benefits that flow from an ethnically diverse student body. It is necessary to decide which, if any, of these purposes is substantial enough to support the use of a suspect classification.</w:t>
      </w:r>
    </w:p>
    <w:p w14:paraId="53AFFA27" w14:textId="77777777" w:rsidR="002A1F95" w:rsidRDefault="00F2638C" w:rsidP="002A1F95">
      <w:pPr>
        <w:shd w:val="clear" w:color="auto" w:fill="FFFFFF"/>
        <w:spacing w:after="120"/>
        <w:rPr>
          <w:rFonts w:ascii="Garamond" w:eastAsia="Times New Roman" w:hAnsi="Garamond" w:cs="Times New Roman"/>
          <w:bCs/>
          <w:iCs/>
          <w:color w:val="000000"/>
          <w:sz w:val="25"/>
          <w:szCs w:val="25"/>
        </w:rPr>
      </w:pPr>
      <w:r w:rsidRPr="00F2638C">
        <w:rPr>
          <w:rFonts w:ascii="Garamond" w:eastAsia="Times New Roman" w:hAnsi="Garamond" w:cs="Times New Roman"/>
          <w:bCs/>
          <w:iCs/>
          <w:color w:val="000000"/>
          <w:sz w:val="25"/>
          <w:szCs w:val="25"/>
        </w:rPr>
        <w:t>If petitioner</w:t>
      </w:r>
      <w:r w:rsidR="002A1F95">
        <w:rPr>
          <w:rFonts w:ascii="Garamond" w:eastAsia="Times New Roman" w:hAnsi="Garamond" w:cs="Times New Roman"/>
          <w:bCs/>
          <w:iCs/>
          <w:color w:val="000000"/>
          <w:sz w:val="25"/>
          <w:szCs w:val="25"/>
        </w:rPr>
        <w:t>’</w:t>
      </w:r>
      <w:r w:rsidRPr="00F2638C">
        <w:rPr>
          <w:rFonts w:ascii="Garamond" w:eastAsia="Times New Roman" w:hAnsi="Garamond" w:cs="Times New Roman"/>
          <w:bCs/>
          <w:iCs/>
          <w:color w:val="000000"/>
          <w:sz w:val="25"/>
          <w:szCs w:val="25"/>
        </w:rPr>
        <w:t xml:space="preserve">s purpose is to assure within its student body some specified percentage of a particular group merely because of its race or ethnic origin, such a preferential purpose must be rejected not as insubstantial but as facially invalid. Preferring members of any one group for no </w:t>
      </w:r>
      <w:r w:rsidRPr="00F2638C">
        <w:rPr>
          <w:rFonts w:ascii="Garamond" w:eastAsia="Times New Roman" w:hAnsi="Garamond" w:cs="Times New Roman"/>
          <w:bCs/>
          <w:iCs/>
          <w:color w:val="000000"/>
          <w:sz w:val="25"/>
          <w:szCs w:val="25"/>
        </w:rPr>
        <w:lastRenderedPageBreak/>
        <w:t>reason other than race or ethnic origin is discrimination for its own sake. This the Constitution forbids.</w:t>
      </w:r>
    </w:p>
    <w:p w14:paraId="5930A21C" w14:textId="77777777" w:rsidR="002A1F95" w:rsidRDefault="00F2638C" w:rsidP="002A1F95">
      <w:pPr>
        <w:shd w:val="clear" w:color="auto" w:fill="FFFFFF"/>
        <w:spacing w:after="120"/>
        <w:rPr>
          <w:rFonts w:ascii="Garamond" w:eastAsia="Times New Roman" w:hAnsi="Garamond" w:cs="Times New Roman"/>
          <w:bCs/>
          <w:iCs/>
          <w:color w:val="000000"/>
          <w:sz w:val="25"/>
          <w:szCs w:val="25"/>
        </w:rPr>
      </w:pPr>
      <w:r w:rsidRPr="00F2638C">
        <w:rPr>
          <w:rFonts w:ascii="Garamond" w:eastAsia="Times New Roman" w:hAnsi="Garamond" w:cs="Times New Roman"/>
          <w:bCs/>
          <w:iCs/>
          <w:color w:val="000000"/>
          <w:sz w:val="25"/>
          <w:szCs w:val="25"/>
        </w:rPr>
        <w:t>Petitioner identifies, as another purpose of its program, improving the delivery of health-care services to communities currently underserved. It may be assumed that in some situations a State's interest in facilitating the health care of its citizens is sufficiently compelling to support the use of a suspect classification. But there is virtually no evidence in the record indicating that petitioner's special admissions program is either needed or geared to promote that goal.</w:t>
      </w:r>
    </w:p>
    <w:p w14:paraId="401672EB" w14:textId="24EDFDDC" w:rsidR="002A1F95" w:rsidRDefault="00F2638C" w:rsidP="002A1F95">
      <w:pPr>
        <w:shd w:val="clear" w:color="auto" w:fill="FFFFFF"/>
        <w:spacing w:after="120"/>
        <w:rPr>
          <w:rFonts w:ascii="Garamond" w:eastAsia="Times New Roman" w:hAnsi="Garamond" w:cs="Times New Roman"/>
          <w:bCs/>
          <w:iCs/>
          <w:color w:val="000000"/>
          <w:sz w:val="25"/>
          <w:szCs w:val="25"/>
        </w:rPr>
      </w:pPr>
      <w:r w:rsidRPr="00F2638C">
        <w:rPr>
          <w:rFonts w:ascii="Garamond" w:eastAsia="Times New Roman" w:hAnsi="Garamond" w:cs="Times New Roman"/>
          <w:bCs/>
          <w:iCs/>
          <w:color w:val="000000"/>
          <w:sz w:val="25"/>
          <w:szCs w:val="25"/>
        </w:rPr>
        <w:t>The fourth goal asserted by petitioner is the attainment of a diverse student body. This clearly is a constitutionally permissible goal for an institution of higher education</w:t>
      </w:r>
      <w:proofErr w:type="gramStart"/>
      <w:r w:rsidRPr="00F2638C">
        <w:rPr>
          <w:rFonts w:ascii="Garamond" w:eastAsia="Times New Roman" w:hAnsi="Garamond" w:cs="Times New Roman"/>
          <w:bCs/>
          <w:iCs/>
          <w:color w:val="000000"/>
          <w:sz w:val="25"/>
          <w:szCs w:val="25"/>
        </w:rPr>
        <w:t>. . . .</w:t>
      </w:r>
      <w:proofErr w:type="gramEnd"/>
      <w:r w:rsidRPr="00F2638C">
        <w:rPr>
          <w:rFonts w:ascii="Garamond" w:eastAsia="Times New Roman" w:hAnsi="Garamond" w:cs="Times New Roman"/>
          <w:bCs/>
          <w:iCs/>
          <w:color w:val="000000"/>
          <w:sz w:val="25"/>
          <w:szCs w:val="25"/>
        </w:rPr>
        <w:t xml:space="preserve"> The freedom of a university to make its own judgments as to education includes the selection of its student body.</w:t>
      </w:r>
    </w:p>
    <w:p w14:paraId="7BAF26B2" w14:textId="77777777" w:rsidR="002A1F95" w:rsidRDefault="00F2638C" w:rsidP="002A1F95">
      <w:pPr>
        <w:shd w:val="clear" w:color="auto" w:fill="FFFFFF"/>
        <w:spacing w:after="120"/>
        <w:rPr>
          <w:rFonts w:ascii="Garamond" w:eastAsia="Times New Roman" w:hAnsi="Garamond" w:cs="Times New Roman"/>
          <w:bCs/>
          <w:iCs/>
          <w:color w:val="000000"/>
          <w:sz w:val="25"/>
          <w:szCs w:val="25"/>
        </w:rPr>
      </w:pPr>
      <w:r w:rsidRPr="00F2638C">
        <w:rPr>
          <w:rFonts w:ascii="Garamond" w:eastAsia="Times New Roman" w:hAnsi="Garamond" w:cs="Times New Roman"/>
          <w:bCs/>
          <w:iCs/>
          <w:color w:val="000000"/>
          <w:sz w:val="25"/>
          <w:szCs w:val="25"/>
        </w:rPr>
        <w:t>It may be assumed that the reservation of a specified number of seats in each class for individuals from the preferred ethnic groups would contribute to the attainment of considerable ethnic diversity in the student body. But petitioner's argument that this is the only effective means of serving the interest of diversity is seriously flawed</w:t>
      </w:r>
      <w:proofErr w:type="gramStart"/>
      <w:r w:rsidRPr="00F2638C">
        <w:rPr>
          <w:rFonts w:ascii="Garamond" w:eastAsia="Times New Roman" w:hAnsi="Garamond" w:cs="Times New Roman"/>
          <w:bCs/>
          <w:iCs/>
          <w:color w:val="000000"/>
          <w:sz w:val="25"/>
          <w:szCs w:val="25"/>
        </w:rPr>
        <w:t>. . . .</w:t>
      </w:r>
      <w:proofErr w:type="gramEnd"/>
      <w:r w:rsidRPr="00F2638C">
        <w:rPr>
          <w:rFonts w:ascii="Garamond" w:eastAsia="Times New Roman" w:hAnsi="Garamond" w:cs="Times New Roman"/>
          <w:bCs/>
          <w:iCs/>
          <w:color w:val="000000"/>
          <w:sz w:val="25"/>
          <w:szCs w:val="25"/>
        </w:rPr>
        <w:t xml:space="preserve"> The diversity that furthers a compelling state interest encompasses a far broader array of qualifications and characteristics of which racial or ethnic origin is but a single though important element. Petitioner's special admissions program, focused solely on ethnic diversity, would hinder rather than further attainment of genuine diversity.</w:t>
      </w:r>
    </w:p>
    <w:p w14:paraId="36FD8237" w14:textId="77777777" w:rsidR="002A1F95" w:rsidRDefault="00F2638C" w:rsidP="002A1F95">
      <w:pPr>
        <w:shd w:val="clear" w:color="auto" w:fill="FFFFFF"/>
        <w:spacing w:after="120"/>
        <w:rPr>
          <w:rFonts w:ascii="Garamond" w:eastAsia="Times New Roman" w:hAnsi="Garamond" w:cs="Times New Roman"/>
          <w:bCs/>
          <w:iCs/>
          <w:color w:val="000000"/>
          <w:sz w:val="25"/>
          <w:szCs w:val="25"/>
        </w:rPr>
      </w:pPr>
      <w:r w:rsidRPr="00F2638C">
        <w:rPr>
          <w:rFonts w:ascii="Garamond" w:eastAsia="Times New Roman" w:hAnsi="Garamond" w:cs="Times New Roman"/>
          <w:bCs/>
          <w:iCs/>
          <w:color w:val="000000"/>
          <w:sz w:val="25"/>
          <w:szCs w:val="25"/>
        </w:rPr>
        <w:t>[R]</w:t>
      </w:r>
      <w:proofErr w:type="spellStart"/>
      <w:r w:rsidRPr="00F2638C">
        <w:rPr>
          <w:rFonts w:ascii="Garamond" w:eastAsia="Times New Roman" w:hAnsi="Garamond" w:cs="Times New Roman"/>
          <w:bCs/>
          <w:iCs/>
          <w:color w:val="000000"/>
          <w:sz w:val="25"/>
          <w:szCs w:val="25"/>
        </w:rPr>
        <w:t>ace</w:t>
      </w:r>
      <w:proofErr w:type="spellEnd"/>
      <w:r w:rsidRPr="00F2638C">
        <w:rPr>
          <w:rFonts w:ascii="Garamond" w:eastAsia="Times New Roman" w:hAnsi="Garamond" w:cs="Times New Roman"/>
          <w:bCs/>
          <w:iCs/>
          <w:color w:val="000000"/>
          <w:sz w:val="25"/>
          <w:szCs w:val="25"/>
        </w:rPr>
        <w:t xml:space="preserve"> or ethnic background may be deemed a </w:t>
      </w:r>
      <w:r w:rsidR="002A1F95">
        <w:rPr>
          <w:rFonts w:ascii="Garamond" w:eastAsia="Times New Roman" w:hAnsi="Garamond" w:cs="Times New Roman"/>
          <w:bCs/>
          <w:iCs/>
          <w:color w:val="000000"/>
          <w:sz w:val="25"/>
          <w:szCs w:val="25"/>
        </w:rPr>
        <w:t>“</w:t>
      </w:r>
      <w:r w:rsidRPr="00F2638C">
        <w:rPr>
          <w:rFonts w:ascii="Garamond" w:eastAsia="Times New Roman" w:hAnsi="Garamond" w:cs="Times New Roman"/>
          <w:bCs/>
          <w:iCs/>
          <w:color w:val="000000"/>
          <w:sz w:val="25"/>
          <w:szCs w:val="25"/>
        </w:rPr>
        <w:t>plus</w:t>
      </w:r>
      <w:r w:rsidR="002A1F95">
        <w:rPr>
          <w:rFonts w:ascii="Garamond" w:eastAsia="Times New Roman" w:hAnsi="Garamond" w:cs="Times New Roman"/>
          <w:bCs/>
          <w:iCs/>
          <w:color w:val="000000"/>
          <w:sz w:val="25"/>
          <w:szCs w:val="25"/>
        </w:rPr>
        <w:t>”</w:t>
      </w:r>
      <w:r w:rsidRPr="00F2638C">
        <w:rPr>
          <w:rFonts w:ascii="Garamond" w:eastAsia="Times New Roman" w:hAnsi="Garamond" w:cs="Times New Roman"/>
          <w:bCs/>
          <w:iCs/>
          <w:color w:val="000000"/>
          <w:sz w:val="25"/>
          <w:szCs w:val="25"/>
        </w:rPr>
        <w:t xml:space="preserve"> in a particular applicant</w:t>
      </w:r>
      <w:r w:rsidR="002A1F95">
        <w:rPr>
          <w:rFonts w:ascii="Garamond" w:eastAsia="Times New Roman" w:hAnsi="Garamond" w:cs="Times New Roman"/>
          <w:bCs/>
          <w:iCs/>
          <w:color w:val="000000"/>
          <w:sz w:val="25"/>
          <w:szCs w:val="25"/>
        </w:rPr>
        <w:t>’</w:t>
      </w:r>
      <w:r w:rsidRPr="00F2638C">
        <w:rPr>
          <w:rFonts w:ascii="Garamond" w:eastAsia="Times New Roman" w:hAnsi="Garamond" w:cs="Times New Roman"/>
          <w:bCs/>
          <w:iCs/>
          <w:color w:val="000000"/>
          <w:sz w:val="25"/>
          <w:szCs w:val="25"/>
        </w:rPr>
        <w:t>s file, yet it does not insulate the individual from comparison with all other candidates for the available seats. The file of a particular black applicant may be examined for his potential contribution to diversity without the factor of race being decisive when compared, for example, with that of an applicant identified as an Italian-American if the latter is thought to exhibit qualities more likely to promote beneficial educational pluralism. Such qualities could include exceptional personal talents, unique work or service experience, leadership potential, maturity, demonstrated compassion, a history of overcoming disadvantage, ability to communicate with the poor, or other qualifications deemed important.</w:t>
      </w:r>
    </w:p>
    <w:p w14:paraId="25363438" w14:textId="77777777" w:rsidR="002A1F95" w:rsidRDefault="00F2638C" w:rsidP="002A1F95">
      <w:pPr>
        <w:shd w:val="clear" w:color="auto" w:fill="FFFFFF"/>
        <w:spacing w:after="120"/>
        <w:rPr>
          <w:rFonts w:ascii="Garamond" w:eastAsia="Times New Roman" w:hAnsi="Garamond" w:cs="Times New Roman"/>
          <w:bCs/>
          <w:iCs/>
          <w:color w:val="000000"/>
          <w:sz w:val="25"/>
          <w:szCs w:val="25"/>
        </w:rPr>
      </w:pPr>
      <w:r w:rsidRPr="00F2638C">
        <w:rPr>
          <w:rFonts w:ascii="Garamond" w:eastAsia="Times New Roman" w:hAnsi="Garamond" w:cs="Times New Roman"/>
          <w:bCs/>
          <w:iCs/>
          <w:color w:val="000000"/>
          <w:sz w:val="25"/>
          <w:szCs w:val="25"/>
        </w:rPr>
        <w:t>In summary, it is evident that the Davis special admissions program involves the use of an explicit racial classification never before countenanced by this Court. It tells applicants who are not Negro, Asian, or Chicano that they are totally excluded from a specific percentage of the seats in an entering class. No matter how strong their qualifications, quantitative and extracurricular, including their own potential for contribution to educational diversity, they are never afforded the chance to compete with applicants from the preferred groups for the special admissions seats. At the same time, the preferred applicants have the opportunity to compete for every seat in the class.</w:t>
      </w:r>
    </w:p>
    <w:p w14:paraId="2D5C8A5A" w14:textId="65450DFB" w:rsidR="00F2638C" w:rsidRPr="00F2638C" w:rsidRDefault="00F2638C" w:rsidP="002A1F95">
      <w:pPr>
        <w:shd w:val="clear" w:color="auto" w:fill="FFFFFF"/>
        <w:spacing w:after="120"/>
        <w:rPr>
          <w:rFonts w:ascii="Garamond" w:eastAsia="Times New Roman" w:hAnsi="Garamond" w:cs="Times New Roman"/>
          <w:bCs/>
          <w:iCs/>
          <w:color w:val="000000"/>
          <w:sz w:val="25"/>
          <w:szCs w:val="25"/>
        </w:rPr>
      </w:pPr>
      <w:r w:rsidRPr="00F2638C">
        <w:rPr>
          <w:rFonts w:ascii="Garamond" w:eastAsia="Times New Roman" w:hAnsi="Garamond" w:cs="Times New Roman"/>
          <w:bCs/>
          <w:iCs/>
          <w:color w:val="000000"/>
          <w:sz w:val="25"/>
          <w:szCs w:val="25"/>
        </w:rPr>
        <w:t>With respect to respondent</w:t>
      </w:r>
      <w:r w:rsidR="002A1F95">
        <w:rPr>
          <w:rFonts w:ascii="Garamond" w:eastAsia="Times New Roman" w:hAnsi="Garamond" w:cs="Times New Roman"/>
          <w:bCs/>
          <w:iCs/>
          <w:color w:val="000000"/>
          <w:sz w:val="25"/>
          <w:szCs w:val="25"/>
        </w:rPr>
        <w:t>’</w:t>
      </w:r>
      <w:r w:rsidRPr="00F2638C">
        <w:rPr>
          <w:rFonts w:ascii="Garamond" w:eastAsia="Times New Roman" w:hAnsi="Garamond" w:cs="Times New Roman"/>
          <w:bCs/>
          <w:iCs/>
          <w:color w:val="000000"/>
          <w:sz w:val="25"/>
          <w:szCs w:val="25"/>
        </w:rPr>
        <w:t xml:space="preserve">s entitlement to an injunction directing his admission to the Medical School, petitioner has conceded that it could not carry its burden of proving that, but for the </w:t>
      </w:r>
      <w:r w:rsidRPr="00F2638C">
        <w:rPr>
          <w:rFonts w:ascii="Garamond" w:eastAsia="Times New Roman" w:hAnsi="Garamond" w:cs="Times New Roman"/>
          <w:bCs/>
          <w:iCs/>
          <w:color w:val="000000"/>
          <w:sz w:val="25"/>
          <w:szCs w:val="25"/>
        </w:rPr>
        <w:lastRenderedPageBreak/>
        <w:t>existence of its unlawful special admissions program, respondent still would not have been admitted. Hence, respondent is entitled to the injunction, and that portion of the judgment must be affirmed.</w:t>
      </w:r>
    </w:p>
    <w:p w14:paraId="73377F29" w14:textId="2F4C61D6" w:rsidR="00630DFD" w:rsidRPr="00630DFD" w:rsidRDefault="007A7F2A" w:rsidP="007A7F2A">
      <w:pPr>
        <w:pStyle w:val="Subhead1sl"/>
      </w:pPr>
      <w:r>
        <w:t>Questions to Consider</w:t>
      </w:r>
    </w:p>
    <w:p w14:paraId="21AE9B47" w14:textId="2B1F8E86" w:rsidR="006B3776" w:rsidRPr="00F2638C" w:rsidRDefault="006B3776" w:rsidP="00214385">
      <w:pPr>
        <w:numPr>
          <w:ilvl w:val="0"/>
          <w:numId w:val="19"/>
        </w:numPr>
        <w:shd w:val="clear" w:color="auto" w:fill="FFFFFF"/>
        <w:tabs>
          <w:tab w:val="clear" w:pos="720"/>
        </w:tabs>
        <w:spacing w:after="2280"/>
        <w:ind w:left="360"/>
        <w:rPr>
          <w:rFonts w:ascii="Garamond" w:eastAsia="Times New Roman" w:hAnsi="Garamond" w:cs="Times New Roman"/>
          <w:color w:val="000000"/>
          <w:sz w:val="25"/>
          <w:szCs w:val="25"/>
        </w:rPr>
      </w:pPr>
      <w:r>
        <w:rPr>
          <w:rFonts w:ascii="Garamond" w:eastAsia="Times New Roman" w:hAnsi="Garamond" w:cs="Times New Roman"/>
          <w:color w:val="000000"/>
          <w:sz w:val="25"/>
          <w:szCs w:val="25"/>
        </w:rPr>
        <w:t xml:space="preserve">What were </w:t>
      </w:r>
      <w:r w:rsidRPr="00F2638C">
        <w:rPr>
          <w:rFonts w:ascii="Garamond" w:eastAsia="Times New Roman" w:hAnsi="Garamond" w:cs="Times New Roman"/>
          <w:color w:val="000000"/>
          <w:sz w:val="25"/>
          <w:szCs w:val="25"/>
        </w:rPr>
        <w:t>the three problems the Supreme Court of the United States identifie</w:t>
      </w:r>
      <w:r>
        <w:rPr>
          <w:rFonts w:ascii="Garamond" w:eastAsia="Times New Roman" w:hAnsi="Garamond" w:cs="Times New Roman"/>
          <w:color w:val="000000"/>
          <w:sz w:val="25"/>
          <w:szCs w:val="25"/>
        </w:rPr>
        <w:t>d</w:t>
      </w:r>
      <w:r w:rsidRPr="00F2638C">
        <w:rPr>
          <w:rFonts w:ascii="Garamond" w:eastAsia="Times New Roman" w:hAnsi="Garamond" w:cs="Times New Roman"/>
          <w:color w:val="000000"/>
          <w:sz w:val="25"/>
          <w:szCs w:val="25"/>
        </w:rPr>
        <w:t xml:space="preserve"> with UC</w:t>
      </w:r>
      <w:r w:rsidR="002A1F95">
        <w:rPr>
          <w:rFonts w:ascii="Garamond" w:eastAsia="Times New Roman" w:hAnsi="Garamond" w:cs="Times New Roman"/>
          <w:color w:val="000000"/>
          <w:sz w:val="25"/>
          <w:szCs w:val="25"/>
        </w:rPr>
        <w:t xml:space="preserve"> Davis’ </w:t>
      </w:r>
      <w:r w:rsidRPr="00F2638C">
        <w:rPr>
          <w:rFonts w:ascii="Garamond" w:eastAsia="Times New Roman" w:hAnsi="Garamond" w:cs="Times New Roman"/>
          <w:color w:val="000000"/>
          <w:sz w:val="25"/>
          <w:szCs w:val="25"/>
        </w:rPr>
        <w:t>medical school admissions preferences</w:t>
      </w:r>
      <w:r>
        <w:rPr>
          <w:rFonts w:ascii="Garamond" w:eastAsia="Times New Roman" w:hAnsi="Garamond" w:cs="Times New Roman"/>
          <w:color w:val="000000"/>
          <w:sz w:val="25"/>
          <w:szCs w:val="25"/>
        </w:rPr>
        <w:t>?</w:t>
      </w:r>
    </w:p>
    <w:p w14:paraId="4287A61E" w14:textId="4720980E" w:rsidR="006B3776" w:rsidRPr="00F2638C" w:rsidRDefault="006B3776" w:rsidP="00214385">
      <w:pPr>
        <w:numPr>
          <w:ilvl w:val="0"/>
          <w:numId w:val="19"/>
        </w:numPr>
        <w:shd w:val="clear" w:color="auto" w:fill="FFFFFF"/>
        <w:tabs>
          <w:tab w:val="clear" w:pos="720"/>
        </w:tabs>
        <w:spacing w:after="2280"/>
        <w:ind w:left="360"/>
        <w:rPr>
          <w:rFonts w:ascii="Garamond" w:eastAsia="Times New Roman" w:hAnsi="Garamond" w:cs="Times New Roman"/>
          <w:color w:val="000000"/>
          <w:sz w:val="25"/>
          <w:szCs w:val="25"/>
        </w:rPr>
      </w:pPr>
      <w:r>
        <w:rPr>
          <w:rFonts w:ascii="Garamond" w:eastAsia="Times New Roman" w:hAnsi="Garamond" w:cs="Times New Roman"/>
          <w:color w:val="000000"/>
          <w:sz w:val="25"/>
          <w:szCs w:val="25"/>
        </w:rPr>
        <w:t xml:space="preserve">What were </w:t>
      </w:r>
      <w:r w:rsidRPr="00F2638C">
        <w:rPr>
          <w:rFonts w:ascii="Garamond" w:eastAsia="Times New Roman" w:hAnsi="Garamond" w:cs="Times New Roman"/>
          <w:color w:val="000000"/>
          <w:sz w:val="25"/>
          <w:szCs w:val="25"/>
        </w:rPr>
        <w:t>the two standards the Court says preferences must meet to be constitutional</w:t>
      </w:r>
      <w:r>
        <w:rPr>
          <w:rFonts w:ascii="Garamond" w:eastAsia="Times New Roman" w:hAnsi="Garamond" w:cs="Times New Roman"/>
          <w:color w:val="000000"/>
          <w:sz w:val="25"/>
          <w:szCs w:val="25"/>
        </w:rPr>
        <w:t>?</w:t>
      </w:r>
    </w:p>
    <w:p w14:paraId="68FCB6FF" w14:textId="12D7B012" w:rsidR="006B3776" w:rsidRPr="00F2638C" w:rsidRDefault="006B3776" w:rsidP="00214385">
      <w:pPr>
        <w:numPr>
          <w:ilvl w:val="0"/>
          <w:numId w:val="19"/>
        </w:numPr>
        <w:shd w:val="clear" w:color="auto" w:fill="FFFFFF"/>
        <w:tabs>
          <w:tab w:val="clear" w:pos="720"/>
        </w:tabs>
        <w:spacing w:after="2280"/>
        <w:ind w:left="360"/>
        <w:rPr>
          <w:rFonts w:ascii="Garamond" w:eastAsia="Times New Roman" w:hAnsi="Garamond" w:cs="Times New Roman"/>
          <w:color w:val="000000"/>
          <w:sz w:val="25"/>
          <w:szCs w:val="25"/>
        </w:rPr>
      </w:pPr>
      <w:r>
        <w:rPr>
          <w:rFonts w:ascii="Garamond" w:eastAsia="Times New Roman" w:hAnsi="Garamond" w:cs="Times New Roman"/>
          <w:color w:val="000000"/>
          <w:sz w:val="25"/>
          <w:szCs w:val="25"/>
        </w:rPr>
        <w:t>What were</w:t>
      </w:r>
      <w:r w:rsidRPr="00F2638C">
        <w:rPr>
          <w:rFonts w:ascii="Garamond" w:eastAsia="Times New Roman" w:hAnsi="Garamond" w:cs="Times New Roman"/>
          <w:color w:val="000000"/>
          <w:sz w:val="25"/>
          <w:szCs w:val="25"/>
        </w:rPr>
        <w:t xml:space="preserve"> the four purposes the regents of UC say their preference system serves. </w:t>
      </w:r>
      <w:r>
        <w:rPr>
          <w:rFonts w:ascii="Garamond" w:eastAsia="Times New Roman" w:hAnsi="Garamond" w:cs="Times New Roman"/>
          <w:color w:val="000000"/>
          <w:sz w:val="25"/>
          <w:szCs w:val="25"/>
        </w:rPr>
        <w:t>Which of the</w:t>
      </w:r>
      <w:r w:rsidRPr="00F2638C">
        <w:rPr>
          <w:rFonts w:ascii="Garamond" w:eastAsia="Times New Roman" w:hAnsi="Garamond" w:cs="Times New Roman"/>
          <w:color w:val="000000"/>
          <w:sz w:val="25"/>
          <w:szCs w:val="25"/>
        </w:rPr>
        <w:t xml:space="preserve"> purposes </w:t>
      </w:r>
      <w:r>
        <w:rPr>
          <w:rFonts w:ascii="Garamond" w:eastAsia="Times New Roman" w:hAnsi="Garamond" w:cs="Times New Roman"/>
          <w:color w:val="000000"/>
          <w:sz w:val="25"/>
          <w:szCs w:val="25"/>
        </w:rPr>
        <w:t xml:space="preserve">do </w:t>
      </w:r>
      <w:r w:rsidRPr="00F2638C">
        <w:rPr>
          <w:rFonts w:ascii="Garamond" w:eastAsia="Times New Roman" w:hAnsi="Garamond" w:cs="Times New Roman"/>
          <w:color w:val="000000"/>
          <w:sz w:val="25"/>
          <w:szCs w:val="25"/>
        </w:rPr>
        <w:t xml:space="preserve">you think </w:t>
      </w:r>
      <w:r>
        <w:rPr>
          <w:rFonts w:ascii="Garamond" w:eastAsia="Times New Roman" w:hAnsi="Garamond" w:cs="Times New Roman"/>
          <w:color w:val="000000"/>
          <w:sz w:val="25"/>
          <w:szCs w:val="25"/>
        </w:rPr>
        <w:t>are</w:t>
      </w:r>
      <w:r w:rsidRPr="00F2638C">
        <w:rPr>
          <w:rFonts w:ascii="Garamond" w:eastAsia="Times New Roman" w:hAnsi="Garamond" w:cs="Times New Roman"/>
          <w:color w:val="000000"/>
          <w:sz w:val="25"/>
          <w:szCs w:val="25"/>
        </w:rPr>
        <w:t xml:space="preserve"> justifiable</w:t>
      </w:r>
      <w:r>
        <w:rPr>
          <w:rFonts w:ascii="Garamond" w:eastAsia="Times New Roman" w:hAnsi="Garamond" w:cs="Times New Roman"/>
          <w:color w:val="000000"/>
          <w:sz w:val="25"/>
          <w:szCs w:val="25"/>
        </w:rPr>
        <w:t>? Which of the</w:t>
      </w:r>
      <w:r w:rsidRPr="00F2638C">
        <w:rPr>
          <w:rFonts w:ascii="Garamond" w:eastAsia="Times New Roman" w:hAnsi="Garamond" w:cs="Times New Roman"/>
          <w:color w:val="000000"/>
          <w:sz w:val="25"/>
          <w:szCs w:val="25"/>
        </w:rPr>
        <w:t xml:space="preserve"> purposes </w:t>
      </w:r>
      <w:r>
        <w:rPr>
          <w:rFonts w:ascii="Garamond" w:eastAsia="Times New Roman" w:hAnsi="Garamond" w:cs="Times New Roman"/>
          <w:color w:val="000000"/>
          <w:sz w:val="25"/>
          <w:szCs w:val="25"/>
        </w:rPr>
        <w:t xml:space="preserve">do </w:t>
      </w:r>
      <w:r w:rsidRPr="00F2638C">
        <w:rPr>
          <w:rFonts w:ascii="Garamond" w:eastAsia="Times New Roman" w:hAnsi="Garamond" w:cs="Times New Roman"/>
          <w:color w:val="000000"/>
          <w:sz w:val="25"/>
          <w:szCs w:val="25"/>
        </w:rPr>
        <w:t xml:space="preserve">you think </w:t>
      </w:r>
      <w:r>
        <w:rPr>
          <w:rFonts w:ascii="Garamond" w:eastAsia="Times New Roman" w:hAnsi="Garamond" w:cs="Times New Roman"/>
          <w:color w:val="000000"/>
          <w:sz w:val="25"/>
          <w:szCs w:val="25"/>
        </w:rPr>
        <w:t>are not</w:t>
      </w:r>
      <w:r w:rsidRPr="00F2638C">
        <w:rPr>
          <w:rFonts w:ascii="Garamond" w:eastAsia="Times New Roman" w:hAnsi="Garamond" w:cs="Times New Roman"/>
          <w:color w:val="000000"/>
          <w:sz w:val="25"/>
          <w:szCs w:val="25"/>
        </w:rPr>
        <w:t xml:space="preserve"> justifiable</w:t>
      </w:r>
      <w:r>
        <w:rPr>
          <w:rFonts w:ascii="Garamond" w:eastAsia="Times New Roman" w:hAnsi="Garamond" w:cs="Times New Roman"/>
          <w:color w:val="000000"/>
          <w:sz w:val="25"/>
          <w:szCs w:val="25"/>
        </w:rPr>
        <w:t xml:space="preserve">? </w:t>
      </w:r>
      <w:r w:rsidRPr="00F2638C">
        <w:rPr>
          <w:rFonts w:ascii="Garamond" w:eastAsia="Times New Roman" w:hAnsi="Garamond" w:cs="Times New Roman"/>
          <w:color w:val="000000"/>
          <w:sz w:val="25"/>
          <w:szCs w:val="25"/>
        </w:rPr>
        <w:t xml:space="preserve"> </w:t>
      </w:r>
    </w:p>
    <w:p w14:paraId="42053645" w14:textId="32711E4A" w:rsidR="006B3776" w:rsidRPr="00F2638C" w:rsidRDefault="006B3776" w:rsidP="00214385">
      <w:pPr>
        <w:numPr>
          <w:ilvl w:val="0"/>
          <w:numId w:val="19"/>
        </w:numPr>
        <w:shd w:val="clear" w:color="auto" w:fill="FFFFFF"/>
        <w:tabs>
          <w:tab w:val="clear" w:pos="720"/>
        </w:tabs>
        <w:spacing w:after="2280"/>
        <w:ind w:left="360"/>
        <w:rPr>
          <w:rFonts w:ascii="Garamond" w:eastAsia="Times New Roman" w:hAnsi="Garamond" w:cs="Times New Roman"/>
          <w:color w:val="000000"/>
          <w:sz w:val="25"/>
          <w:szCs w:val="25"/>
        </w:rPr>
      </w:pPr>
      <w:r w:rsidRPr="00F2638C">
        <w:rPr>
          <w:rFonts w:ascii="Garamond" w:eastAsia="Times New Roman" w:hAnsi="Garamond" w:cs="Times New Roman"/>
          <w:color w:val="000000"/>
          <w:sz w:val="25"/>
          <w:szCs w:val="25"/>
        </w:rPr>
        <w:t>Summarize the Court</w:t>
      </w:r>
      <w:r w:rsidR="002A1F95">
        <w:rPr>
          <w:rFonts w:ascii="Garamond" w:eastAsia="Times New Roman" w:hAnsi="Garamond" w:cs="Times New Roman"/>
          <w:color w:val="000000"/>
          <w:sz w:val="25"/>
          <w:szCs w:val="25"/>
        </w:rPr>
        <w:t>’</w:t>
      </w:r>
      <w:r w:rsidRPr="00F2638C">
        <w:rPr>
          <w:rFonts w:ascii="Garamond" w:eastAsia="Times New Roman" w:hAnsi="Garamond" w:cs="Times New Roman"/>
          <w:color w:val="000000"/>
          <w:sz w:val="25"/>
          <w:szCs w:val="25"/>
        </w:rPr>
        <w:t>s decision in one sentence.</w:t>
      </w:r>
    </w:p>
    <w:sectPr w:rsidR="006B3776" w:rsidRPr="00F2638C"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89AAE" w14:textId="77777777" w:rsidR="002171C0" w:rsidRDefault="002171C0" w:rsidP="0078549D">
      <w:pPr>
        <w:spacing w:after="0" w:line="240" w:lineRule="auto"/>
      </w:pPr>
      <w:r>
        <w:separator/>
      </w:r>
    </w:p>
  </w:endnote>
  <w:endnote w:type="continuationSeparator" w:id="0">
    <w:p w14:paraId="336E98D7" w14:textId="77777777" w:rsidR="002171C0" w:rsidRDefault="002171C0"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95194" w14:textId="08BAB5FC" w:rsidR="00987C93" w:rsidRPr="00CC6930" w:rsidRDefault="002171C0">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CC6930">
          <w:rPr>
            <w:rStyle w:val="BasiccopyslChar"/>
            <w:sz w:val="22"/>
            <w:szCs w:val="22"/>
          </w:rPr>
          <w:t>© 2020 Street Law, Inc.</w:t>
        </w:r>
        <w:r w:rsidR="00E64542" w:rsidRPr="00CC6930">
          <w:rPr>
            <w:rStyle w:val="BasiccopyslChar"/>
            <w:sz w:val="22"/>
            <w:szCs w:val="22"/>
          </w:rPr>
          <w:tab/>
        </w:r>
        <w:r w:rsidR="00E64542" w:rsidRPr="00CC6930">
          <w:rPr>
            <w:rStyle w:val="BasiccopyslChar"/>
            <w:sz w:val="22"/>
            <w:szCs w:val="22"/>
          </w:rPr>
          <w:tab/>
          <w:t xml:space="preserve"> Last updated: </w:t>
        </w:r>
      </w:sdtContent>
    </w:sdt>
    <w:r w:rsidR="00CC6930" w:rsidRPr="00CC6930">
      <w:rPr>
        <w:rStyle w:val="BasiccopyslChar"/>
        <w:sz w:val="22"/>
        <w:szCs w:val="22"/>
      </w:rPr>
      <w:t>0</w:t>
    </w:r>
    <w:r w:rsidR="002A1F95">
      <w:rPr>
        <w:rStyle w:val="BasiccopyslChar"/>
        <w:sz w:val="22"/>
        <w:szCs w:val="22"/>
      </w:rPr>
      <w:t>8</w:t>
    </w:r>
    <w:r w:rsidR="00CC6930" w:rsidRPr="00CC6930">
      <w:rPr>
        <w:rStyle w:val="BasiccopyslChar"/>
        <w:sz w:val="22"/>
        <w:szCs w:val="22"/>
      </w:rPr>
      <w:t>/</w:t>
    </w:r>
    <w:r w:rsidR="002A1F95">
      <w:rPr>
        <w:rStyle w:val="BasiccopyslChar"/>
        <w:sz w:val="22"/>
        <w:szCs w:val="22"/>
      </w:rPr>
      <w:t>18/2020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1FDF8" w14:textId="77777777" w:rsidR="002171C0" w:rsidRDefault="002171C0" w:rsidP="0078549D">
      <w:pPr>
        <w:spacing w:after="0" w:line="240" w:lineRule="auto"/>
      </w:pPr>
      <w:r>
        <w:separator/>
      </w:r>
    </w:p>
  </w:footnote>
  <w:footnote w:type="continuationSeparator" w:id="0">
    <w:p w14:paraId="0D16033A" w14:textId="77777777" w:rsidR="002171C0" w:rsidRDefault="002171C0"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4379B15C" w:rsidR="00F64E56" w:rsidRPr="002A1F95" w:rsidRDefault="002A1F95" w:rsidP="002A1F95">
    <w:pPr>
      <w:pStyle w:val="Basiccopysl"/>
      <w:rPr>
        <w:sz w:val="22"/>
        <w:szCs w:val="22"/>
      </w:rPr>
    </w:pPr>
    <w:r w:rsidRPr="00987C93">
      <w:rPr>
        <w:sz w:val="22"/>
        <w:szCs w:val="22"/>
      </w:rPr>
      <w:t>LandmarkCases.org</w:t>
    </w:r>
    <w:r w:rsidRPr="00987C93">
      <w:rPr>
        <w:sz w:val="22"/>
        <w:szCs w:val="22"/>
      </w:rPr>
      <w:tab/>
    </w:r>
    <w:r>
      <w:rPr>
        <w:sz w:val="22"/>
        <w:szCs w:val="22"/>
      </w:rPr>
      <w:t xml:space="preserve"> </w:t>
    </w:r>
    <w:r>
      <w:rPr>
        <w:sz w:val="22"/>
        <w:szCs w:val="22"/>
      </w:rPr>
      <w:tab/>
    </w:r>
    <w:r>
      <w:rPr>
        <w:sz w:val="22"/>
        <w:szCs w:val="22"/>
      </w:rPr>
      <w:tab/>
    </w:r>
    <w:r>
      <w:rPr>
        <w:sz w:val="22"/>
        <w:szCs w:val="22"/>
      </w:rPr>
      <w:tab/>
      <w:t xml:space="preserve">           </w:t>
    </w:r>
    <w:r>
      <w:rPr>
        <w:i/>
        <w:iCs/>
        <w:sz w:val="22"/>
        <w:szCs w:val="22"/>
      </w:rPr>
      <w:t xml:space="preserve">Regents of UC v. Bakke </w:t>
    </w:r>
    <w:r w:rsidRPr="00987C93">
      <w:rPr>
        <w:sz w:val="22"/>
        <w:szCs w:val="22"/>
      </w:rPr>
      <w:t>/</w:t>
    </w:r>
    <w:r>
      <w:rPr>
        <w:sz w:val="22"/>
        <w:szCs w:val="22"/>
      </w:rPr>
      <w:t xml:space="preserve"> Excerpts from the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35952302"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007A7F2A">
      <w:rPr>
        <w:sz w:val="22"/>
        <w:szCs w:val="22"/>
      </w:rPr>
      <w:t xml:space="preserve"> </w:t>
    </w:r>
    <w:r w:rsidR="002A1F95">
      <w:rPr>
        <w:sz w:val="22"/>
        <w:szCs w:val="22"/>
      </w:rPr>
      <w:tab/>
    </w:r>
    <w:r w:rsidR="002A1F95">
      <w:rPr>
        <w:sz w:val="22"/>
        <w:szCs w:val="22"/>
      </w:rPr>
      <w:tab/>
    </w:r>
    <w:r w:rsidR="002A1F95">
      <w:rPr>
        <w:sz w:val="22"/>
        <w:szCs w:val="22"/>
      </w:rPr>
      <w:tab/>
      <w:t xml:space="preserve">           </w:t>
    </w:r>
    <w:r w:rsidR="006E18BA">
      <w:rPr>
        <w:i/>
        <w:iCs/>
        <w:sz w:val="22"/>
        <w:szCs w:val="22"/>
      </w:rPr>
      <w:t xml:space="preserve">Regents of </w:t>
    </w:r>
    <w:r w:rsidR="002A1F95">
      <w:rPr>
        <w:i/>
        <w:iCs/>
        <w:sz w:val="22"/>
        <w:szCs w:val="22"/>
      </w:rPr>
      <w:t xml:space="preserve">UC </w:t>
    </w:r>
    <w:r w:rsidR="006E18BA">
      <w:rPr>
        <w:i/>
        <w:iCs/>
        <w:sz w:val="22"/>
        <w:szCs w:val="22"/>
      </w:rPr>
      <w:t>v. Bakke</w:t>
    </w:r>
    <w:r w:rsidR="0045009B">
      <w:rPr>
        <w:i/>
        <w:iCs/>
        <w:sz w:val="22"/>
        <w:szCs w:val="22"/>
      </w:rPr>
      <w:t xml:space="preserve"> </w:t>
    </w:r>
    <w:r w:rsidRPr="00987C93">
      <w:rPr>
        <w:sz w:val="22"/>
        <w:szCs w:val="22"/>
      </w:rPr>
      <w:t>/</w:t>
    </w:r>
    <w:r w:rsidR="007A7F2A">
      <w:rPr>
        <w:sz w:val="22"/>
        <w:szCs w:val="22"/>
      </w:rPr>
      <w:t xml:space="preserve"> Excerpts from </w:t>
    </w:r>
    <w:r w:rsidR="00CC6930">
      <w:rPr>
        <w:sz w:val="22"/>
        <w:szCs w:val="22"/>
      </w:rPr>
      <w:t>the</w:t>
    </w:r>
    <w:r w:rsidR="007A7F2A">
      <w:rPr>
        <w:sz w:val="22"/>
        <w:szCs w:val="22"/>
      </w:rPr>
      <w:t xml:space="preserve">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449D9"/>
    <w:multiLevelType w:val="multilevel"/>
    <w:tmpl w:val="F02C7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567D8"/>
    <w:multiLevelType w:val="multilevel"/>
    <w:tmpl w:val="A8C41250"/>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92F22"/>
    <w:multiLevelType w:val="multilevel"/>
    <w:tmpl w:val="CF64A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81104"/>
    <w:multiLevelType w:val="multilevel"/>
    <w:tmpl w:val="F02C7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B777A8"/>
    <w:multiLevelType w:val="multilevel"/>
    <w:tmpl w:val="8968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2"/>
  </w:num>
  <w:num w:numId="4">
    <w:abstractNumId w:val="5"/>
  </w:num>
  <w:num w:numId="5">
    <w:abstractNumId w:val="12"/>
  </w:num>
  <w:num w:numId="6">
    <w:abstractNumId w:val="7"/>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4"/>
  </w:num>
  <w:num w:numId="12">
    <w:abstractNumId w:val="0"/>
  </w:num>
  <w:num w:numId="13">
    <w:abstractNumId w:val="6"/>
  </w:num>
  <w:num w:numId="14">
    <w:abstractNumId w:val="10"/>
  </w:num>
  <w:num w:numId="15">
    <w:abstractNumId w:val="8"/>
  </w:num>
  <w:num w:numId="16">
    <w:abstractNumId w:val="14"/>
  </w:num>
  <w:num w:numId="17">
    <w:abstractNumId w:val="9"/>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D044A"/>
    <w:rsid w:val="000E239D"/>
    <w:rsid w:val="000E363F"/>
    <w:rsid w:val="001056C3"/>
    <w:rsid w:val="00170B98"/>
    <w:rsid w:val="001B3E05"/>
    <w:rsid w:val="0021030F"/>
    <w:rsid w:val="00214385"/>
    <w:rsid w:val="002171C0"/>
    <w:rsid w:val="0025076D"/>
    <w:rsid w:val="00290061"/>
    <w:rsid w:val="002A1F95"/>
    <w:rsid w:val="002B4D38"/>
    <w:rsid w:val="002C68A3"/>
    <w:rsid w:val="002D2203"/>
    <w:rsid w:val="002F5553"/>
    <w:rsid w:val="002F7E42"/>
    <w:rsid w:val="00317735"/>
    <w:rsid w:val="00354C18"/>
    <w:rsid w:val="00375090"/>
    <w:rsid w:val="00396AEB"/>
    <w:rsid w:val="003A19F9"/>
    <w:rsid w:val="003B2C83"/>
    <w:rsid w:val="003C6F20"/>
    <w:rsid w:val="003D1F21"/>
    <w:rsid w:val="00400A63"/>
    <w:rsid w:val="0045009B"/>
    <w:rsid w:val="004632BE"/>
    <w:rsid w:val="004B560A"/>
    <w:rsid w:val="004B73F9"/>
    <w:rsid w:val="004E7457"/>
    <w:rsid w:val="004F77FB"/>
    <w:rsid w:val="005311FB"/>
    <w:rsid w:val="00581578"/>
    <w:rsid w:val="005A0330"/>
    <w:rsid w:val="005A4E3D"/>
    <w:rsid w:val="005D058C"/>
    <w:rsid w:val="005E66CF"/>
    <w:rsid w:val="006135E5"/>
    <w:rsid w:val="00630DFD"/>
    <w:rsid w:val="00667C77"/>
    <w:rsid w:val="0069259A"/>
    <w:rsid w:val="006A2C95"/>
    <w:rsid w:val="006B3776"/>
    <w:rsid w:val="006C3E71"/>
    <w:rsid w:val="006E09C9"/>
    <w:rsid w:val="006E18BA"/>
    <w:rsid w:val="006E3717"/>
    <w:rsid w:val="007262EE"/>
    <w:rsid w:val="00733BF4"/>
    <w:rsid w:val="007415D6"/>
    <w:rsid w:val="0078549D"/>
    <w:rsid w:val="007A7F2A"/>
    <w:rsid w:val="007F700D"/>
    <w:rsid w:val="00807F02"/>
    <w:rsid w:val="00815CB0"/>
    <w:rsid w:val="0081706F"/>
    <w:rsid w:val="008B0AAE"/>
    <w:rsid w:val="008E07F3"/>
    <w:rsid w:val="00924FA3"/>
    <w:rsid w:val="009860F4"/>
    <w:rsid w:val="00987C93"/>
    <w:rsid w:val="009C50F9"/>
    <w:rsid w:val="009D6B03"/>
    <w:rsid w:val="009E1A5F"/>
    <w:rsid w:val="00A344B1"/>
    <w:rsid w:val="00A740A5"/>
    <w:rsid w:val="00AE0C77"/>
    <w:rsid w:val="00B535F7"/>
    <w:rsid w:val="00B62487"/>
    <w:rsid w:val="00B92A79"/>
    <w:rsid w:val="00BA4135"/>
    <w:rsid w:val="00C05B0A"/>
    <w:rsid w:val="00C15DAC"/>
    <w:rsid w:val="00C87D80"/>
    <w:rsid w:val="00CC6930"/>
    <w:rsid w:val="00CD079C"/>
    <w:rsid w:val="00CF4922"/>
    <w:rsid w:val="00CF5A7E"/>
    <w:rsid w:val="00DE3D18"/>
    <w:rsid w:val="00E3555A"/>
    <w:rsid w:val="00E64542"/>
    <w:rsid w:val="00EB20C0"/>
    <w:rsid w:val="00EF7C97"/>
    <w:rsid w:val="00F2638C"/>
    <w:rsid w:val="00F64E56"/>
    <w:rsid w:val="00F957BE"/>
    <w:rsid w:val="00FB18EF"/>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F263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630D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07F3"/>
    <w:rPr>
      <w:i/>
      <w:iCs/>
    </w:rPr>
  </w:style>
  <w:style w:type="character" w:customStyle="1" w:styleId="Heading4Char">
    <w:name w:val="Heading 4 Char"/>
    <w:basedOn w:val="DefaultParagraphFont"/>
    <w:link w:val="Heading4"/>
    <w:uiPriority w:val="9"/>
    <w:rsid w:val="00F2638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87885">
      <w:bodyDiv w:val="1"/>
      <w:marLeft w:val="0"/>
      <w:marRight w:val="0"/>
      <w:marTop w:val="0"/>
      <w:marBottom w:val="0"/>
      <w:divBdr>
        <w:top w:val="none" w:sz="0" w:space="0" w:color="auto"/>
        <w:left w:val="none" w:sz="0" w:space="0" w:color="auto"/>
        <w:bottom w:val="none" w:sz="0" w:space="0" w:color="auto"/>
        <w:right w:val="none" w:sz="0" w:space="0" w:color="auto"/>
      </w:divBdr>
    </w:div>
    <w:div w:id="378096007">
      <w:bodyDiv w:val="1"/>
      <w:marLeft w:val="0"/>
      <w:marRight w:val="0"/>
      <w:marTop w:val="0"/>
      <w:marBottom w:val="0"/>
      <w:divBdr>
        <w:top w:val="none" w:sz="0" w:space="0" w:color="auto"/>
        <w:left w:val="none" w:sz="0" w:space="0" w:color="auto"/>
        <w:bottom w:val="none" w:sz="0" w:space="0" w:color="auto"/>
        <w:right w:val="none" w:sz="0" w:space="0" w:color="auto"/>
      </w:divBdr>
    </w:div>
    <w:div w:id="20598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D3F5C2E2-F5E2-45CE-A980-A38659526B57}"/>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LMC student handout styles</Template>
  <TotalTime>16</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3</cp:revision>
  <dcterms:created xsi:type="dcterms:W3CDTF">2020-08-18T19:39:00Z</dcterms:created>
  <dcterms:modified xsi:type="dcterms:W3CDTF">2020-08-18T19:54:00Z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