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C7BE44" w14:textId="6671972A" w:rsidR="00456709" w:rsidRPr="00456709" w:rsidRDefault="00456709" w:rsidP="005D084B">
      <w:pPr>
        <w:tabs>
          <w:tab w:val="num" w:pos="720"/>
        </w:tabs>
        <w:jc w:val="both"/>
        <w:rPr>
          <w:b/>
          <w:bCs/>
          <w:lang w:val="en-US"/>
        </w:rPr>
      </w:pPr>
      <w:r w:rsidRPr="00456709">
        <w:rPr>
          <w:b/>
          <w:bCs/>
          <w:lang w:val="en-US"/>
        </w:rPr>
        <w:t xml:space="preserve">COLOMBIA </w:t>
      </w:r>
    </w:p>
    <w:p w14:paraId="37D41048" w14:textId="77777777" w:rsidR="00456709" w:rsidRPr="00456709" w:rsidRDefault="00456709" w:rsidP="00456709">
      <w:pPr>
        <w:tabs>
          <w:tab w:val="num" w:pos="720"/>
        </w:tabs>
        <w:jc w:val="both"/>
        <w:rPr>
          <w:b/>
          <w:bCs/>
          <w:lang w:val="en-US"/>
        </w:rPr>
      </w:pPr>
      <w:r w:rsidRPr="00456709">
        <w:rPr>
          <w:b/>
          <w:bCs/>
          <w:lang w:val="en-US"/>
        </w:rPr>
        <w:t xml:space="preserve">Submission of views and information relating to the strategic review and analysis of the current </w:t>
      </w:r>
      <w:proofErr w:type="spellStart"/>
      <w:r w:rsidRPr="00456709">
        <w:rPr>
          <w:b/>
          <w:bCs/>
          <w:lang w:val="en-US"/>
        </w:rPr>
        <w:t>Programme</w:t>
      </w:r>
      <w:proofErr w:type="spellEnd"/>
      <w:r w:rsidRPr="00456709">
        <w:rPr>
          <w:b/>
          <w:bCs/>
          <w:lang w:val="en-US"/>
        </w:rPr>
        <w:t xml:space="preserve"> of work on protected areas (</w:t>
      </w:r>
      <w:proofErr w:type="spellStart"/>
      <w:r w:rsidRPr="00456709">
        <w:rPr>
          <w:b/>
          <w:bCs/>
          <w:lang w:val="en-US"/>
        </w:rPr>
        <w:t>PowPA</w:t>
      </w:r>
      <w:proofErr w:type="spellEnd"/>
      <w:r w:rsidRPr="00456709">
        <w:rPr>
          <w:b/>
          <w:bCs/>
          <w:lang w:val="en-US"/>
        </w:rPr>
        <w:t>) in the context of the Kunming-Montreal Global Biodiversity Framework</w:t>
      </w:r>
    </w:p>
    <w:p w14:paraId="2EC10498" w14:textId="47169E75" w:rsidR="00456709" w:rsidRPr="00456709" w:rsidRDefault="00456709" w:rsidP="00456709">
      <w:pPr>
        <w:pBdr>
          <w:bottom w:val="single" w:sz="6" w:space="1" w:color="auto"/>
        </w:pBdr>
        <w:tabs>
          <w:tab w:val="num" w:pos="720"/>
        </w:tabs>
        <w:jc w:val="both"/>
        <w:rPr>
          <w:b/>
          <w:bCs/>
          <w:lang w:val="en-US"/>
        </w:rPr>
      </w:pPr>
      <w:r w:rsidRPr="00456709">
        <w:rPr>
          <w:b/>
          <w:bCs/>
          <w:lang w:val="en-US"/>
        </w:rPr>
        <w:t>Ref.: SCBD/SSSF/SS/JA/MG/MS/92511</w:t>
      </w:r>
    </w:p>
    <w:p w14:paraId="77DB7BD3" w14:textId="5BBEB929" w:rsidR="005D084B" w:rsidRDefault="005D084B" w:rsidP="005D084B">
      <w:pPr>
        <w:tabs>
          <w:tab w:val="num" w:pos="720"/>
        </w:tabs>
        <w:jc w:val="both"/>
      </w:pPr>
      <w:r>
        <w:t>En el marco del Parágrafo 9 de la Decisión COP/15/4 y en el Parágrafo 4 de la Decisión COP/16/12, la Conferencia de las Partes decidió la revisión y análisis estratégico de los Programas de Trabajo del CDB en el contexto del Marco Global Kunming Montreal para la Biodiversidad, solicitando a la Secretaría del CDB apoyo en el proceso.</w:t>
      </w:r>
    </w:p>
    <w:p w14:paraId="7881A464" w14:textId="1BE034B8" w:rsidR="005D084B" w:rsidRDefault="005D084B" w:rsidP="005D084B">
      <w:pPr>
        <w:tabs>
          <w:tab w:val="num" w:pos="720"/>
        </w:tabs>
        <w:jc w:val="both"/>
      </w:pPr>
      <w:r>
        <w:t>Al respecto, Colombia realizó la revisión del Programa de Trabajo de Áreas Protegidas (PoWPA) en respuesta a la Notificación No. 2025-135 de la Secretaría del CDB, donde fue solicitado a los Estados Parte la remisión de visiones e información.</w:t>
      </w:r>
    </w:p>
    <w:p w14:paraId="2B12205D" w14:textId="6BD78F95" w:rsidR="005D084B" w:rsidRDefault="005D084B" w:rsidP="005D084B">
      <w:pPr>
        <w:tabs>
          <w:tab w:val="num" w:pos="720"/>
        </w:tabs>
        <w:jc w:val="both"/>
      </w:pPr>
      <w:r>
        <w:t>Así pues, el presente documento condensa los aportes de Colombia en el marco de este proceso</w:t>
      </w:r>
      <w:r w:rsidR="00F54082">
        <w:t>, (1) respondiendo a las preguntas extendidas por la Secretaría; y (2) adjuntando una Matriz con comentarios puntuales frente a cada una de las metas del POWPA.</w:t>
      </w:r>
    </w:p>
    <w:p w14:paraId="343427E1" w14:textId="77777777" w:rsidR="00F54082" w:rsidRDefault="00F54082" w:rsidP="005D084B">
      <w:pPr>
        <w:tabs>
          <w:tab w:val="num" w:pos="720"/>
        </w:tabs>
        <w:jc w:val="both"/>
      </w:pPr>
    </w:p>
    <w:p w14:paraId="45FEC184" w14:textId="77777777" w:rsidR="00F54082" w:rsidRPr="005D084B" w:rsidRDefault="00F54082" w:rsidP="00F54082">
      <w:pPr>
        <w:numPr>
          <w:ilvl w:val="0"/>
          <w:numId w:val="1"/>
        </w:numPr>
        <w:jc w:val="both"/>
        <w:rPr>
          <w:b/>
          <w:bCs/>
        </w:rPr>
      </w:pPr>
      <w:r w:rsidRPr="005D084B">
        <w:rPr>
          <w:b/>
          <w:bCs/>
        </w:rPr>
        <w:t>¿Qué aspectos deben ser incorporados o reforzados en la revisión del PoWPA para mejorar su alineación con el Marco Kunming Montreal? </w:t>
      </w:r>
    </w:p>
    <w:p w14:paraId="051F952E" w14:textId="7E6D539C" w:rsidR="005D084B" w:rsidRPr="00320C10" w:rsidRDefault="00182C94" w:rsidP="005A35F3">
      <w:pPr>
        <w:tabs>
          <w:tab w:val="num" w:pos="720"/>
        </w:tabs>
        <w:jc w:val="both"/>
      </w:pPr>
      <w:r>
        <w:rPr>
          <w:b/>
          <w:bCs/>
        </w:rPr>
        <w:t xml:space="preserve">Vigencia del POWPA: </w:t>
      </w:r>
      <w:r>
        <w:t>Es un instrumento que sigue siendo tanto vigente como necesario para retomar a nivel nacional, regional, subnacional y global; en buena medida, muchas de las Metas no fueron cumplidas por parte de los países, razón por la cual es necesario traerlas nuevamente a la mesa en pro de su cumplimiento.</w:t>
      </w:r>
      <w:r w:rsidRPr="00182C94">
        <w:t xml:space="preserve"> </w:t>
      </w:r>
      <w:r>
        <w:t xml:space="preserve">Sin embargo, hay la necesidad de actualizar conceptos, fechas, metas, categorías, que permiten un POWPA robusto y a su vez compacto que oriente las acciones de los Estados Parte, incluyendo asuntos no contemplados previamente como los riesgos que enfrentan los guardaparques en el territorio al enfrentarse a economías ilegales y actores armados </w:t>
      </w:r>
      <w:r w:rsidR="005A35F3">
        <w:t>al margen de la ley</w:t>
      </w:r>
      <w:r w:rsidR="00320C10">
        <w:t xml:space="preserve"> y las escuelas nacionales de formación y fortalecimiento de capacidades que necesitan.</w:t>
      </w:r>
    </w:p>
    <w:p w14:paraId="1A021108" w14:textId="77777777" w:rsidR="00182C94" w:rsidRDefault="009F543C" w:rsidP="00182C94">
      <w:pPr>
        <w:tabs>
          <w:tab w:val="num" w:pos="720"/>
        </w:tabs>
        <w:jc w:val="both"/>
      </w:pPr>
      <w:r w:rsidRPr="009F543C">
        <w:rPr>
          <w:b/>
          <w:bCs/>
        </w:rPr>
        <w:t>Fechas para las Metas del POWPA</w:t>
      </w:r>
      <w:r>
        <w:t xml:space="preserve">: </w:t>
      </w:r>
      <w:r w:rsidR="00182C94">
        <w:t>En primer lugar, la temporalidad del POWPA es un aspecto para mejorar. El objetivo del POWPA establece que “</w:t>
      </w:r>
      <w:r w:rsidR="00182C94" w:rsidRPr="005A35F3">
        <w:rPr>
          <w:i/>
          <w:iCs/>
        </w:rPr>
        <w:t xml:space="preserve">La finalidad general del programa de trabajo sobre áreas protegidas es apoyar </w:t>
      </w:r>
      <w:r w:rsidR="00182C94" w:rsidRPr="009F543C">
        <w:rPr>
          <w:i/>
          <w:iCs/>
        </w:rPr>
        <w:t>el establecimiento y mantenimiento al 2010 para las zonas terrestres y</w:t>
      </w:r>
      <w:r w:rsidR="00182C94" w:rsidRPr="005A35F3">
        <w:rPr>
          <w:i/>
          <w:iCs/>
        </w:rPr>
        <w:t xml:space="preserve"> </w:t>
      </w:r>
      <w:r w:rsidR="00182C94" w:rsidRPr="009F543C">
        <w:rPr>
          <w:i/>
          <w:iCs/>
        </w:rPr>
        <w:t>al 2012 para las zonas marinas de sistemas nacionales y regionales completos,</w:t>
      </w:r>
      <w:r w:rsidR="00182C94" w:rsidRPr="005A35F3">
        <w:rPr>
          <w:i/>
          <w:iCs/>
        </w:rPr>
        <w:t xml:space="preserve"> </w:t>
      </w:r>
      <w:r w:rsidR="00182C94" w:rsidRPr="009F543C">
        <w:rPr>
          <w:i/>
          <w:iCs/>
        </w:rPr>
        <w:t>eficazmente gestionados y ecológicamente representativos de áreas</w:t>
      </w:r>
      <w:r w:rsidR="00182C94" w:rsidRPr="005A35F3">
        <w:rPr>
          <w:i/>
          <w:iCs/>
        </w:rPr>
        <w:t xml:space="preserve"> </w:t>
      </w:r>
      <w:r w:rsidR="00182C94" w:rsidRPr="009F543C">
        <w:rPr>
          <w:i/>
          <w:iCs/>
        </w:rPr>
        <w:t>protegidas</w:t>
      </w:r>
      <w:r w:rsidR="00182C94" w:rsidRPr="005A35F3">
        <w:rPr>
          <w:i/>
          <w:iCs/>
        </w:rPr>
        <w:t xml:space="preserve"> […]</w:t>
      </w:r>
      <w:r w:rsidR="00182C94">
        <w:t xml:space="preserve">”. Por ende, el POWPA tiene complejos rezagos ya que muchos Estados han dejado de utilizarlo por más de una década al tener una fecha de </w:t>
      </w:r>
      <w:r w:rsidR="00182C94" w:rsidRPr="00320C10">
        <w:t>vencimiento</w:t>
      </w:r>
      <w:r w:rsidR="00182C94">
        <w:t xml:space="preserve"> de 2010 y 2012. </w:t>
      </w:r>
    </w:p>
    <w:p w14:paraId="5E01DBEA" w14:textId="0903FF2D" w:rsidR="005D084B" w:rsidRDefault="005D084B" w:rsidP="009F543C">
      <w:pPr>
        <w:tabs>
          <w:tab w:val="num" w:pos="720"/>
        </w:tabs>
        <w:jc w:val="both"/>
      </w:pPr>
      <w:r>
        <w:t xml:space="preserve">La pregunta para </w:t>
      </w:r>
      <w:r w:rsidR="005A35F3">
        <w:t>debatir</w:t>
      </w:r>
      <w:r>
        <w:t xml:space="preserve"> es si la temporalidad ahora pasará a ser de 2030, una perspectiva que favorecemos desde Colombia porque estas metas ya debían haberse dado en 2010 y 2012</w:t>
      </w:r>
      <w:r w:rsidR="009F543C">
        <w:t xml:space="preserve">. </w:t>
      </w:r>
      <w:r w:rsidR="005A35F3">
        <w:t>Habrá</w:t>
      </w:r>
      <w:r w:rsidR="009F543C">
        <w:t xml:space="preserve"> visiones que apuestan por eliminar rangos temporales para el POWPA; si bien hay aspectos conceptuales y cualitativos que se mantienen en el tiempo, si el CDB no da una orientación en pro de una temporalidad, los países obviaran los esfuerzos dentro del contexto temporal del Marco </w:t>
      </w:r>
      <w:r w:rsidR="009F543C">
        <w:lastRenderedPageBreak/>
        <w:t>Kunming Montreal. Para resolver este asunto, en la COP-17 y/o en la COP-18 debería haber una decisión entre las Partes que reconozca que, una vez se adopten las Metas del Marco Post-2030, se actualicen algunos marcos temporales de los Programas de Trabajo, sin esto buscar abrir la puerta a una carta de salida ante el incumplimiento del POWPA a 2030.</w:t>
      </w:r>
    </w:p>
    <w:p w14:paraId="5415D1DD" w14:textId="77415A99" w:rsidR="003C5E14" w:rsidRDefault="009F543C" w:rsidP="009F543C">
      <w:pPr>
        <w:tabs>
          <w:tab w:val="num" w:pos="720"/>
        </w:tabs>
        <w:jc w:val="both"/>
      </w:pPr>
      <w:r>
        <w:rPr>
          <w:b/>
          <w:bCs/>
        </w:rPr>
        <w:t xml:space="preserve">Objetivo: </w:t>
      </w:r>
      <w:r>
        <w:t xml:space="preserve">el Objetivo señala los aspectos cualitativos necesarios para lograr el establecimiento de Sistemas Nacionales y Regionales: Sistemas completos, Sistemas eficazmente gestionados, Sistemas ecológicamente representativos. Si bien esto es cierto, esta redacción requeriría de actualización para incorporar: Sistemas bien conservados, Sistemas equitativamente gobernados, Sistemas bien conectados, Sistemas integrados en paisajes más amplios y Sistemas con sostenibilidad financiera. </w:t>
      </w:r>
      <w:r w:rsidR="00182C94">
        <w:t xml:space="preserve">Adicionalmente, es relevante reconocer lo ya incluido en la Meta 3 de respeto por los derechos de los pueblos étnicos (indígenas y afro-descendientes) y campesinos. </w:t>
      </w:r>
    </w:p>
    <w:p w14:paraId="1B606FFF" w14:textId="3868084A" w:rsidR="009F543C" w:rsidRDefault="009F543C" w:rsidP="009F543C">
      <w:pPr>
        <w:tabs>
          <w:tab w:val="num" w:pos="720"/>
        </w:tabs>
        <w:jc w:val="both"/>
      </w:pPr>
      <w:r>
        <w:t xml:space="preserve">Por su parte, resulta clave mantener la mención a que su articulación colectiva en una red mundial contribuye a </w:t>
      </w:r>
      <w:r>
        <w:rPr>
          <w:b/>
          <w:bCs/>
        </w:rPr>
        <w:t>reducir significativamente e</w:t>
      </w:r>
      <w:r w:rsidR="003C5E14">
        <w:rPr>
          <w:b/>
          <w:bCs/>
        </w:rPr>
        <w:t>l</w:t>
      </w:r>
      <w:r>
        <w:rPr>
          <w:b/>
          <w:bCs/>
        </w:rPr>
        <w:t xml:space="preserve"> ritmo actual de la pérdida de diversidad biológica en los planos mundial, regional, nacional, subnacional y a la reducción de la pobreza y al desarrollo sostenible</w:t>
      </w:r>
      <w:r w:rsidR="003C5E14">
        <w:rPr>
          <w:b/>
          <w:bCs/>
        </w:rPr>
        <w:t>, apoyando así los objetivos del Plan Estratégico del Convenio, el Plan de Aplicación de la Cumbre Mundial sobre el Desarrollo Sostenible y las Metas de Desarrollo del Milenio</w:t>
      </w:r>
      <w:r>
        <w:rPr>
          <w:b/>
          <w:bCs/>
        </w:rPr>
        <w:t xml:space="preserve">. </w:t>
      </w:r>
      <w:r w:rsidR="003C5E14">
        <w:t>Esta redacción sólo podría ser enmendada si se fortalece, hablando de “reducir significativamente el ritmo actual de la pérdida de biodiversidad [</w:t>
      </w:r>
      <w:r w:rsidR="003C5E14" w:rsidRPr="003C5E14">
        <w:rPr>
          <w:i/>
          <w:iCs/>
        </w:rPr>
        <w:t>y sus causas subyacentes</w:t>
      </w:r>
      <w:r w:rsidR="003C5E14">
        <w:t>]”, y actualizando la referencia a otras convenciones, “</w:t>
      </w:r>
      <w:r w:rsidR="003C5E14" w:rsidRPr="003C5E14">
        <w:t xml:space="preserve">así los objetivos </w:t>
      </w:r>
      <w:r w:rsidR="003C5E14">
        <w:br/>
        <w:t>[y metas Marco Kunming Montreal]</w:t>
      </w:r>
      <w:r w:rsidR="003C5E14" w:rsidRPr="003C5E14">
        <w:t xml:space="preserve">, </w:t>
      </w:r>
      <w:r w:rsidR="003C5E14">
        <w:t>[la Convención Marco de Naciones Unidas para Cambio Climático] y [los Objetivos de Desarrollo Sostenible]</w:t>
      </w:r>
      <w:r w:rsidR="003C5E14" w:rsidRPr="003C5E14">
        <w:t>.</w:t>
      </w:r>
      <w:r w:rsidR="003C5E14">
        <w:t xml:space="preserve"> </w:t>
      </w:r>
      <w:r w:rsidR="00182C94">
        <w:t xml:space="preserve">Adicionalmente, hay otros asuntos relevantes a mencionar que no estaban en la mesa en la década del 2000: Marco Hyogo, la IPBES con sus evaluaciones y marcos conceptuales, </w:t>
      </w:r>
      <w:r w:rsidR="005A35F3">
        <w:t>el Acuerdo de Escazú, derechos de tercera generación (derecho fundamental al medio ambiente sano y derechos étnico territoriales, de la naturaleza, entre otros).</w:t>
      </w:r>
    </w:p>
    <w:p w14:paraId="7A5FB2AA" w14:textId="152C1269" w:rsidR="003C5E14" w:rsidRDefault="003C5E14" w:rsidP="009F543C">
      <w:pPr>
        <w:tabs>
          <w:tab w:val="num" w:pos="720"/>
        </w:tabs>
        <w:jc w:val="both"/>
      </w:pPr>
      <w:r w:rsidRPr="003C5E14">
        <w:rPr>
          <w:b/>
          <w:bCs/>
        </w:rPr>
        <w:t>Enfoque</w:t>
      </w:r>
      <w:r w:rsidR="00182C94">
        <w:rPr>
          <w:b/>
          <w:bCs/>
        </w:rPr>
        <w:t>s del POWPA</w:t>
      </w:r>
      <w:r>
        <w:t xml:space="preserve">: como bien lo dice el POWPA, </w:t>
      </w:r>
      <w:r w:rsidR="00182C94">
        <w:t>el enfoque por ecosistemas</w:t>
      </w:r>
      <w:r>
        <w:t xml:space="preserve"> es clave porque permite “</w:t>
      </w:r>
      <w:r w:rsidRPr="003C5E14">
        <w:rPr>
          <w:i/>
          <w:iCs/>
        </w:rPr>
        <w:t>comprender la relación de las áreas protegidas con el paisaje terrestre y marino más amplio y se pueden valorar los bienes y servicios provenientes de las áreas protegidas. Además, el establecimiento y administración de sistemas de áreas protegidas dentro del marco del enfoque por ecosistemas no debería considerarse únicamente en términos nacionales, sino en términos de ecosistema o bio-regionales, cuando el ecosistema pertinente se extiende más allá de las fronteras nacionales</w:t>
      </w:r>
      <w:r>
        <w:t>”. Este enfoque podría fortalecerse en las referencias a la conectividad y a la integración en paisajes más amplios</w:t>
      </w:r>
      <w:r w:rsidR="00182C94">
        <w:t>, y es necesario complementarlo con otros enfoques como o son el enfoque de derechos, el enfoque territorial, el enfoque de riesgo, el enfoque de cambio climático y el enfoque diferencial, algunos de los cuales están recogidos en la Sección C del Marco y en otras Metas del Marco.</w:t>
      </w:r>
    </w:p>
    <w:p w14:paraId="0DDBBC0B" w14:textId="702F86B4" w:rsidR="00182C94" w:rsidRDefault="00637FC8" w:rsidP="009F543C">
      <w:pPr>
        <w:tabs>
          <w:tab w:val="num" w:pos="720"/>
        </w:tabs>
        <w:jc w:val="both"/>
      </w:pPr>
      <w:r>
        <w:rPr>
          <w:b/>
          <w:bCs/>
        </w:rPr>
        <w:t xml:space="preserve">Metas con Marco de </w:t>
      </w:r>
      <w:r w:rsidR="005A35F3">
        <w:rPr>
          <w:b/>
          <w:bCs/>
        </w:rPr>
        <w:t>Monitoreo</w:t>
      </w:r>
      <w:r>
        <w:rPr>
          <w:b/>
          <w:bCs/>
        </w:rPr>
        <w:t>, Seguimiento</w:t>
      </w:r>
      <w:r w:rsidR="005A35F3">
        <w:rPr>
          <w:b/>
          <w:bCs/>
        </w:rPr>
        <w:t xml:space="preserve"> y </w:t>
      </w:r>
      <w:r>
        <w:rPr>
          <w:b/>
          <w:bCs/>
        </w:rPr>
        <w:t>R</w:t>
      </w:r>
      <w:r w:rsidR="005A35F3">
        <w:rPr>
          <w:b/>
          <w:bCs/>
        </w:rPr>
        <w:t xml:space="preserve">eporte de las Metas del POWPA: </w:t>
      </w:r>
      <w:r w:rsidR="005A35F3">
        <w:t xml:space="preserve">es necesario contar con decisiones de la COP para poder hacer un seguimiento al POWPA en el marco de los Reportes de NBSAP, que permitan articular los reportes ante indicadores de Cabecera, de Componente y Complementarias del Marco Kunming Montreal con Metas del POWPA, e inclusive vincular las Metas del POWPA con el Marco de Monitoreo de las Metas Post-2030. Hay muchas metas indispensables para las áreas protegidas que están en aplazado cumplimiento, por la desactualización del POWPA y su desarticulación con la recta final de las Meta Aichi y el balance del </w:t>
      </w:r>
      <w:r w:rsidR="005A35F3">
        <w:lastRenderedPageBreak/>
        <w:t>Plan Estratégico 2011-2020. Esta articulación permitiría tanto cumplir con las Metas, como generar una guía para los Estados Parte y demás interesados de cómo lograrlas y simplificar el proceso de reporte.</w:t>
      </w:r>
      <w:r>
        <w:t xml:space="preserve"> A su vez, es necesario simplificar el POWPA, creando </w:t>
      </w:r>
      <w:r w:rsidR="00524AE3">
        <w:t xml:space="preserve">en algunos casos nuevos </w:t>
      </w:r>
      <w:r>
        <w:t xml:space="preserve">Elementos </w:t>
      </w:r>
      <w:r w:rsidR="00524AE3">
        <w:t>para separar algunos temas mezclados dentro de cada Elemento y para darle mayor desarrollo a algunos tangencialmente mencionados</w:t>
      </w:r>
      <w:r>
        <w:t xml:space="preserve">, como el Cambio Climático y la Restauración, </w:t>
      </w:r>
      <w:r w:rsidR="00524AE3">
        <w:t>así como para incorporar asuntos nuevos como las condiciones de trabajo</w:t>
      </w:r>
      <w:r w:rsidR="00C21AF8">
        <w:t>,</w:t>
      </w:r>
      <w:r w:rsidR="00524AE3">
        <w:t xml:space="preserve"> seguridad de los guardaparques</w:t>
      </w:r>
      <w:r w:rsidR="00320C10">
        <w:t>, y las escuelas nacionales de formación y fortalecimiento de capacidades que necesitan</w:t>
      </w:r>
      <w:r w:rsidR="00524AE3">
        <w:t>.</w:t>
      </w:r>
    </w:p>
    <w:p w14:paraId="335AF9FC" w14:textId="0927AA47" w:rsidR="005A35F3" w:rsidRDefault="005A35F3" w:rsidP="009F543C">
      <w:pPr>
        <w:tabs>
          <w:tab w:val="num" w:pos="720"/>
        </w:tabs>
        <w:jc w:val="both"/>
      </w:pPr>
      <w:r w:rsidRPr="005A35F3">
        <w:rPr>
          <w:b/>
          <w:bCs/>
        </w:rPr>
        <w:t>Enfoque de Mainstreaming</w:t>
      </w:r>
      <w:r>
        <w:t xml:space="preserve">: </w:t>
      </w:r>
      <w:r w:rsidR="00637FC8">
        <w:t>es necesario fortalecer la conceptualización en torno al enfoque intersectorial, puesto que en muchas ocasiones la gestión de las áreas protegidas se ciñe a las fronteras de lo ecológico mientras que es clave la implementación en el marco de la articulación con los demás sectores en un enfoque de “toda la sociedad” y con las comunidades étnicas y locales, un enfoque presente en el Marco Kunming Montreal.</w:t>
      </w:r>
    </w:p>
    <w:p w14:paraId="7D4DF8D9" w14:textId="0AF7952F" w:rsidR="005A35F3" w:rsidRDefault="005A35F3" w:rsidP="009F543C">
      <w:pPr>
        <w:tabs>
          <w:tab w:val="num" w:pos="720"/>
        </w:tabs>
        <w:jc w:val="both"/>
      </w:pPr>
      <w:r>
        <w:rPr>
          <w:b/>
          <w:bCs/>
        </w:rPr>
        <w:t>Actualización de conceptos</w:t>
      </w:r>
      <w:r w:rsidRPr="005A35F3">
        <w:t>:</w:t>
      </w:r>
      <w:r>
        <w:t xml:space="preserve"> en muchos casos, hay conceptos vigentes, como el Enfoque de Ecosistemas, mientras que en otros casos es necesario intervenir para aclarar con mayor fuerza la diferencia entre Gobernanza y Gobernabilidad,</w:t>
      </w:r>
      <w:r w:rsidR="00637FC8">
        <w:t xml:space="preserve"> o los aportes de las áreas protegidas en clave de mitigación en el caso del cambio climático (el POWPA se ciñe a la adaptación)</w:t>
      </w:r>
      <w:r>
        <w:t xml:space="preserve"> y para sumar conceptos que no están presentes como la representatividad a partir de criterios culturales de las comunidades étnicas y locales, las condiciones de trabajo, seguridad y capacidades de los guardaparques</w:t>
      </w:r>
      <w:r w:rsidR="00C21AF8">
        <w:t xml:space="preserve"> incluyendo las escuelas nacionales de formación</w:t>
      </w:r>
      <w:r>
        <w:t>, entre otros.</w:t>
      </w:r>
      <w:r w:rsidR="00637FC8">
        <w:t xml:space="preserve"> </w:t>
      </w:r>
    </w:p>
    <w:p w14:paraId="52ED72A3" w14:textId="3DA16125" w:rsidR="00524AE3" w:rsidRDefault="00524AE3" w:rsidP="009F543C">
      <w:pPr>
        <w:tabs>
          <w:tab w:val="num" w:pos="720"/>
        </w:tabs>
        <w:jc w:val="both"/>
      </w:pPr>
      <w:r>
        <w:rPr>
          <w:b/>
          <w:bCs/>
        </w:rPr>
        <w:t>Reconocimiento del aporte de las áreas protegidas más allá de la Meta 3</w:t>
      </w:r>
      <w:r w:rsidRPr="00524AE3">
        <w:t xml:space="preserve">: </w:t>
      </w:r>
      <w:r>
        <w:t>es bien sabido que las áreas protegidas tienen un aporte estructural al CDB toda vez que aportan a las Metas del Marco Kunming Montreal más allá de la Meta 3 (al menos 21 de las 23 metas del Marco Kunming Montreal para el caso de Colombia)</w:t>
      </w:r>
      <w:r w:rsidR="00E009C4">
        <w:t>.</w:t>
      </w:r>
    </w:p>
    <w:p w14:paraId="30F29146" w14:textId="77777777" w:rsidR="00F54082" w:rsidRDefault="00F54082" w:rsidP="00F54082">
      <w:pPr>
        <w:ind w:left="720"/>
      </w:pPr>
    </w:p>
    <w:p w14:paraId="7A7F74E0" w14:textId="0AD88EFF" w:rsidR="00F54082" w:rsidRDefault="00F54082" w:rsidP="00F54082">
      <w:pPr>
        <w:numPr>
          <w:ilvl w:val="0"/>
          <w:numId w:val="1"/>
        </w:numPr>
      </w:pPr>
      <w:r w:rsidRPr="005D084B">
        <w:t>¿Qué objetivos, metas o actividades del PoWPA deben ser priorizadas para apoyar la implementación nacional?</w:t>
      </w:r>
    </w:p>
    <w:p w14:paraId="125B9E3D" w14:textId="6591FD51" w:rsidR="00E009C4" w:rsidRDefault="00E009C4" w:rsidP="009F543C">
      <w:pPr>
        <w:tabs>
          <w:tab w:val="num" w:pos="720"/>
        </w:tabs>
        <w:jc w:val="both"/>
      </w:pPr>
      <w:r w:rsidRPr="00F54082">
        <w:rPr>
          <w:b/>
          <w:bCs/>
        </w:rPr>
        <w:t>Priorización de Metas</w:t>
      </w:r>
      <w:r>
        <w:t xml:space="preserve">: </w:t>
      </w:r>
      <w:r w:rsidR="00F54082">
        <w:t>en primer lugar, es fundamental priorizar las Metas asociadas a la sostenibilidad financiera, viendo que todas las acciones del POWPA dependen de un adecuado financiamiento público sostenido en el largo plazo. Como lo demuestran los GBO de CDB, los Sistemas de Áreas Protegidas han crecido significativamente en los últimos 15 años; sin embargo, los recursos financieros no se han multiplicado proporcionalmente con el crecimiento en tamaño de los Sistemas de Áreas Protegidas, lo cual implica que los Sistemas tienen cuentas pendientes en efectividad, equidad, gobernanza y gobernabilidad, representatividad, conectividad, integración en paisajes más amplios y trabajo con las comunidades. Por ende, es clave que el POWPA no sólo priorice las Metas de Sostenibilidad Financiera, sino que las desarrolle con ahínco puesto que están reducidas a un número restringido. Adicionalmente, es necesario que resalte en su preámbulo los hallazgos</w:t>
      </w:r>
      <w:r w:rsidR="0020086F">
        <w:t xml:space="preserve"> de los estudios globales en cuanto a los beneficios económicos de las áreas protegidas:</w:t>
      </w:r>
    </w:p>
    <w:p w14:paraId="019A702D" w14:textId="77777777" w:rsidR="0020086F" w:rsidRPr="00EE5AF8" w:rsidRDefault="0020086F" w:rsidP="0020086F">
      <w:pPr>
        <w:numPr>
          <w:ilvl w:val="0"/>
          <w:numId w:val="3"/>
        </w:numPr>
        <w:spacing w:after="0" w:line="276" w:lineRule="auto"/>
        <w:jc w:val="both"/>
      </w:pPr>
      <w:r w:rsidRPr="00EE5AF8">
        <w:lastRenderedPageBreak/>
        <w:t>“El Foro Económico Mundial determinó que la pérdida de biodiversidad es uno de los 5 mayores riesgos para la economía global”</w:t>
      </w:r>
      <w:r>
        <w:rPr>
          <w:vertAlign w:val="superscript"/>
        </w:rPr>
        <w:footnoteReference w:id="1"/>
      </w:r>
      <w:r w:rsidRPr="00EE5AF8">
        <w:t xml:space="preserve"> (Waldron et al., 2020, Pp 5). </w:t>
      </w:r>
    </w:p>
    <w:p w14:paraId="1CCE2DE4" w14:textId="77777777" w:rsidR="0020086F" w:rsidRPr="00EE5AF8" w:rsidRDefault="0020086F" w:rsidP="0020086F">
      <w:pPr>
        <w:numPr>
          <w:ilvl w:val="0"/>
          <w:numId w:val="3"/>
        </w:numPr>
        <w:spacing w:after="0" w:line="276" w:lineRule="auto"/>
        <w:jc w:val="both"/>
      </w:pPr>
      <w:r w:rsidRPr="00EE5AF8">
        <w:t>Expandir la cobertura de áreas protegidas al 30% generaría un retorno de $64 billones - $454 billones de dólares anuales para 2050 (Ibid., Pp 5)</w:t>
      </w:r>
      <w:r>
        <w:rPr>
          <w:vertAlign w:val="superscript"/>
        </w:rPr>
        <w:footnoteReference w:id="2"/>
      </w:r>
      <w:r w:rsidRPr="00EE5AF8">
        <w:t>.</w:t>
      </w:r>
    </w:p>
    <w:p w14:paraId="2CC33881" w14:textId="77777777" w:rsidR="0020086F" w:rsidRPr="00EE5AF8" w:rsidRDefault="0020086F" w:rsidP="0020086F">
      <w:pPr>
        <w:numPr>
          <w:ilvl w:val="0"/>
          <w:numId w:val="3"/>
        </w:numPr>
        <w:spacing w:after="0" w:line="276" w:lineRule="auto"/>
        <w:jc w:val="both"/>
      </w:pPr>
      <w:r w:rsidRPr="00EE5AF8">
        <w:t>Proteger el 30% de la tierra puede generar más de 250 mil millones USD en beneficios económicos y 350 mil millones USD en servicios ecosistémicos (Waldron et al. 2020).</w:t>
      </w:r>
    </w:p>
    <w:p w14:paraId="585B8670" w14:textId="77777777" w:rsidR="0020086F" w:rsidRPr="00EE5AF8" w:rsidRDefault="0020086F" w:rsidP="0020086F">
      <w:pPr>
        <w:numPr>
          <w:ilvl w:val="0"/>
          <w:numId w:val="3"/>
        </w:numPr>
        <w:spacing w:after="0" w:line="276" w:lineRule="auto"/>
        <w:jc w:val="both"/>
      </w:pPr>
      <w:r w:rsidRPr="00EE5AF8">
        <w:t>Cuando se invierte 1 dólar en un área protegida, hay una tasa de retorno de 5-10 dólares (Ratio 10:1 a 5:1 USD)</w:t>
      </w:r>
      <w:r>
        <w:rPr>
          <w:vertAlign w:val="superscript"/>
        </w:rPr>
        <w:footnoteReference w:id="3"/>
      </w:r>
      <w:r w:rsidRPr="00EE5AF8">
        <w:t xml:space="preserve">. Según Waldron, “En los Estados Unidos, un estudio encontró que por cada dólar ($1) invertido en el Sistema de Parques Nacionales había un retorno de $10 dólares a la economía” (Waldron, 2020). </w:t>
      </w:r>
    </w:p>
    <w:p w14:paraId="0745B532" w14:textId="77777777" w:rsidR="0020086F" w:rsidRDefault="0020086F" w:rsidP="0020086F">
      <w:pPr>
        <w:numPr>
          <w:ilvl w:val="0"/>
          <w:numId w:val="3"/>
        </w:numPr>
        <w:spacing w:after="0" w:line="276" w:lineRule="auto"/>
        <w:jc w:val="both"/>
      </w:pPr>
      <w:r w:rsidRPr="00EE5AF8">
        <w:t>El Sistema de Parques Nacionales de Estados Unidos genera aproximadamente 295.000 empleos (Cullinane et al. 2019, citado Waldron, 2020)</w:t>
      </w:r>
      <w:r>
        <w:rPr>
          <w:vertAlign w:val="superscript"/>
        </w:rPr>
        <w:footnoteReference w:id="4"/>
      </w:r>
      <w:r w:rsidRPr="00EE5AF8">
        <w:t xml:space="preserve">. </w:t>
      </w:r>
    </w:p>
    <w:p w14:paraId="4A79C19F" w14:textId="33957211" w:rsidR="0020086F" w:rsidRPr="0020086F" w:rsidRDefault="0020086F" w:rsidP="0020086F">
      <w:pPr>
        <w:numPr>
          <w:ilvl w:val="0"/>
          <w:numId w:val="3"/>
        </w:numPr>
        <w:spacing w:after="0" w:line="276" w:lineRule="auto"/>
        <w:jc w:val="both"/>
      </w:pPr>
      <w:r w:rsidRPr="0020086F">
        <w:rPr>
          <w:rFonts w:ascii="Calibri" w:eastAsia="Calibri" w:hAnsi="Calibri" w:cs="Calibri"/>
          <w:sz w:val="24"/>
          <w:szCs w:val="24"/>
        </w:rPr>
        <w:t xml:space="preserve">Las </w:t>
      </w:r>
      <w:r w:rsidRPr="0020086F">
        <w:t>áreas marinas protegidas generan beneficios como el aumento en la pesca, mientras que no avanzar con la Meta global genera una contracción en el mediano plazo (Waldron et al., 2020, Pp. 5)</w:t>
      </w:r>
      <w:r w:rsidRPr="0020086F">
        <w:rPr>
          <w:sz w:val="14"/>
          <w:szCs w:val="14"/>
        </w:rPr>
        <w:footnoteReference w:id="5"/>
      </w:r>
      <w:r w:rsidRPr="0020086F">
        <w:t>.</w:t>
      </w:r>
    </w:p>
    <w:p w14:paraId="1870459C" w14:textId="1C73F037" w:rsidR="00F54082" w:rsidRDefault="0020086F" w:rsidP="009F543C">
      <w:pPr>
        <w:tabs>
          <w:tab w:val="num" w:pos="720"/>
        </w:tabs>
        <w:jc w:val="both"/>
      </w:pPr>
      <w:r>
        <w:br/>
        <w:t xml:space="preserve">A su vez, es clave que el POWPA priorice las Metas relacionadas con el trabajo intersectorial (Mainstreaming) y con la conectividad, puesto que es clave que éstas cuenten con soluciones directas de los sectores donde se desarrollan las causas subyacentes de los motores de pérdida de biodiversidad y se generen estrategias de planeación territorial para revertir el aislamiento de las áreas protegidas entre sí por la ausencia de integración en paisajes más amplios. Así pues, es clave priorizar las Metas conducentes al trabajo con comunidades étnicas y campesinas, toda vez que son en mucho sasos éstas comunidades los habitantes o vecinos de las áreas protegidas y tienen la capacidad de generar procesos de conservación con basa en sus conocimientos y prácticas tradicionales (tal como lo demuestra el LBO-2). </w:t>
      </w:r>
    </w:p>
    <w:p w14:paraId="4EC493B5" w14:textId="56E319B0" w:rsidR="0020086F" w:rsidRDefault="0020086F" w:rsidP="009F543C">
      <w:pPr>
        <w:tabs>
          <w:tab w:val="num" w:pos="720"/>
        </w:tabs>
        <w:jc w:val="both"/>
      </w:pPr>
      <w:r>
        <w:t xml:space="preserve">Enseguida, es clave priorizar los procesos de representatividad ecológica y cultural, toda vez que se siguen creando áreas protegidas con definiciones políticas que no están mejorando el panorama de aquellas zonas clave para la biodiversidad, zonas intangibles, entre otras, que requieren de </w:t>
      </w:r>
      <w:r>
        <w:lastRenderedPageBreak/>
        <w:t>protección urgente.</w:t>
      </w:r>
      <w:r w:rsidR="00320C10">
        <w:t xml:space="preserve"> </w:t>
      </w:r>
      <w:r>
        <w:t xml:space="preserve">En ese sentido, es clave priorizar </w:t>
      </w:r>
      <w:r w:rsidR="00320C10">
        <w:t>la efectividad, equidad y gobernanza, en pro de lograr los aspectos cualitativos sin los cuales las áreas protegidas no podrán entregar los resultados que está esperando el mundo, incluyendo dentro de este importante componente las consideraciones relacionadas con los Guardaparques en materia de sus condiciones de trabajo, fortalecimiento de capacidades (incluyendo las escuelas de guardaparques) y el manejo de riesgo ante economías ilegales y actores armados que están ausentes por completo del POWPA.</w:t>
      </w:r>
    </w:p>
    <w:p w14:paraId="5FDB38DF" w14:textId="77777777" w:rsidR="00F54082" w:rsidRPr="00524AE3" w:rsidRDefault="00F54082" w:rsidP="009F543C">
      <w:pPr>
        <w:tabs>
          <w:tab w:val="num" w:pos="720"/>
        </w:tabs>
        <w:jc w:val="both"/>
        <w:rPr>
          <w:b/>
          <w:bCs/>
        </w:rPr>
      </w:pPr>
    </w:p>
    <w:p w14:paraId="364FABB1" w14:textId="0E8C1DD0" w:rsidR="00F54082" w:rsidRDefault="00F54082" w:rsidP="00F54082">
      <w:pPr>
        <w:numPr>
          <w:ilvl w:val="0"/>
          <w:numId w:val="1"/>
        </w:numPr>
      </w:pPr>
      <w:r w:rsidRPr="005D084B">
        <w:t>¿Cómo se puede revisar la aproximación de la implementación del PoWPA para contribuir a la Meta 3 del Marco Kunming Montreal? Considere actores potenciales y marcos temporales.</w:t>
      </w:r>
    </w:p>
    <w:p w14:paraId="3551EC88" w14:textId="06B3AF10" w:rsidR="00524AE3" w:rsidRPr="00182C94" w:rsidRDefault="00524AE3" w:rsidP="00182C94">
      <w:pPr>
        <w:tabs>
          <w:tab w:val="num" w:pos="720"/>
        </w:tabs>
        <w:jc w:val="both"/>
      </w:pPr>
      <w:r>
        <w:rPr>
          <w:b/>
          <w:bCs/>
        </w:rPr>
        <w:t>Actores potenciales para revisar la aproximación de la implementación del POWPA en el marco de la Meta 3:</w:t>
      </w:r>
      <w:r>
        <w:t xml:space="preserve"> entre los actores más relevantes, podrían ser contemplados los siguientes:</w:t>
      </w:r>
    </w:p>
    <w:p w14:paraId="38EB3398" w14:textId="009B652B" w:rsidR="00524AE3" w:rsidRDefault="00524AE3" w:rsidP="00524AE3">
      <w:pPr>
        <w:numPr>
          <w:ilvl w:val="0"/>
          <w:numId w:val="1"/>
        </w:numPr>
        <w:jc w:val="both"/>
      </w:pPr>
      <w:r w:rsidRPr="00524AE3">
        <w:rPr>
          <w:b/>
          <w:bCs/>
        </w:rPr>
        <w:t>Unión Internacional para la Conservación de la Naturaleza – Comisión Mundial de Áreas Protegidas</w:t>
      </w:r>
      <w:r>
        <w:t>: articular el conocimiento técnico, su experticia con la Lista Verde de Áreas Protegidas, así como con el Congreso Mundial de Áreas Protegidas (próximamente en Panamá, 2027</w:t>
      </w:r>
      <w:r w:rsidR="00E009C4">
        <w:t>, recordando que la Decisión 7/21 que adoptó el POWPA “</w:t>
      </w:r>
      <w:r w:rsidR="00E009C4" w:rsidRPr="00E009C4">
        <w:rPr>
          <w:i/>
          <w:iCs/>
        </w:rPr>
        <w:t>Acoge también con beneplácito los resultados del Vº Congreso Mundial de Parques de la IUCN</w:t>
      </w:r>
      <w:r w:rsidR="00E009C4">
        <w:t>”</w:t>
      </w:r>
      <w:r>
        <w:t xml:space="preserve">) y los Congresos Regionales de Áreas Protegidas (como el Congreso de Áreas Protegidas de América Latina y el Caribe de 2019). </w:t>
      </w:r>
    </w:p>
    <w:p w14:paraId="4560D94D" w14:textId="5A2C4EA9" w:rsidR="00C51546" w:rsidRPr="00C51546" w:rsidRDefault="00C51546" w:rsidP="00524AE3">
      <w:pPr>
        <w:numPr>
          <w:ilvl w:val="0"/>
          <w:numId w:val="1"/>
        </w:numPr>
        <w:jc w:val="both"/>
      </w:pPr>
      <w:r w:rsidRPr="00C51546">
        <w:rPr>
          <w:b/>
          <w:bCs/>
        </w:rPr>
        <w:t>GEF</w:t>
      </w:r>
      <w:r>
        <w:t>: articular su conocimiento de las necesidades de las áreas protegidas alrededor del mundo, así como las fortalezas que tienen, y la experiencia en administración e implementación de recursos relacionados con proyectos para áreas protegidas.</w:t>
      </w:r>
    </w:p>
    <w:p w14:paraId="37E706DC" w14:textId="7DFC2A80" w:rsidR="00524AE3" w:rsidRDefault="00524AE3" w:rsidP="00524AE3">
      <w:pPr>
        <w:numPr>
          <w:ilvl w:val="0"/>
          <w:numId w:val="1"/>
        </w:numPr>
        <w:jc w:val="both"/>
      </w:pPr>
      <w:r>
        <w:rPr>
          <w:b/>
          <w:bCs/>
        </w:rPr>
        <w:t>Banco Mundial</w:t>
      </w:r>
      <w:r w:rsidRPr="00524AE3">
        <w:t>:</w:t>
      </w:r>
      <w:r>
        <w:t xml:space="preserve"> </w:t>
      </w:r>
      <w:r w:rsidR="00C51546">
        <w:t>a</w:t>
      </w:r>
      <w:r>
        <w:t xml:space="preserve">rticular el MET como una de las metodologías de medición de efectividad de manejo más desarrolladas en el mundo, la cual se implementa trasversalmente en muchos países </w:t>
      </w:r>
      <w:r w:rsidR="00C51546">
        <w:t>en el marco de proyectos GEF</w:t>
      </w:r>
      <w:r>
        <w:t>, buscando desarrollar un indicador de cabecera de efectividad de manejo.</w:t>
      </w:r>
    </w:p>
    <w:p w14:paraId="50525831" w14:textId="2EACF70F" w:rsidR="00E009C4" w:rsidRPr="00E009C4" w:rsidRDefault="00E009C4" w:rsidP="00524AE3">
      <w:pPr>
        <w:numPr>
          <w:ilvl w:val="0"/>
          <w:numId w:val="1"/>
        </w:numPr>
        <w:jc w:val="both"/>
      </w:pPr>
      <w:r w:rsidRPr="00E009C4">
        <w:rPr>
          <w:b/>
          <w:bCs/>
        </w:rPr>
        <w:t>UNEP WCMC – WDPA, GDPAME, WDEC</w:t>
      </w:r>
      <w:r w:rsidRPr="00E009C4">
        <w:t>: articular los impo</w:t>
      </w:r>
      <w:r>
        <w:t>rtantes avances de las Bases de Datos mundiales que ha perfilado UNEP WCMC con UICN, como lo son la Base de Datos Mundial de Áreas Protegidas (WDPA), la Base de Datos de Efectividad de Manejo de Áreas Protegidas (GDPAME) y la próxima Base de Datos Mundial de Corredores Ecológicos (WDEC).</w:t>
      </w:r>
    </w:p>
    <w:p w14:paraId="5B2336E0" w14:textId="5E71D702" w:rsidR="00C51546" w:rsidRDefault="00C51546" w:rsidP="00524AE3">
      <w:pPr>
        <w:numPr>
          <w:ilvl w:val="0"/>
          <w:numId w:val="1"/>
        </w:numPr>
        <w:jc w:val="both"/>
      </w:pPr>
      <w:r>
        <w:rPr>
          <w:b/>
          <w:bCs/>
        </w:rPr>
        <w:t>UNESCO</w:t>
      </w:r>
      <w:r w:rsidRPr="00C51546">
        <w:t>:</w:t>
      </w:r>
      <w:r>
        <w:t xml:space="preserve"> articular a la Convención de Patrimonio Mundial y la Red de Reservas de Biósfera, teniendo que muchas de sus áreas núcleo figuran como áreas protegidas, y que muchos procesos de Patrimonio Mundial y Reservas de Biósfera articulan naturaleza y cultura (e incluso hay programas como LINKS – Conocimiento Local e Indígena). </w:t>
      </w:r>
    </w:p>
    <w:p w14:paraId="1E109889" w14:textId="2D24BBEA" w:rsidR="00C51546" w:rsidRDefault="007E179F" w:rsidP="00524AE3">
      <w:pPr>
        <w:numPr>
          <w:ilvl w:val="0"/>
          <w:numId w:val="1"/>
        </w:numPr>
        <w:jc w:val="both"/>
      </w:pPr>
      <w:r>
        <w:rPr>
          <w:b/>
          <w:bCs/>
        </w:rPr>
        <w:t xml:space="preserve">Coalición de Alta Ambición para la Naturaleza y las Personas (HAC por sus siglas en inglés): </w:t>
      </w:r>
      <w:r w:rsidR="00FE12D8">
        <w:t xml:space="preserve">articular </w:t>
      </w:r>
      <w:r>
        <w:t>a la HAC teniendo en cuenta su gran papel en la adopción de una Meta 30x30 a 2030 con una mirada integral (es decir, fortalecimiento tanto de aspectos cualitativos como cuantitativos)</w:t>
      </w:r>
      <w:r w:rsidR="001B2E1A">
        <w:t xml:space="preserve">, quien puede canalizar más de 5 años de experiencia recogida con varios </w:t>
      </w:r>
      <w:r w:rsidR="001B2E1A">
        <w:lastRenderedPageBreak/>
        <w:t xml:space="preserve">países en el proceso de adopción de la Meta 30x30 a 2030, estudios científicos y conocimiento técnico, </w:t>
      </w:r>
      <w:r w:rsidR="00FA0135">
        <w:t>y experiencias aprendidas en la Plataforma del Match-making 30x30</w:t>
      </w:r>
      <w:r w:rsidR="00FE12D8">
        <w:t>.</w:t>
      </w:r>
    </w:p>
    <w:p w14:paraId="2F4D0A40" w14:textId="3A7EB822" w:rsidR="00FE12D8" w:rsidRDefault="00FE12D8" w:rsidP="00524AE3">
      <w:pPr>
        <w:numPr>
          <w:ilvl w:val="0"/>
          <w:numId w:val="1"/>
        </w:numPr>
        <w:jc w:val="both"/>
      </w:pPr>
      <w:r>
        <w:rPr>
          <w:b/>
          <w:bCs/>
        </w:rPr>
        <w:t>Redes regionales como RedParques y Europarc</w:t>
      </w:r>
      <w:r w:rsidRPr="00FE12D8">
        <w:t>:</w:t>
      </w:r>
      <w:r>
        <w:t xml:space="preserve"> articular las redes de trabajo regionales como la RedParques de América Latina (reconocida por la Decisión COP/14/18) y Europarc, entre otras, que están compuestas por los Sistemas de Áreas Protegidas de dichas regiones y pueden canalizar su experiencia técnica.</w:t>
      </w:r>
    </w:p>
    <w:p w14:paraId="459B0ACC" w14:textId="4B38784C" w:rsidR="00FE12D8" w:rsidRDefault="00FE12D8" w:rsidP="00524AE3">
      <w:pPr>
        <w:numPr>
          <w:ilvl w:val="0"/>
          <w:numId w:val="1"/>
        </w:numPr>
        <w:jc w:val="both"/>
      </w:pPr>
      <w:r>
        <w:rPr>
          <w:b/>
          <w:bCs/>
        </w:rPr>
        <w:t>ONG con largo recorrido</w:t>
      </w:r>
      <w:r w:rsidRPr="00FE12D8">
        <w:t>:</w:t>
      </w:r>
      <w:r>
        <w:t xml:space="preserve"> articular las ONG que apoyaron la creación del POWPA</w:t>
      </w:r>
      <w:r w:rsidR="00E009C4">
        <w:t>, según recuenta la Decisión COP/7/21 “</w:t>
      </w:r>
      <w:r w:rsidR="00E009C4" w:rsidRPr="00E009C4">
        <w:t>Acoge con beneplácito la oferta presentada por el consorcio de las ONG y el compromiso común de las ONG adoptado en la séptima reunión de la Conferencia de las Partes por las organizaciones internacionales no gubernamentales</w:t>
      </w:r>
      <w:r w:rsidR="00E009C4">
        <w:t>”. Entre ellas, es relevante resaltar aquellas con importantes trabajos técnicos para los procesos de efectividad, establecimiento de áreas protegidas, procesos de conectividad, trabajo con comunidades, incluyendo a WCS, NatGeo, Re:wild, Rainforest Trust, WWF, CI, entre otras.</w:t>
      </w:r>
    </w:p>
    <w:p w14:paraId="048FCCB2" w14:textId="74BAE6E2" w:rsidR="00E009C4" w:rsidRDefault="00E009C4" w:rsidP="00524AE3">
      <w:pPr>
        <w:numPr>
          <w:ilvl w:val="0"/>
          <w:numId w:val="1"/>
        </w:numPr>
        <w:jc w:val="both"/>
      </w:pPr>
      <w:r>
        <w:rPr>
          <w:b/>
          <w:bCs/>
        </w:rPr>
        <w:t>IPBES</w:t>
      </w:r>
      <w:r w:rsidRPr="00E009C4">
        <w:t>: art</w:t>
      </w:r>
      <w:r>
        <w:t>icular las evaluaciones realizadas, sobre todo los hallazgos acerca de las áreas protegidas, y la identificación de cómo las áreas protegidas pueden abordar causas subyacentes.</w:t>
      </w:r>
    </w:p>
    <w:p w14:paraId="2B524D16" w14:textId="042960DA" w:rsidR="00E009C4" w:rsidRDefault="00E009C4" w:rsidP="00524AE3">
      <w:pPr>
        <w:numPr>
          <w:ilvl w:val="0"/>
          <w:numId w:val="1"/>
        </w:numPr>
        <w:jc w:val="both"/>
      </w:pPr>
      <w:r>
        <w:rPr>
          <w:b/>
          <w:bCs/>
        </w:rPr>
        <w:t>IPCCC</w:t>
      </w:r>
      <w:r w:rsidRPr="00E009C4">
        <w:t>:</w:t>
      </w:r>
      <w:r>
        <w:t xml:space="preserve"> articular las evaluaciones realizadas, tanto los hallazgos acerca de áreas protegidas y cómo éstas pueden aportar a la mitigación y adaptación frente al cambio climático.</w:t>
      </w:r>
    </w:p>
    <w:p w14:paraId="2BFAF9BB" w14:textId="57C20C21" w:rsidR="00FA0135" w:rsidRDefault="00F54082" w:rsidP="00FA0135">
      <w:pPr>
        <w:numPr>
          <w:ilvl w:val="0"/>
          <w:numId w:val="1"/>
        </w:numPr>
        <w:jc w:val="both"/>
      </w:pPr>
      <w:r>
        <w:rPr>
          <w:b/>
          <w:bCs/>
        </w:rPr>
        <w:t xml:space="preserve">Guía de Áreas </w:t>
      </w:r>
      <w:r w:rsidR="007636A7">
        <w:rPr>
          <w:b/>
          <w:bCs/>
        </w:rPr>
        <w:t xml:space="preserve">Marinas </w:t>
      </w:r>
      <w:r>
        <w:rPr>
          <w:b/>
          <w:bCs/>
        </w:rPr>
        <w:t>Protegidas</w:t>
      </w:r>
      <w:r w:rsidRPr="00F54082">
        <w:t>:</w:t>
      </w:r>
      <w:r>
        <w:t xml:space="preserve"> </w:t>
      </w:r>
      <w:r w:rsidR="009C099C">
        <w:t xml:space="preserve">Esta guía fue desarrollada recientemente para complementar los esfuerzos de la guía de UICN, abarcando asuntos que no habían estado contemplados previamente pero que son clave para las áreas protegidas: Fase o Estadio de Establecimiento; Nivel de Protección, Condiciones Habilitantes; y Resultados. Estos componentes deben ser integrados completamente en </w:t>
      </w:r>
      <w:r w:rsidR="00E101E0">
        <w:t xml:space="preserve">el POWPA en tal forma que se abarque un espectro mayor de lo que necesitan las áreas protegidas para su implementación. </w:t>
      </w:r>
    </w:p>
    <w:p w14:paraId="682F1E86" w14:textId="77777777" w:rsidR="00182C94" w:rsidRPr="00182C94" w:rsidRDefault="00182C94" w:rsidP="00182C94">
      <w:pPr>
        <w:tabs>
          <w:tab w:val="num" w:pos="720"/>
        </w:tabs>
        <w:jc w:val="both"/>
      </w:pPr>
    </w:p>
    <w:p w14:paraId="7253684E" w14:textId="77777777" w:rsidR="00182C94" w:rsidRPr="003C5E14" w:rsidRDefault="00182C94" w:rsidP="009F543C">
      <w:pPr>
        <w:tabs>
          <w:tab w:val="num" w:pos="720"/>
        </w:tabs>
        <w:jc w:val="both"/>
      </w:pPr>
    </w:p>
    <w:p w14:paraId="2003B0E1" w14:textId="77777777" w:rsidR="005D084B" w:rsidRDefault="005D084B" w:rsidP="005D084B">
      <w:pPr>
        <w:tabs>
          <w:tab w:val="num" w:pos="720"/>
        </w:tabs>
        <w:jc w:val="both"/>
      </w:pPr>
    </w:p>
    <w:p w14:paraId="336EA296" w14:textId="77777777" w:rsidR="007618FB" w:rsidRDefault="007618FB"/>
    <w:sectPr w:rsidR="007618F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C80D5F" w14:textId="77777777" w:rsidR="00870B76" w:rsidRDefault="00870B76" w:rsidP="0020086F">
      <w:pPr>
        <w:spacing w:after="0" w:line="240" w:lineRule="auto"/>
      </w:pPr>
      <w:r>
        <w:separator/>
      </w:r>
    </w:p>
  </w:endnote>
  <w:endnote w:type="continuationSeparator" w:id="0">
    <w:p w14:paraId="284FC2C6" w14:textId="77777777" w:rsidR="00870B76" w:rsidRDefault="00870B76" w:rsidP="00200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EF330C" w14:textId="77777777" w:rsidR="00870B76" w:rsidRDefault="00870B76" w:rsidP="0020086F">
      <w:pPr>
        <w:spacing w:after="0" w:line="240" w:lineRule="auto"/>
      </w:pPr>
      <w:r>
        <w:separator/>
      </w:r>
    </w:p>
  </w:footnote>
  <w:footnote w:type="continuationSeparator" w:id="0">
    <w:p w14:paraId="15F0EA29" w14:textId="77777777" w:rsidR="00870B76" w:rsidRDefault="00870B76" w:rsidP="0020086F">
      <w:pPr>
        <w:spacing w:after="0" w:line="240" w:lineRule="auto"/>
      </w:pPr>
      <w:r>
        <w:continuationSeparator/>
      </w:r>
    </w:p>
  </w:footnote>
  <w:footnote w:id="1">
    <w:p w14:paraId="3C05D458" w14:textId="77777777" w:rsidR="0020086F" w:rsidRPr="0020086F" w:rsidRDefault="0020086F" w:rsidP="0020086F">
      <w:pPr>
        <w:spacing w:line="240" w:lineRule="auto"/>
        <w:rPr>
          <w:i/>
          <w:sz w:val="20"/>
          <w:szCs w:val="20"/>
          <w:lang w:val="en-US"/>
        </w:rPr>
      </w:pPr>
      <w:r>
        <w:rPr>
          <w:vertAlign w:val="superscript"/>
        </w:rPr>
        <w:footnoteRef/>
      </w:r>
      <w:r w:rsidRPr="0020086F">
        <w:rPr>
          <w:sz w:val="20"/>
          <w:szCs w:val="20"/>
          <w:lang w:val="en-US"/>
        </w:rPr>
        <w:t xml:space="preserve"> </w:t>
      </w:r>
      <w:r w:rsidRPr="0020086F">
        <w:rPr>
          <w:rFonts w:ascii="Arial Narrow" w:eastAsia="Arial Narrow" w:hAnsi="Arial Narrow" w:cs="Arial Narrow"/>
          <w:sz w:val="20"/>
          <w:szCs w:val="20"/>
          <w:lang w:val="en-US"/>
        </w:rPr>
        <w:t xml:space="preserve"> Cita original en Waldron et al. 2020, Pp 5: “</w:t>
      </w:r>
      <w:r w:rsidRPr="0020086F">
        <w:rPr>
          <w:rFonts w:ascii="Arial Narrow" w:eastAsia="Arial Narrow" w:hAnsi="Arial Narrow" w:cs="Arial Narrow"/>
          <w:i/>
          <w:sz w:val="20"/>
          <w:szCs w:val="20"/>
          <w:lang w:val="en-US"/>
        </w:rPr>
        <w:t>The World Economic Forum now ranks biodiversity loss as a top-five risk to the global economy”.</w:t>
      </w:r>
    </w:p>
  </w:footnote>
  <w:footnote w:id="2">
    <w:p w14:paraId="46AFF6CE" w14:textId="77777777" w:rsidR="0020086F" w:rsidRDefault="0020086F" w:rsidP="0020086F">
      <w:pPr>
        <w:spacing w:line="240" w:lineRule="auto"/>
        <w:jc w:val="both"/>
        <w:rPr>
          <w:rFonts w:ascii="Arial Narrow" w:eastAsia="Arial Narrow" w:hAnsi="Arial Narrow" w:cs="Arial Narrow"/>
          <w:sz w:val="20"/>
          <w:szCs w:val="20"/>
        </w:rPr>
      </w:pPr>
      <w:r>
        <w:rPr>
          <w:vertAlign w:val="superscript"/>
        </w:rPr>
        <w:footnoteRef/>
      </w:r>
      <w:r w:rsidRPr="0020086F">
        <w:rPr>
          <w:rFonts w:ascii="Arial Narrow" w:eastAsia="Arial Narrow" w:hAnsi="Arial Narrow" w:cs="Arial Narrow"/>
          <w:sz w:val="20"/>
          <w:szCs w:val="20"/>
          <w:lang w:val="en-US"/>
        </w:rPr>
        <w:t xml:space="preserve"> Cita original en Waldron et al. 2020, Pp 5: “</w:t>
      </w:r>
      <w:r w:rsidRPr="0020086F">
        <w:rPr>
          <w:rFonts w:ascii="Arial Narrow" w:eastAsia="Arial Narrow" w:hAnsi="Arial Narrow" w:cs="Arial Narrow"/>
          <w:i/>
          <w:sz w:val="20"/>
          <w:szCs w:val="20"/>
          <w:lang w:val="en-US"/>
        </w:rPr>
        <w:t xml:space="preserve">Our financial analysis showed that expanding PAs to 30% would generate higher overall output (revenues) than non-expansion (an extra $64 billion-$454 billion per year by 2050). </w:t>
      </w:r>
      <w:r>
        <w:rPr>
          <w:rFonts w:ascii="Arial Narrow" w:eastAsia="Arial Narrow" w:hAnsi="Arial Narrow" w:cs="Arial Narrow"/>
          <w:i/>
          <w:sz w:val="20"/>
          <w:szCs w:val="20"/>
        </w:rPr>
        <w:t>(Figure 1-2)</w:t>
      </w:r>
      <w:r>
        <w:rPr>
          <w:rFonts w:ascii="Arial Narrow" w:eastAsia="Arial Narrow" w:hAnsi="Arial Narrow" w:cs="Arial Narrow"/>
          <w:sz w:val="20"/>
          <w:szCs w:val="20"/>
        </w:rPr>
        <w:t>”.</w:t>
      </w:r>
    </w:p>
  </w:footnote>
  <w:footnote w:id="3">
    <w:p w14:paraId="679C1792" w14:textId="77777777" w:rsidR="0020086F" w:rsidRDefault="0020086F" w:rsidP="0020086F">
      <w:pPr>
        <w:spacing w:line="240" w:lineRule="auto"/>
        <w:rPr>
          <w:sz w:val="20"/>
          <w:szCs w:val="20"/>
        </w:rPr>
      </w:pPr>
      <w:r>
        <w:rPr>
          <w:vertAlign w:val="superscript"/>
        </w:rPr>
        <w:footnoteRef/>
      </w:r>
      <w:r>
        <w:rPr>
          <w:rFonts w:ascii="Arial Narrow" w:eastAsia="Arial Narrow" w:hAnsi="Arial Narrow" w:cs="Arial Narrow"/>
          <w:sz w:val="18"/>
          <w:szCs w:val="18"/>
        </w:rPr>
        <w:t xml:space="preserve"> Ver en: </w:t>
      </w:r>
      <w:hyperlink r:id="rId1">
        <w:r>
          <w:rPr>
            <w:rFonts w:ascii="Arial Narrow" w:eastAsia="Arial Narrow" w:hAnsi="Arial Narrow" w:cs="Arial Narrow"/>
            <w:color w:val="1155CC"/>
            <w:sz w:val="18"/>
            <w:szCs w:val="18"/>
            <w:u w:val="single"/>
          </w:rPr>
          <w:t>https://www.conservation.cam.ac.uk/files/waldron_report_30_by_30_publish.pdf</w:t>
        </w:r>
      </w:hyperlink>
      <w:r>
        <w:rPr>
          <w:rFonts w:ascii="Arial Narrow" w:eastAsia="Arial Narrow" w:hAnsi="Arial Narrow" w:cs="Arial Narrow"/>
          <w:sz w:val="18"/>
          <w:szCs w:val="18"/>
        </w:rPr>
        <w:t xml:space="preserve"> </w:t>
      </w:r>
    </w:p>
  </w:footnote>
  <w:footnote w:id="4">
    <w:p w14:paraId="6A413AF7" w14:textId="77777777" w:rsidR="0020086F" w:rsidRPr="0020086F" w:rsidRDefault="0020086F" w:rsidP="0020086F">
      <w:pPr>
        <w:spacing w:line="240" w:lineRule="auto"/>
        <w:rPr>
          <w:rFonts w:ascii="Arial Narrow" w:eastAsia="Arial Narrow" w:hAnsi="Arial Narrow" w:cs="Arial Narrow"/>
          <w:sz w:val="20"/>
          <w:szCs w:val="20"/>
          <w:lang w:val="en-US"/>
        </w:rPr>
      </w:pPr>
      <w:r>
        <w:rPr>
          <w:vertAlign w:val="superscript"/>
        </w:rPr>
        <w:footnoteRef/>
      </w:r>
      <w:r w:rsidRPr="0020086F">
        <w:rPr>
          <w:rFonts w:ascii="Arial Narrow" w:eastAsia="Arial Narrow" w:hAnsi="Arial Narrow" w:cs="Arial Narrow"/>
          <w:sz w:val="20"/>
          <w:szCs w:val="20"/>
          <w:lang w:val="en-US"/>
        </w:rPr>
        <w:t xml:space="preserve"> Cita original en Waldron et al. 2020, Pp 14:  “</w:t>
      </w:r>
      <w:r w:rsidRPr="0020086F">
        <w:rPr>
          <w:rFonts w:ascii="Arial Narrow" w:eastAsia="Arial Narrow" w:hAnsi="Arial Narrow" w:cs="Arial Narrow"/>
          <w:i/>
          <w:sz w:val="20"/>
          <w:szCs w:val="20"/>
          <w:lang w:val="en-US"/>
        </w:rPr>
        <w:t>In the United States, a study found that every $1 invested in the National Park system returned $10 to the economy (with the PA system also providing 295,000 jobs)”; en el Pie de página 47 citan el estudio de Cullinane et al., 2019, titulado “2018 National Park visitor spending effects”</w:t>
      </w:r>
      <w:r w:rsidRPr="0020086F">
        <w:rPr>
          <w:rFonts w:ascii="Arial Narrow" w:eastAsia="Arial Narrow" w:hAnsi="Arial Narrow" w:cs="Arial Narrow"/>
          <w:sz w:val="20"/>
          <w:szCs w:val="20"/>
          <w:lang w:val="en-US"/>
        </w:rPr>
        <w:t>.</w:t>
      </w:r>
    </w:p>
  </w:footnote>
  <w:footnote w:id="5">
    <w:p w14:paraId="63800A64" w14:textId="77777777" w:rsidR="0020086F" w:rsidRPr="0020086F" w:rsidRDefault="0020086F" w:rsidP="0020086F">
      <w:pPr>
        <w:spacing w:line="240" w:lineRule="auto"/>
        <w:rPr>
          <w:rFonts w:ascii="Arial Narrow" w:eastAsia="Arial Narrow" w:hAnsi="Arial Narrow" w:cs="Arial Narrow"/>
          <w:sz w:val="20"/>
          <w:szCs w:val="20"/>
          <w:lang w:val="en-US"/>
        </w:rPr>
      </w:pPr>
      <w:r>
        <w:rPr>
          <w:vertAlign w:val="superscript"/>
        </w:rPr>
        <w:footnoteRef/>
      </w:r>
      <w:r w:rsidRPr="0020086F">
        <w:rPr>
          <w:sz w:val="20"/>
          <w:szCs w:val="20"/>
          <w:lang w:val="en-US"/>
        </w:rPr>
        <w:t xml:space="preserve"> </w:t>
      </w:r>
      <w:r w:rsidRPr="0020086F">
        <w:rPr>
          <w:rFonts w:ascii="Arial Narrow" w:eastAsia="Arial Narrow" w:hAnsi="Arial Narrow" w:cs="Arial Narrow"/>
          <w:sz w:val="20"/>
          <w:szCs w:val="20"/>
          <w:lang w:val="en-US"/>
        </w:rPr>
        <w:t xml:space="preserve"> Cita original en Waldron et al. 2020, Pp 5: Marine expansion restores growth to fisheries (after a shock) but non-expansion leads to a mid-term contraction (Figure 4).</w:t>
      </w:r>
    </w:p>
    <w:p w14:paraId="421B976A" w14:textId="77777777" w:rsidR="0020086F" w:rsidRPr="0020086F" w:rsidRDefault="0020086F" w:rsidP="0020086F">
      <w:pPr>
        <w:spacing w:line="240" w:lineRule="auto"/>
        <w:rPr>
          <w:sz w:val="20"/>
          <w:szCs w:val="20"/>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F0277"/>
    <w:multiLevelType w:val="multilevel"/>
    <w:tmpl w:val="9D92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130FD"/>
    <w:multiLevelType w:val="multilevel"/>
    <w:tmpl w:val="27AA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2770FD"/>
    <w:multiLevelType w:val="multilevel"/>
    <w:tmpl w:val="D0B8E0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622A3421"/>
    <w:multiLevelType w:val="multilevel"/>
    <w:tmpl w:val="1A68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84B"/>
    <w:rsid w:val="00172E97"/>
    <w:rsid w:val="00182C94"/>
    <w:rsid w:val="001B2E1A"/>
    <w:rsid w:val="001B4ACA"/>
    <w:rsid w:val="0020086F"/>
    <w:rsid w:val="002837C2"/>
    <w:rsid w:val="00320C10"/>
    <w:rsid w:val="003C5E14"/>
    <w:rsid w:val="00456709"/>
    <w:rsid w:val="00524AE3"/>
    <w:rsid w:val="005A35F3"/>
    <w:rsid w:val="005D084B"/>
    <w:rsid w:val="00637FC8"/>
    <w:rsid w:val="007618FB"/>
    <w:rsid w:val="007636A7"/>
    <w:rsid w:val="007E179F"/>
    <w:rsid w:val="00870B76"/>
    <w:rsid w:val="009C099C"/>
    <w:rsid w:val="009F543C"/>
    <w:rsid w:val="00A20568"/>
    <w:rsid w:val="00B11B19"/>
    <w:rsid w:val="00C21AF8"/>
    <w:rsid w:val="00C51546"/>
    <w:rsid w:val="00E009C4"/>
    <w:rsid w:val="00E101E0"/>
    <w:rsid w:val="00F54082"/>
    <w:rsid w:val="00FA0135"/>
    <w:rsid w:val="00FE12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6C595"/>
  <w15:chartTrackingRefBased/>
  <w15:docId w15:val="{E3C43B55-DF28-4557-9816-1DC073D4B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D08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D08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D08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D08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D08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D08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08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08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08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08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D08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D08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D08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D084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D08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D08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D08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D084B"/>
    <w:rPr>
      <w:rFonts w:eastAsiaTheme="majorEastAsia" w:cstheme="majorBidi"/>
      <w:color w:val="272727" w:themeColor="text1" w:themeTint="D8"/>
    </w:rPr>
  </w:style>
  <w:style w:type="paragraph" w:styleId="Ttulo">
    <w:name w:val="Title"/>
    <w:basedOn w:val="Normal"/>
    <w:next w:val="Normal"/>
    <w:link w:val="TtuloCar"/>
    <w:uiPriority w:val="10"/>
    <w:qFormat/>
    <w:rsid w:val="005D08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08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D08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08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D084B"/>
    <w:pPr>
      <w:spacing w:before="160"/>
      <w:jc w:val="center"/>
    </w:pPr>
    <w:rPr>
      <w:i/>
      <w:iCs/>
      <w:color w:val="404040" w:themeColor="text1" w:themeTint="BF"/>
    </w:rPr>
  </w:style>
  <w:style w:type="character" w:customStyle="1" w:styleId="CitaCar">
    <w:name w:val="Cita Car"/>
    <w:basedOn w:val="Fuentedeprrafopredeter"/>
    <w:link w:val="Cita"/>
    <w:uiPriority w:val="29"/>
    <w:rsid w:val="005D084B"/>
    <w:rPr>
      <w:i/>
      <w:iCs/>
      <w:color w:val="404040" w:themeColor="text1" w:themeTint="BF"/>
    </w:rPr>
  </w:style>
  <w:style w:type="paragraph" w:styleId="Prrafodelista">
    <w:name w:val="List Paragraph"/>
    <w:basedOn w:val="Normal"/>
    <w:uiPriority w:val="34"/>
    <w:qFormat/>
    <w:rsid w:val="005D084B"/>
    <w:pPr>
      <w:ind w:left="720"/>
      <w:contextualSpacing/>
    </w:pPr>
  </w:style>
  <w:style w:type="character" w:styleId="nfasisintenso">
    <w:name w:val="Intense Emphasis"/>
    <w:basedOn w:val="Fuentedeprrafopredeter"/>
    <w:uiPriority w:val="21"/>
    <w:qFormat/>
    <w:rsid w:val="005D084B"/>
    <w:rPr>
      <w:i/>
      <w:iCs/>
      <w:color w:val="0F4761" w:themeColor="accent1" w:themeShade="BF"/>
    </w:rPr>
  </w:style>
  <w:style w:type="paragraph" w:styleId="Citadestacada">
    <w:name w:val="Intense Quote"/>
    <w:basedOn w:val="Normal"/>
    <w:next w:val="Normal"/>
    <w:link w:val="CitadestacadaCar"/>
    <w:uiPriority w:val="30"/>
    <w:qFormat/>
    <w:rsid w:val="005D08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D084B"/>
    <w:rPr>
      <w:i/>
      <w:iCs/>
      <w:color w:val="0F4761" w:themeColor="accent1" w:themeShade="BF"/>
    </w:rPr>
  </w:style>
  <w:style w:type="character" w:styleId="Referenciaintensa">
    <w:name w:val="Intense Reference"/>
    <w:basedOn w:val="Fuentedeprrafopredeter"/>
    <w:uiPriority w:val="32"/>
    <w:qFormat/>
    <w:rsid w:val="005D08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49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conservation.cam.ac.uk/files/waldron_report_30_by_30_publish.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6</Pages>
  <Words>2665</Words>
  <Characters>14660</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Guerra Baquero</dc:creator>
  <cp:keywords/>
  <dc:description/>
  <cp:lastModifiedBy>LAURA VICTORIA DIAZ HENAO</cp:lastModifiedBy>
  <cp:revision>8</cp:revision>
  <dcterms:created xsi:type="dcterms:W3CDTF">2025-12-17T21:09:00Z</dcterms:created>
  <dcterms:modified xsi:type="dcterms:W3CDTF">2025-12-19T19:50:00Z</dcterms:modified>
</cp:coreProperties>
</file>