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uppressLineNumbers/>
        <w:suppressAutoHyphens/>
        <w:spacing w:before="24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r>
        <w:rPr>
          <w:rFonts w:asciiTheme="majorBidi" w:hAnsiTheme="majorBidi"/>
          <w:b/>
          <w:bCs/>
          <w:color w:val="auto"/>
          <w:sz w:val="28"/>
          <w:szCs w:val="28"/>
        </w:rPr>
        <w:t xml:space="preserve">Submission of Comments </w:t>
      </w:r>
    </w:p>
    <w:p>
      <w:pPr>
        <w:rPr>
          <w:lang w:eastAsia="ja-JP"/>
        </w:rPr>
      </w:pPr>
    </w:p>
    <w:p>
      <w:pPr>
        <w:jc w:val="center"/>
        <w:rPr>
          <w:b/>
          <w:bCs/>
          <w:sz w:val="28"/>
          <w:szCs w:val="28"/>
        </w:rPr>
      </w:pPr>
      <w:bookmarkStart w:id="0" w:name="OLE_LINK9"/>
      <w:r>
        <w:rPr>
          <w:b/>
          <w:bCs/>
          <w:sz w:val="28"/>
          <w:szCs w:val="28"/>
        </w:rPr>
        <w:t xml:space="preserve">Testing of the CBD </w:t>
      </w:r>
      <w:bookmarkStart w:id="1" w:name="OLE_LINK1"/>
      <w:bookmarkStart w:id="2" w:name="OLE_LINK2"/>
      <w:r>
        <w:rPr>
          <w:b/>
          <w:bCs/>
          <w:sz w:val="28"/>
          <w:szCs w:val="28"/>
        </w:rPr>
        <w:t>Online Reporting Tool</w:t>
      </w:r>
      <w:bookmarkEnd w:id="1"/>
      <w:r>
        <w:rPr>
          <w:b/>
          <w:bCs/>
          <w:sz w:val="28"/>
          <w:szCs w:val="28"/>
        </w:rPr>
        <w:t xml:space="preserve"> </w:t>
      </w:r>
      <w:bookmarkEnd w:id="2"/>
      <w:r>
        <w:rPr>
          <w:b/>
          <w:bCs/>
          <w:sz w:val="28"/>
          <w:szCs w:val="28"/>
        </w:rPr>
        <w:t>(ORT)</w:t>
      </w:r>
    </w:p>
    <w:bookmarkEnd w:id="0"/>
    <w:p/>
    <w:p>
      <w:pPr>
        <w:pStyle w:val="3"/>
        <w:shd w:val="clear" w:color="auto" w:fill="FFFFFF"/>
        <w:snapToGrid w:val="0"/>
        <w:spacing w:before="0" w:after="240"/>
        <w:jc w:val="both"/>
        <w:rPr>
          <w:rFonts w:asciiTheme="majorBidi" w:hAnsiTheme="majorBidi"/>
          <w:color w:val="auto"/>
          <w:lang w:val="en-CA"/>
        </w:rPr>
      </w:pPr>
      <w:r>
        <w:rPr>
          <w:rFonts w:asciiTheme="majorBidi" w:hAnsiTheme="majorBidi"/>
          <w:color w:val="auto"/>
          <w:lang w:val="en-CA"/>
        </w:rPr>
        <w:t xml:space="preserve">Using the template below, Parties are invited to submit comments (in Word) on the testing of the draft online reporting tool (ORT) by </w:t>
      </w:r>
      <w:r>
        <w:rPr>
          <w:rFonts w:asciiTheme="majorBidi" w:hAnsiTheme="majorBidi"/>
          <w:b/>
          <w:bCs/>
          <w:color w:val="auto"/>
          <w:lang w:val="en-CA"/>
        </w:rPr>
        <w:t xml:space="preserve">15 September 2023 </w:t>
      </w:r>
      <w:r>
        <w:rPr>
          <w:rFonts w:asciiTheme="majorBidi" w:hAnsiTheme="majorBidi"/>
          <w:color w:val="auto"/>
          <w:lang w:val="en-CA"/>
        </w:rPr>
        <w:t xml:space="preserve">to </w:t>
      </w:r>
      <w:r>
        <w:fldChar w:fldCharType="begin"/>
      </w:r>
      <w:r>
        <w:instrText xml:space="preserve"> HYPERLINK "mailto:secretariat@cbd.int" </w:instrText>
      </w:r>
      <w:r>
        <w:fldChar w:fldCharType="separate"/>
      </w:r>
      <w:r>
        <w:rPr>
          <w:rStyle w:val="10"/>
          <w:rFonts w:asciiTheme="majorBidi" w:hAnsiTheme="majorBidi" w:cstheme="majorBidi"/>
          <w:lang w:val="en-CA"/>
        </w:rPr>
        <w:t>secretariat@cbd.int</w:t>
      </w:r>
      <w:r>
        <w:rPr>
          <w:rStyle w:val="10"/>
          <w:rFonts w:asciiTheme="majorBidi" w:hAnsiTheme="majorBidi" w:cstheme="majorBidi"/>
          <w:lang w:val="en-CA"/>
        </w:rPr>
        <w:fldChar w:fldCharType="end"/>
      </w:r>
      <w:r>
        <w:rPr>
          <w:rFonts w:asciiTheme="majorBidi" w:hAnsiTheme="majorBidi"/>
          <w:color w:val="auto"/>
          <w:lang w:val="en-CA"/>
        </w:rPr>
        <w:t>.</w:t>
      </w:r>
    </w:p>
    <w:p>
      <w:pPr>
        <w:jc w:val="center"/>
        <w:rPr>
          <w:b/>
          <w:sz w:val="22"/>
          <w:szCs w:val="22"/>
          <w:u w:val="single"/>
        </w:rPr>
      </w:pPr>
    </w:p>
    <w:p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>
      <w:pPr>
        <w:pStyle w:val="11"/>
        <w:jc w:val="center"/>
        <w:rPr>
          <w:b/>
          <w:sz w:val="22"/>
          <w:szCs w:val="22"/>
          <w:u w:val="single"/>
        </w:rPr>
      </w:pPr>
    </w:p>
    <w:tbl>
      <w:tblPr>
        <w:tblStyle w:val="8"/>
        <w:tblW w:w="10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356"/>
        <w:gridCol w:w="4096"/>
        <w:gridCol w:w="1647"/>
        <w:gridCol w:w="1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0060" w:type="dxa"/>
            <w:gridSpan w:val="5"/>
            <w:shd w:val="clear" w:color="auto" w:fill="C0C0C0"/>
            <w:vAlign w:val="center"/>
          </w:tcPr>
          <w:p>
            <w:pPr>
              <w:jc w:val="center"/>
              <w:rPr>
                <w:b/>
                <w:bCs/>
                <w:i/>
              </w:rPr>
            </w:pPr>
            <w:bookmarkStart w:id="9" w:name="_GoBack"/>
            <w:r>
              <w:rPr>
                <w:b/>
                <w:bCs/>
                <w:i/>
                <w:highlight w:val="yellow"/>
              </w:rPr>
              <w:t>Contact information</w:t>
            </w:r>
            <w:bookmarkEnd w:id="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9" w:type="dxa"/>
            <w:gridSpan w:val="2"/>
          </w:tcPr>
          <w:p>
            <w:pPr>
              <w:pStyle w:val="14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Yu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9" w:type="dxa"/>
            <w:gridSpan w:val="2"/>
          </w:tcPr>
          <w:p>
            <w:pPr>
              <w:pStyle w:val="14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Dandan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9" w:type="dxa"/>
            <w:gridSpan w:val="2"/>
          </w:tcPr>
          <w:p>
            <w:pPr>
              <w:pStyle w:val="14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Party: 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China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9" w:type="dxa"/>
            <w:gridSpan w:val="2"/>
          </w:tcPr>
          <w:p>
            <w:pPr>
              <w:pStyle w:val="1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Organization </w:t>
            </w:r>
          </w:p>
          <w:p>
            <w:pPr>
              <w:pStyle w:val="14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eastAsia"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 xml:space="preserve">Nanjing Institute of Environmental Sciences (NIES), </w:t>
            </w:r>
          </w:p>
          <w:p>
            <w:pPr>
              <w:rPr>
                <w:rFonts w:hint="eastAsia"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Ministry of Ecology and Environment (MEE) of China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9" w:type="dxa"/>
            <w:gridSpan w:val="2"/>
          </w:tcPr>
          <w:p>
            <w:pPr>
              <w:pStyle w:val="14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eastAsia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lang w:eastAsia="zh-CN"/>
              </w:rPr>
              <w:t xml:space="preserve">8 Jiangwangmiao </w:t>
            </w:r>
            <w:r>
              <w:rPr>
                <w:rFonts w:hint="default" w:ascii="Times New Roman" w:hAnsi="Times New Roman" w:eastAsia="Times New Roman" w:cs="Times New Roman"/>
                <w:lang w:val="en-US" w:eastAsia="zh-CN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lang w:eastAsia="zh-CN"/>
              </w:rPr>
              <w:t>treet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9" w:type="dxa"/>
            <w:gridSpan w:val="2"/>
          </w:tcPr>
          <w:p>
            <w:pPr>
              <w:pStyle w:val="14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eastAsia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lang w:eastAsia="zh-CN"/>
              </w:rPr>
              <w:t>Nanjing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59" w:type="dxa"/>
            <w:gridSpan w:val="2"/>
          </w:tcPr>
          <w:p>
            <w:pPr>
              <w:pStyle w:val="14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eastAsia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lang w:eastAsia="zh-CN"/>
              </w:rPr>
              <w:t>China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2559" w:type="dxa"/>
            <w:gridSpan w:val="2"/>
          </w:tcPr>
          <w:p>
            <w:pPr>
              <w:pStyle w:val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E-mail:</w:t>
            </w:r>
          </w:p>
        </w:tc>
        <w:tc>
          <w:tcPr>
            <w:tcW w:w="7501" w:type="dxa"/>
            <w:gridSpan w:val="3"/>
          </w:tcPr>
          <w:p>
            <w:pPr>
              <w:rPr>
                <w:rFonts w:hint="default" w:ascii="Times New Roman" w:hAnsi="Times New Roman" w:eastAsia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lang w:val="en-US" w:eastAsia="zh-CN"/>
              </w:rPr>
              <w:t>dan.d.yu@hotmail.com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0060" w:type="dxa"/>
            <w:gridSpan w:val="5"/>
            <w:shd w:val="clear" w:color="auto" w:fill="C0C0C0"/>
            <w:vAlign w:val="center"/>
          </w:tcPr>
          <w:p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yellow"/>
              </w:rPr>
              <w:t>General comments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0060" w:type="dxa"/>
            <w:gridSpan w:val="5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This is an example of a general comment.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0060" w:type="dxa"/>
            <w:gridSpan w:val="5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hint="eastAsia"/>
                <w:b w:val="0"/>
                <w:bCs/>
                <w:sz w:val="22"/>
                <w:szCs w:val="22"/>
              </w:rPr>
              <w:t>Compared with the sixth National reporting tool,</w:t>
            </w:r>
            <w:r>
              <w:rPr>
                <w:rFonts w:hint="eastAsia" w:ascii="Times New Roman" w:hAnsi="Times New Roman" w:eastAsia="Times New Roman" w:cs="Times New Roman"/>
                <w:b w:val="0"/>
                <w:bCs/>
                <w:sz w:val="22"/>
                <w:szCs w:val="22"/>
              </w:rPr>
              <w:t xml:space="preserve"> th</w:t>
            </w:r>
            <w:r>
              <w:rPr>
                <w:rFonts w:hint="eastAsia" w:ascii="Times New Roman" w:hAnsi="Times New Roman" w:eastAsia="Times New Roman" w:cs="Times New Roman"/>
                <w:b w:val="0"/>
                <w:bCs/>
                <w:sz w:val="22"/>
                <w:szCs w:val="22"/>
                <w:lang w:val="en-US" w:eastAsia="zh-CN"/>
              </w:rPr>
              <w:t xml:space="preserve">e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2"/>
                <w:szCs w:val="22"/>
                <w:lang w:val="en-US" w:eastAsia="zh-CN"/>
              </w:rPr>
              <w:t>t</w:t>
            </w:r>
            <w:r>
              <w:rPr>
                <w:rFonts w:hint="eastAsia" w:ascii="Times New Roman" w:hAnsi="Times New Roman" w:eastAsia="Times New Roman" w:cs="Times New Roman"/>
                <w:b w:val="0"/>
                <w:bCs/>
                <w:sz w:val="22"/>
                <w:szCs w:val="22"/>
              </w:rPr>
              <w:t>esting of the CBD Online Reporting Tool (ORT)</w:t>
            </w:r>
            <w:r>
              <w:rPr>
                <w:rFonts w:hint="eastAsia"/>
                <w:b w:val="0"/>
                <w:bCs/>
                <w:sz w:val="22"/>
                <w:szCs w:val="22"/>
              </w:rPr>
              <w:t xml:space="preserve"> has </w:t>
            </w:r>
            <w:r>
              <w:rPr>
                <w:rFonts w:hint="eastAsia" w:eastAsia="宋体"/>
                <w:b w:val="0"/>
                <w:bCs/>
                <w:sz w:val="22"/>
                <w:szCs w:val="22"/>
                <w:lang w:val="en-US" w:eastAsia="zh-CN"/>
              </w:rPr>
              <w:t>some</w:t>
            </w:r>
            <w:r>
              <w:rPr>
                <w:rFonts w:hint="eastAsia"/>
                <w:b w:val="0"/>
                <w:bCs/>
                <w:sz w:val="22"/>
                <w:szCs w:val="22"/>
              </w:rPr>
              <w:t xml:space="preserve"> improvements: 1) </w:t>
            </w:r>
            <w:r>
              <w:rPr>
                <w:rFonts w:hint="eastAsia" w:eastAsia="宋体"/>
                <w:b w:val="0"/>
                <w:bCs/>
                <w:sz w:val="22"/>
                <w:szCs w:val="22"/>
                <w:lang w:val="en-US" w:eastAsia="zh-CN"/>
              </w:rPr>
              <w:t>c</w:t>
            </w:r>
            <w:r>
              <w:rPr>
                <w:rFonts w:hint="eastAsia"/>
                <w:b w:val="0"/>
                <w:bCs/>
                <w:sz w:val="22"/>
                <w:szCs w:val="22"/>
              </w:rPr>
              <w:t xml:space="preserve">ompared with the last one, the stability and compatibility of the </w:t>
            </w:r>
            <w:r>
              <w:rPr>
                <w:rFonts w:hint="eastAsia" w:ascii="Times New Roman" w:hAnsi="Times New Roman" w:eastAsia="Times New Roman" w:cs="Times New Roman"/>
                <w:b w:val="0"/>
                <w:bCs/>
                <w:sz w:val="22"/>
                <w:szCs w:val="22"/>
              </w:rPr>
              <w:t>ORT</w:t>
            </w:r>
            <w:r>
              <w:rPr>
                <w:rFonts w:hint="eastAsia"/>
                <w:b w:val="0"/>
                <w:bCs/>
                <w:sz w:val="22"/>
                <w:szCs w:val="22"/>
              </w:rPr>
              <w:t xml:space="preserve"> are better; 2) </w:t>
            </w:r>
            <w:r>
              <w:rPr>
                <w:rFonts w:hint="eastAsia" w:eastAsia="宋体"/>
                <w:b w:val="0"/>
                <w:bCs/>
                <w:sz w:val="22"/>
                <w:szCs w:val="22"/>
                <w:lang w:val="en-US" w:eastAsia="zh-CN"/>
              </w:rPr>
              <w:t>t</w:t>
            </w:r>
            <w:r>
              <w:rPr>
                <w:rFonts w:hint="eastAsia"/>
                <w:b w:val="0"/>
                <w:bCs/>
                <w:sz w:val="22"/>
                <w:szCs w:val="22"/>
              </w:rPr>
              <w:t xml:space="preserve">he addition of science-based reporting, for example, strengthening the data source description of indicators, and the association with the post-2020 GBF headline indicators; 3) </w:t>
            </w:r>
            <w:r>
              <w:rPr>
                <w:rFonts w:hint="eastAsia" w:eastAsia="宋体"/>
                <w:b w:val="0"/>
                <w:bCs/>
                <w:sz w:val="22"/>
                <w:szCs w:val="22"/>
                <w:lang w:val="en-US" w:eastAsia="zh-CN"/>
              </w:rPr>
              <w:t>s</w:t>
            </w:r>
            <w:r>
              <w:rPr>
                <w:rFonts w:hint="eastAsia"/>
                <w:b w:val="0"/>
                <w:bCs/>
                <w:sz w:val="22"/>
                <w:szCs w:val="22"/>
              </w:rPr>
              <w:t>trengthened linkages between national targets, actions or commitments and the objectives and action targets of the post-2020 Kunming-Montreal Global Biodiversity Framework</w:t>
            </w:r>
            <w:r>
              <w:rPr>
                <w:rFonts w:hint="eastAsia" w:eastAsia="宋体"/>
                <w:b w:val="0"/>
                <w:bCs/>
                <w:sz w:val="22"/>
                <w:szCs w:val="22"/>
                <w:lang w:val="en-US" w:eastAsia="zh-CN"/>
              </w:rPr>
              <w:t xml:space="preserve"> (GBF)</w:t>
            </w:r>
            <w:r>
              <w:rPr>
                <w:rFonts w:hint="eastAsia"/>
                <w:b w:val="0"/>
                <w:bCs/>
                <w:sz w:val="22"/>
                <w:szCs w:val="22"/>
              </w:rPr>
              <w:t>. It is believed that this will help promote the implementation of GBF targets.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0060" w:type="dxa"/>
            <w:gridSpan w:val="5"/>
          </w:tcPr>
          <w:p>
            <w:pPr>
              <w:rPr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0060" w:type="dxa"/>
            <w:gridSpan w:val="5"/>
          </w:tcPr>
          <w:p>
            <w:pPr>
              <w:rPr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0060" w:type="dxa"/>
            <w:gridSpan w:val="5"/>
          </w:tcPr>
          <w:p>
            <w:pPr>
              <w:rPr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060" w:type="dxa"/>
            <w:gridSpan w:val="5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Additional rows can be added to this table by selecting “Insert” followed by “insert rows below”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0060" w:type="dxa"/>
            <w:gridSpan w:val="5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Specific comments on the “My Country Targets” section of the draft online reporting tool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03" w:type="dxa"/>
            <w:vMerge w:val="restart"/>
            <w:shd w:val="clear" w:color="auto" w:fill="BCE1C0" w:themeFill="background1" w:themeFillShade="F2"/>
          </w:tcPr>
          <w:p>
            <w:pPr>
              <w:spacing w:before="120"/>
              <w:rPr>
                <w:b/>
              </w:rPr>
            </w:pPr>
            <w:r>
              <w:rPr>
                <w:b/>
              </w:rPr>
              <w:t>Overview</w:t>
            </w:r>
          </w:p>
        </w:tc>
        <w:tc>
          <w:tcPr>
            <w:tcW w:w="5452" w:type="dxa"/>
            <w:gridSpan w:val="2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URL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</w:p>
        </w:tc>
        <w:tc>
          <w:tcPr>
            <w:tcW w:w="1647" w:type="dxa"/>
          </w:tcPr>
          <w:p>
            <w:pPr>
              <w:rPr>
                <w:b/>
              </w:rPr>
            </w:pP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</w:p>
        </w:tc>
        <w:tc>
          <w:tcPr>
            <w:tcW w:w="1647" w:type="dxa"/>
          </w:tcPr>
          <w:p>
            <w:pPr>
              <w:rPr>
                <w:b/>
              </w:rPr>
            </w:pP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</w:p>
        </w:tc>
        <w:tc>
          <w:tcPr>
            <w:tcW w:w="1647" w:type="dxa"/>
          </w:tcPr>
          <w:p>
            <w:pPr>
              <w:rPr>
                <w:b/>
              </w:rPr>
            </w:pP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restart"/>
            <w:shd w:val="clear" w:color="auto" w:fill="BCE1C0" w:themeFill="background1" w:themeFillShade="F2"/>
          </w:tcPr>
          <w:p>
            <w:pPr>
              <w:spacing w:before="120"/>
              <w:rPr>
                <w:b/>
              </w:rPr>
            </w:pPr>
            <w:r>
              <w:rPr>
                <w:b/>
              </w:rPr>
              <w:t>Part I</w:t>
            </w:r>
          </w:p>
        </w:tc>
        <w:tc>
          <w:tcPr>
            <w:tcW w:w="5452" w:type="dxa"/>
            <w:gridSpan w:val="2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URL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“</w:t>
            </w: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List </w:t>
            </w:r>
            <w:bookmarkStart w:id="3" w:name="OLE_LINK3"/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the </w:t>
            </w:r>
            <w:bookmarkStart w:id="4" w:name="OLE_LINK4"/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non-state commitments </w:t>
            </w:r>
            <w:bookmarkEnd w:id="4"/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towards this national Target</w:t>
            </w:r>
            <w:bookmarkEnd w:id="3"/>
            <w:r>
              <w:rPr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”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, what does that include? How to determine whether the non-state commitments are relevant to the </w:t>
            </w:r>
            <w:bookmarkStart w:id="5" w:name="OLE_LINK6"/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national Targets </w:t>
            </w:r>
            <w:bookmarkEnd w:id="5"/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or GBF goals, and the degree of relevance? Is it possible to provide some explanatory text for filling in the content under this heading?</w:t>
            </w:r>
          </w:p>
        </w:tc>
        <w:tc>
          <w:tcPr>
            <w:tcW w:w="1647" w:type="dxa"/>
          </w:tcPr>
          <w:p>
            <w:pPr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Dandan Yu</w:t>
            </w: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The word of </w:t>
            </w:r>
            <w:r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‘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means</w:t>
            </w:r>
            <w:r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or </w:t>
            </w:r>
            <w:r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‘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implementation</w:t>
            </w:r>
            <w:r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 in this sentence </w:t>
            </w: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"Means of implementation and barriers to </w:t>
            </w:r>
            <w:bookmarkStart w:id="6" w:name="OLE_LINK5"/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implementation</w:t>
            </w:r>
            <w:bookmarkEnd w:id="6"/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",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does that mean</w:t>
            </w:r>
            <w:bookmarkStart w:id="7" w:name="OLE_LINK7"/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the means and barriers to implementation of</w:t>
            </w:r>
            <w:bookmarkEnd w:id="7"/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the national Targets? Or are they the means and barriers to implementation of the non-state commitments? It doesn't seem very clear.</w:t>
            </w:r>
          </w:p>
        </w:tc>
        <w:tc>
          <w:tcPr>
            <w:tcW w:w="1647" w:type="dxa"/>
          </w:tcPr>
          <w:p>
            <w:pPr>
              <w:rPr>
                <w:b w:val="0"/>
                <w:bCs/>
              </w:rPr>
            </w:pPr>
            <w:bookmarkStart w:id="8" w:name="OLE_LINK8"/>
            <w:r>
              <w:rPr>
                <w:rFonts w:hint="eastAsia" w:eastAsia="宋体"/>
                <w:b w:val="0"/>
                <w:bCs/>
                <w:lang w:val="en-US" w:eastAsia="zh-CN"/>
              </w:rPr>
              <w:t>Dandan Yu</w:t>
            </w:r>
            <w:bookmarkEnd w:id="8"/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</w:p>
        </w:tc>
        <w:tc>
          <w:tcPr>
            <w:tcW w:w="1647" w:type="dxa"/>
          </w:tcPr>
          <w:p>
            <w:pPr>
              <w:rPr>
                <w:b/>
              </w:rPr>
            </w:pP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restart"/>
            <w:shd w:val="clear" w:color="auto" w:fill="BCE1C0" w:themeFill="background1" w:themeFillShade="F2"/>
          </w:tcPr>
          <w:p>
            <w:pPr>
              <w:spacing w:before="120"/>
              <w:rPr>
                <w:b/>
              </w:rPr>
            </w:pPr>
            <w:r>
              <w:rPr>
                <w:b/>
              </w:rPr>
              <w:t>Part II</w:t>
            </w:r>
          </w:p>
        </w:tc>
        <w:tc>
          <w:tcPr>
            <w:tcW w:w="5452" w:type="dxa"/>
            <w:gridSpan w:val="2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BCE1C0" w:themeFill="background1" w:themeFillShade="F2"/>
            <w:vAlign w:val="center"/>
          </w:tcPr>
          <w:p>
            <w:pPr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BCE1C0" w:themeFill="background1" w:themeFillShade="F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URL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What is the </w:t>
            </w:r>
            <w:r>
              <w:rPr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“</w:t>
            </w: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Reference Period</w:t>
            </w:r>
            <w:r>
              <w:rPr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”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based on? If it is not clearly defined/specified, does it make sense to fill in the reference period assuming that the reference period for all objectives is not consistent?</w:t>
            </w:r>
          </w:p>
        </w:tc>
        <w:tc>
          <w:tcPr>
            <w:tcW w:w="1647" w:type="dxa"/>
          </w:tcPr>
          <w:p>
            <w:pPr>
              <w:rPr>
                <w:b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Dandan Yu</w:t>
            </w: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</w:p>
        </w:tc>
        <w:tc>
          <w:tcPr>
            <w:tcW w:w="1647" w:type="dxa"/>
          </w:tcPr>
          <w:p>
            <w:pPr>
              <w:rPr>
                <w:b/>
              </w:rPr>
            </w:pP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</w:p>
        </w:tc>
        <w:tc>
          <w:tcPr>
            <w:tcW w:w="1647" w:type="dxa"/>
          </w:tcPr>
          <w:p>
            <w:pPr>
              <w:rPr>
                <w:b/>
              </w:rPr>
            </w:pP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3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>
            <w:pPr>
              <w:rPr>
                <w:b/>
              </w:rPr>
            </w:pPr>
          </w:p>
        </w:tc>
        <w:tc>
          <w:tcPr>
            <w:tcW w:w="1647" w:type="dxa"/>
          </w:tcPr>
          <w:p>
            <w:pPr>
              <w:rPr>
                <w:b/>
              </w:rPr>
            </w:pPr>
          </w:p>
        </w:tc>
        <w:tc>
          <w:tcPr>
            <w:tcW w:w="1758" w:type="dxa"/>
          </w:tcPr>
          <w:p>
            <w:pPr>
              <w:rPr>
                <w:b/>
              </w:rPr>
            </w:pPr>
          </w:p>
        </w:tc>
      </w:tr>
    </w:tbl>
    <w:p/>
    <w:sectPr>
      <w:pgSz w:w="12240" w:h="15840"/>
      <w:pgMar w:top="117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VjZTVkOWZkZDE3YzY5NzE5Y2JmMjNkOThlNjEyYzkifQ=="/>
  </w:docVars>
  <w:rsids>
    <w:rsidRoot w:val="00D93CCA"/>
    <w:rsid w:val="00032624"/>
    <w:rsid w:val="001137C5"/>
    <w:rsid w:val="001C2BDB"/>
    <w:rsid w:val="001D6DD0"/>
    <w:rsid w:val="001F0657"/>
    <w:rsid w:val="00236608"/>
    <w:rsid w:val="0026557B"/>
    <w:rsid w:val="00291D0D"/>
    <w:rsid w:val="002B0064"/>
    <w:rsid w:val="002E6DF4"/>
    <w:rsid w:val="00323B0A"/>
    <w:rsid w:val="00334544"/>
    <w:rsid w:val="00365D04"/>
    <w:rsid w:val="003B08FB"/>
    <w:rsid w:val="003B4620"/>
    <w:rsid w:val="004039A1"/>
    <w:rsid w:val="004056FD"/>
    <w:rsid w:val="005013EC"/>
    <w:rsid w:val="0050342D"/>
    <w:rsid w:val="00504926"/>
    <w:rsid w:val="0053118E"/>
    <w:rsid w:val="005324AB"/>
    <w:rsid w:val="00590860"/>
    <w:rsid w:val="006060BF"/>
    <w:rsid w:val="006125AA"/>
    <w:rsid w:val="00653450"/>
    <w:rsid w:val="006D6F86"/>
    <w:rsid w:val="007761AE"/>
    <w:rsid w:val="00790F3D"/>
    <w:rsid w:val="007B362C"/>
    <w:rsid w:val="007D1B0C"/>
    <w:rsid w:val="008C7855"/>
    <w:rsid w:val="008E7015"/>
    <w:rsid w:val="008F1512"/>
    <w:rsid w:val="00976DCD"/>
    <w:rsid w:val="00A51FA4"/>
    <w:rsid w:val="00AF4AD0"/>
    <w:rsid w:val="00AF6E68"/>
    <w:rsid w:val="00B51493"/>
    <w:rsid w:val="00B75A55"/>
    <w:rsid w:val="00BC022A"/>
    <w:rsid w:val="00BC0FAD"/>
    <w:rsid w:val="00BD481F"/>
    <w:rsid w:val="00BF20BC"/>
    <w:rsid w:val="00C70451"/>
    <w:rsid w:val="00CF2F9D"/>
    <w:rsid w:val="00D93CCA"/>
    <w:rsid w:val="00DB20C0"/>
    <w:rsid w:val="00F259A7"/>
    <w:rsid w:val="00F25D89"/>
    <w:rsid w:val="09AA256E"/>
    <w:rsid w:val="190A098D"/>
    <w:rsid w:val="1CF1208B"/>
    <w:rsid w:val="1D5F7214"/>
    <w:rsid w:val="25B93D9A"/>
    <w:rsid w:val="6F003BAD"/>
    <w:rsid w:val="7859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link w:val="1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  <w:lang w:eastAsia="ja-JP"/>
    </w:rPr>
  </w:style>
  <w:style w:type="paragraph" w:styleId="3">
    <w:name w:val="heading 3"/>
    <w:basedOn w:val="1"/>
    <w:next w:val="1"/>
    <w:link w:val="1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03864" w:themeColor="accent1" w:themeShade="8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2"/>
    <w:semiHidden/>
    <w:unhideWhenUsed/>
    <w:qFormat/>
    <w:uiPriority w:val="99"/>
    <w:rPr>
      <w:sz w:val="20"/>
      <w:szCs w:val="20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18"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annotation subject"/>
    <w:basedOn w:val="4"/>
    <w:next w:val="4"/>
    <w:link w:val="13"/>
    <w:qFormat/>
    <w:uiPriority w:val="99"/>
    <w:rPr>
      <w:b/>
      <w:bCs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paragraph" w:customStyle="1" w:styleId="11">
    <w:name w:val="Default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character" w:customStyle="1" w:styleId="12">
    <w:name w:val="Comment Text Char"/>
    <w:basedOn w:val="9"/>
    <w:link w:val="4"/>
    <w:semiHidden/>
    <w:qFormat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3">
    <w:name w:val="Comment Subject Char"/>
    <w:basedOn w:val="12"/>
    <w:link w:val="7"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customStyle="1" w:styleId="14">
    <w:name w:val="Form"/>
    <w:basedOn w:val="1"/>
    <w:qFormat/>
    <w:uiPriority w:val="99"/>
    <w:pPr>
      <w:autoSpaceDE w:val="0"/>
      <w:autoSpaceDN w:val="0"/>
      <w:adjustRightInd w:val="0"/>
      <w:spacing w:before="60" w:after="60"/>
    </w:pPr>
    <w:rPr>
      <w:rFonts w:ascii="Arial" w:hAnsi="Arial" w:eastAsia="MS Mincho" w:cs="Arial"/>
      <w:sz w:val="16"/>
    </w:rPr>
  </w:style>
  <w:style w:type="character" w:customStyle="1" w:styleId="15">
    <w:name w:val="Heading 2 Char"/>
    <w:basedOn w:val="9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  <w:lang w:val="en-US" w:eastAsia="ja-JP"/>
    </w:rPr>
  </w:style>
  <w:style w:type="character" w:customStyle="1" w:styleId="16">
    <w:name w:val="Heading 3 Char"/>
    <w:basedOn w:val="9"/>
    <w:link w:val="3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  <w:lang w:val="en-US"/>
    </w:rPr>
  </w:style>
  <w:style w:type="character" w:customStyle="1" w:styleId="17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Header Char"/>
    <w:basedOn w:val="9"/>
    <w:link w:val="6"/>
    <w:qFormat/>
    <w:uiPriority w:val="99"/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19">
    <w:name w:val="Footer Char"/>
    <w:basedOn w:val="9"/>
    <w:link w:val="5"/>
    <w:qFormat/>
    <w:uiPriority w:val="99"/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D3070-FA56-45D7-9A9F-A8720FB71FE8}">
  <ds:schemaRefs/>
</ds:datastoreItem>
</file>

<file path=customXml/itemProps2.xml><?xml version="1.0" encoding="utf-8"?>
<ds:datastoreItem xmlns:ds="http://schemas.openxmlformats.org/officeDocument/2006/customXml" ds:itemID="{34AD2B3A-6508-431F-917D-92474158A9E1}">
  <ds:schemaRefs/>
</ds:datastoreItem>
</file>

<file path=customXml/itemProps3.xml><?xml version="1.0" encoding="utf-8"?>
<ds:datastoreItem xmlns:ds="http://schemas.openxmlformats.org/officeDocument/2006/customXml" ds:itemID="{03FECA71-57C8-4A5D-B57E-8940CEBA60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1133</Characters>
  <Lines>6</Lines>
  <Paragraphs>1</Paragraphs>
  <TotalTime>18</TotalTime>
  <ScaleCrop>false</ScaleCrop>
  <LinksUpToDate>false</LinksUpToDate>
  <CharactersWithSpaces>1311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2023-08-15T18:37:00Z</dcterms:created>
  <dc:creator>Kieran Noonan Mooney</dc:creator>
  <cp:lastModifiedBy>user</cp:lastModifiedBy>
  <dcterms:modified xsi:type="dcterms:W3CDTF">2023-09-26T00:40:22Z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  <property fmtid="{D5CDD505-2E9C-101B-9397-08002B2CF9AE}" pid="3" name="KSOProductBuildVer">
    <vt:lpwstr>2052-12.1.0.15374</vt:lpwstr>
  </property>
  <property fmtid="{D5CDD505-2E9C-101B-9397-08002B2CF9AE}" pid="4" name="ICV">
    <vt:lpwstr>19E6D50E361447268FF070BD226E3AFD_13</vt:lpwstr>
  </property>
</Properties>
</file>