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rPr>
          <w:rFonts w:ascii="Lato" w:cs="Lato" w:eastAsia="Lato" w:hAnsi="Lato"/>
          <w:b w:val="1"/>
          <w:bCs w:val="1"/>
        </w:rPr>
      </w:pPr>
      <w:r w:rsidDel="00000000" w:rsidR="00000000" w:rsidRPr="00000000">
        <w:rPr>
          <w:rFonts w:ascii="Lato" w:cs="Lato" w:eastAsia="Lato" w:hAnsi="Lato"/>
          <w:b w:val="1"/>
          <w:bCs w:val="1"/>
          <w:rtl w:val="0"/>
        </w:rPr>
        <w:t xml:space="preserve">Wildlife Conservation Society (WCS) - Response to Notification 2025-135 on POWPA</w:t>
      </w:r>
    </w:p>
    <w:p w:rsidR="00000000" w:rsidDel="00000000" w:rsidP="00000000" w:rsidRDefault="00000000" w:rsidRPr="00000000" w14:paraId="00000002">
      <w:pPr>
        <w:spacing w:line="240" w:lineRule="auto"/>
        <w:rPr>
          <w:rFonts w:ascii="Lato" w:cs="Lato" w:eastAsia="Lato" w:hAnsi="Lato"/>
          <w:i w:val="1"/>
          <w:iCs w:val="1"/>
          <w:sz w:val="10"/>
          <w:szCs w:val="10"/>
        </w:rPr>
      </w:pPr>
      <w:r w:rsidDel="00000000" w:rsidR="00000000" w:rsidRPr="00000000">
        <w:rPr>
          <w:rtl w:val="0"/>
        </w:rPr>
      </w:r>
    </w:p>
    <w:p w:rsidR="00000000" w:rsidDel="00000000" w:rsidP="00000000" w:rsidRDefault="00000000" w:rsidRPr="00000000" w14:paraId="00000003">
      <w:pPr>
        <w:spacing w:line="240" w:lineRule="auto"/>
        <w:rPr>
          <w:rFonts w:ascii="Lato" w:cs="Lato" w:eastAsia="Lato" w:hAnsi="Lato"/>
          <w:i w:val="1"/>
          <w:iCs w:val="1"/>
        </w:rPr>
      </w:pPr>
      <w:r w:rsidDel="00000000" w:rsidR="00000000" w:rsidRPr="00000000">
        <w:rPr>
          <w:rFonts w:ascii="Lato" w:cs="Lato" w:eastAsia="Lato" w:hAnsi="Lato"/>
          <w:i w:val="1"/>
          <w:iCs w:val="1"/>
          <w:rtl w:val="0"/>
        </w:rPr>
        <w:t xml:space="preserve">December 2025 </w:t>
      </w:r>
    </w:p>
    <w:p w:rsidR="00000000" w:rsidDel="00000000" w:rsidP="00000000" w:rsidRDefault="00000000" w:rsidRPr="00000000" w14:paraId="00000004">
      <w:pPr>
        <w:spacing w:line="240" w:lineRule="auto"/>
        <w:rPr>
          <w:rFonts w:ascii="Lato" w:cs="Lato" w:eastAsia="Lato" w:hAnsi="Lato"/>
          <w:i w:val="1"/>
          <w:iCs w:val="1"/>
        </w:rPr>
      </w:pPr>
      <w:r w:rsidDel="00000000" w:rsidR="00000000" w:rsidRPr="00000000">
        <w:rPr>
          <w:rFonts w:ascii="Lato" w:cs="Lato" w:eastAsia="Lato" w:hAnsi="Lato"/>
          <w:i w:val="1"/>
          <w:iCs w:val="1"/>
          <w:rtl w:val="0"/>
        </w:rPr>
        <w:t xml:space="preserve">Contact: </w:t>
      </w:r>
      <w:hyperlink r:id="rId6">
        <w:r w:rsidDel="00000000" w:rsidR="00000000" w:rsidRPr="00000000">
          <w:rPr>
            <w:rFonts w:ascii="Lato" w:cs="Lato" w:eastAsia="Lato" w:hAnsi="Lato"/>
            <w:i w:val="1"/>
            <w:iCs w:val="1"/>
            <w:color w:val="1155cc"/>
            <w:u w:val="single"/>
            <w:rtl w:val="0"/>
          </w:rPr>
          <w:t xml:space="preserve">adegemmis@wcs.org</w:t>
        </w:r>
      </w:hyperlink>
      <w:r w:rsidDel="00000000" w:rsidR="00000000" w:rsidRPr="00000000">
        <w:rPr>
          <w:rFonts w:ascii="Lato" w:cs="Lato" w:eastAsia="Lato" w:hAnsi="Lato"/>
          <w:i w:val="1"/>
          <w:iCs w:val="1"/>
          <w:rtl w:val="0"/>
        </w:rPr>
        <w:t xml:space="preserve"> </w:t>
      </w:r>
    </w:p>
    <w:p w:rsidR="00000000" w:rsidDel="00000000" w:rsidP="00000000" w:rsidRDefault="00000000" w:rsidRPr="00000000" w14:paraId="00000005">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06">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07">
      <w:pPr>
        <w:spacing w:line="240" w:lineRule="auto"/>
        <w:rPr>
          <w:rFonts w:ascii="Lato" w:cs="Lato" w:eastAsia="Lato" w:hAnsi="Lato"/>
          <w:b w:val="1"/>
          <w:bCs w:val="1"/>
          <w:i w:val="1"/>
          <w:iCs w:val="1"/>
          <w:color w:val="666666"/>
        </w:rPr>
      </w:pPr>
      <w:r w:rsidDel="00000000" w:rsidR="00000000" w:rsidRPr="00000000">
        <w:rPr>
          <w:rFonts w:ascii="Lato" w:cs="Lato" w:eastAsia="Lato" w:hAnsi="Lato"/>
          <w:b w:val="1"/>
          <w:bCs w:val="1"/>
          <w:i w:val="1"/>
          <w:iCs w:val="1"/>
          <w:color w:val="666666"/>
          <w:rtl w:val="0"/>
        </w:rPr>
        <w:t xml:space="preserve">SCBD: “What aspects should be incorporated or reinforced in the current review of the Programme of Work to improve alignment with the Kunming-Montreal Global Biodiversity Framework? Please consult the rapid gap analysis in document CBD/SBSTTA/25/INF/1 for reference.” </w:t>
      </w:r>
    </w:p>
    <w:p w:rsidR="00000000" w:rsidDel="00000000" w:rsidP="00000000" w:rsidRDefault="00000000" w:rsidRPr="00000000" w14:paraId="00000008">
      <w:pPr>
        <w:spacing w:line="240" w:lineRule="auto"/>
        <w:ind w:left="0" w:firstLine="0"/>
        <w:rPr>
          <w:rFonts w:ascii="Lato" w:cs="Lato" w:eastAsia="Lato" w:hAnsi="Lato"/>
        </w:rPr>
      </w:pPr>
      <w:r w:rsidDel="00000000" w:rsidR="00000000" w:rsidRPr="00000000">
        <w:rPr>
          <w:rtl w:val="0"/>
        </w:rPr>
      </w:r>
    </w:p>
    <w:p w:rsidR="00000000" w:rsidDel="00000000" w:rsidP="00000000" w:rsidRDefault="00000000" w:rsidRPr="00000000" w14:paraId="00000009">
      <w:pPr>
        <w:numPr>
          <w:ilvl w:val="0"/>
          <w:numId w:val="1"/>
        </w:numPr>
        <w:spacing w:line="240" w:lineRule="auto"/>
        <w:ind w:left="720" w:hanging="360"/>
        <w:rPr>
          <w:rFonts w:ascii="Lato" w:cs="Lato" w:eastAsia="Lato" w:hAnsi="Lato"/>
        </w:rPr>
      </w:pPr>
      <w:r w:rsidDel="00000000" w:rsidR="00000000" w:rsidRPr="00000000">
        <w:rPr>
          <w:rFonts w:ascii="Lato" w:cs="Lato" w:eastAsia="Lato" w:hAnsi="Lato"/>
          <w:rtl w:val="0"/>
        </w:rPr>
        <w:t xml:space="preserve">In the rapid gap analysis, with respect to KM-GBF Target 5, it is noted that the existing POW </w:t>
      </w:r>
      <w:r w:rsidDel="00000000" w:rsidR="00000000" w:rsidRPr="00000000">
        <w:rPr>
          <w:rFonts w:ascii="Lato" w:cs="Lato" w:eastAsia="Lato" w:hAnsi="Lato"/>
          <w:i w:val="1"/>
          <w:iCs w:val="1"/>
          <w:rtl w:val="0"/>
        </w:rPr>
        <w:t xml:space="preserve"> “only addresses illegal exploitation; other aspects of sustainable use, harvesting and trade not addressed.” </w:t>
      </w:r>
      <w:r w:rsidDel="00000000" w:rsidR="00000000" w:rsidRPr="00000000">
        <w:rPr>
          <w:rFonts w:ascii="Lato" w:cs="Lato" w:eastAsia="Lato" w:hAnsi="Lato"/>
          <w:rtl w:val="0"/>
        </w:rPr>
        <w:t xml:space="preserve">Many areas designated or recognized as contributing to KM-GBF Target 3 allow some forms of sustainable use, harvesting and trade (both within and emanating from the boundaries of the protected or conserved area). Particularly when so many intergovernmental and other entities, for example, the UN </w:t>
      </w:r>
      <w:hyperlink r:id="rId7">
        <w:r w:rsidDel="00000000" w:rsidR="00000000" w:rsidRPr="00000000">
          <w:rPr>
            <w:rFonts w:ascii="Lato" w:cs="Lato" w:eastAsia="Lato" w:hAnsi="Lato"/>
            <w:color w:val="1155cc"/>
            <w:u w:val="single"/>
            <w:rtl w:val="0"/>
          </w:rPr>
          <w:t xml:space="preserve">Food and Agriculture Organization</w:t>
        </w:r>
      </w:hyperlink>
      <w:r w:rsidDel="00000000" w:rsidR="00000000" w:rsidRPr="00000000">
        <w:rPr>
          <w:rFonts w:ascii="Lato" w:cs="Lato" w:eastAsia="Lato" w:hAnsi="Lato"/>
          <w:rtl w:val="0"/>
        </w:rPr>
        <w:t xml:space="preserve">, are examining the potential for OECMs or conservation areas to be identified in </w:t>
      </w:r>
      <w:r w:rsidDel="00000000" w:rsidR="00000000" w:rsidRPr="00000000">
        <w:rPr>
          <w:rFonts w:ascii="Lato" w:cs="Lato" w:eastAsia="Lato" w:hAnsi="Lato"/>
          <w:i w:val="1"/>
          <w:iCs w:val="1"/>
          <w:rtl w:val="0"/>
        </w:rPr>
        <w:t xml:space="preserve">commercial</w:t>
      </w:r>
      <w:r w:rsidDel="00000000" w:rsidR="00000000" w:rsidRPr="00000000">
        <w:rPr>
          <w:rFonts w:ascii="Lato" w:cs="Lato" w:eastAsia="Lato" w:hAnsi="Lato"/>
          <w:rtl w:val="0"/>
        </w:rPr>
        <w:t xml:space="preserve">ly exploited ecosystems,</w:t>
      </w:r>
      <w:r w:rsidDel="00000000" w:rsidR="00000000" w:rsidRPr="00000000">
        <w:rPr>
          <w:rFonts w:ascii="Lato" w:cs="Lato" w:eastAsia="Lato" w:hAnsi="Lato"/>
          <w:rtl w:val="0"/>
        </w:rPr>
        <w:t xml:space="preserve"> and where other targets addressing areas under sustainable, commercial and extractive management are ignored under the existing programmes under the Convention (Target 9 is addressed in a limited manner and Targets 10 and 14 are gaps), we will need to better address this tension through dedicated activities and potentially integrate Secretariat actions with guidance for Target </w:t>
      </w:r>
      <w:r w:rsidDel="00000000" w:rsidR="00000000" w:rsidRPr="00000000">
        <w:rPr>
          <w:rFonts w:ascii="Lato" w:cs="Lato" w:eastAsia="Lato" w:hAnsi="Lato"/>
          <w:rtl w:val="0"/>
        </w:rPr>
        <w:t xml:space="preserve">1</w:t>
      </w:r>
      <w:r w:rsidDel="00000000" w:rsidR="00000000" w:rsidRPr="00000000">
        <w:rPr>
          <w:rFonts w:ascii="Lato" w:cs="Lato" w:eastAsia="Lato" w:hAnsi="Lato"/>
          <w:rtl w:val="0"/>
        </w:rPr>
        <w:t xml:space="preserve">. </w:t>
      </w:r>
    </w:p>
    <w:p w:rsidR="00000000" w:rsidDel="00000000" w:rsidP="00000000" w:rsidRDefault="00000000" w:rsidRPr="00000000" w14:paraId="0000000A">
      <w:pPr>
        <w:spacing w:line="240"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0B">
      <w:pPr>
        <w:numPr>
          <w:ilvl w:val="0"/>
          <w:numId w:val="1"/>
        </w:numPr>
        <w:spacing w:line="240" w:lineRule="auto"/>
        <w:ind w:left="720" w:hanging="360"/>
        <w:rPr>
          <w:rFonts w:ascii="Lato" w:cs="Lato" w:eastAsia="Lato" w:hAnsi="Lato"/>
          <w:u w:val="none"/>
        </w:rPr>
      </w:pPr>
      <w:r w:rsidDel="00000000" w:rsidR="00000000" w:rsidRPr="00000000">
        <w:rPr>
          <w:rFonts w:ascii="Lato" w:cs="Lato" w:eastAsia="Lato" w:hAnsi="Lato"/>
          <w:rtl w:val="0"/>
        </w:rPr>
        <w:t xml:space="preserve">The 2021 Protected Planet </w:t>
      </w:r>
      <w:hyperlink r:id="rId8">
        <w:r w:rsidDel="00000000" w:rsidR="00000000" w:rsidRPr="00000000">
          <w:rPr>
            <w:rFonts w:ascii="Lato" w:cs="Lato" w:eastAsia="Lato" w:hAnsi="Lato"/>
            <w:color w:val="1155cc"/>
            <w:u w:val="single"/>
            <w:rtl w:val="0"/>
          </w:rPr>
          <w:t xml:space="preserve">analysis</w:t>
        </w:r>
      </w:hyperlink>
      <w:r w:rsidDel="00000000" w:rsidR="00000000" w:rsidRPr="00000000">
        <w:rPr>
          <w:rFonts w:ascii="Lato" w:cs="Lato" w:eastAsia="Lato" w:hAnsi="Lato"/>
          <w:rtl w:val="0"/>
        </w:rPr>
        <w:t xml:space="preserve"> concludes that </w:t>
      </w:r>
      <w:r w:rsidDel="00000000" w:rsidR="00000000" w:rsidRPr="00000000">
        <w:rPr>
          <w:rFonts w:ascii="Lato" w:cs="Lato" w:eastAsia="Lato" w:hAnsi="Lato"/>
          <w:i w:val="1"/>
          <w:iCs w:val="1"/>
          <w:rtl w:val="0"/>
        </w:rPr>
        <w:t xml:space="preserve">“The potential of protected and conserved areas to act as nature-based solutions to multiple socio-environmental challenges, including climate change, water security, and disaster risk management…should be recognised and enhanced.”</w:t>
      </w:r>
      <w:r w:rsidDel="00000000" w:rsidR="00000000" w:rsidRPr="00000000">
        <w:rPr>
          <w:rFonts w:ascii="Lato" w:cs="Lato" w:eastAsia="Lato" w:hAnsi="Lato"/>
          <w:rtl w:val="0"/>
        </w:rPr>
        <w:t xml:space="preserve"> In the rapid analysis, with respect to KM-GBF Target 7, it is noted that Target 7  </w:t>
      </w:r>
      <w:r w:rsidDel="00000000" w:rsidR="00000000" w:rsidRPr="00000000">
        <w:rPr>
          <w:rFonts w:ascii="Lato" w:cs="Lato" w:eastAsia="Lato" w:hAnsi="Lato"/>
          <w:i w:val="1"/>
          <w:iCs w:val="1"/>
          <w:rtl w:val="0"/>
        </w:rPr>
        <w:t xml:space="preserve">“is addressed overall in a limited manner” </w:t>
      </w:r>
      <w:r w:rsidDel="00000000" w:rsidR="00000000" w:rsidRPr="00000000">
        <w:rPr>
          <w:rFonts w:ascii="Lato" w:cs="Lato" w:eastAsia="Lato" w:hAnsi="Lato"/>
          <w:rtl w:val="0"/>
        </w:rPr>
        <w:t xml:space="preserve">(despite no inclusion of “pollution”),</w:t>
      </w: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rtl w:val="0"/>
        </w:rPr>
        <w:t xml:space="preserve">and with respect to Target 8, a recent WCS-led </w:t>
      </w:r>
      <w:hyperlink r:id="rId9">
        <w:r w:rsidDel="00000000" w:rsidR="00000000" w:rsidRPr="00000000">
          <w:rPr>
            <w:rFonts w:ascii="Lato" w:cs="Lato" w:eastAsia="Lato" w:hAnsi="Lato"/>
            <w:color w:val="1155cc"/>
            <w:u w:val="single"/>
            <w:rtl w:val="0"/>
          </w:rPr>
          <w:t xml:space="preserve">study</w:t>
        </w:r>
      </w:hyperlink>
      <w:r w:rsidDel="00000000" w:rsidR="00000000" w:rsidRPr="00000000">
        <w:rPr>
          <w:rFonts w:ascii="Lato" w:cs="Lato" w:eastAsia="Lato" w:hAnsi="Lato"/>
          <w:rtl w:val="0"/>
        </w:rPr>
        <w:t xml:space="preserve"> found weak correlation between area-based conservation strategies and those for ecosystem-based climate adaptation in coastal, coral reef environments. We recognize that there will be several programs of work, including on topics such as climate change. However, the POW can identify specific actions that can be scaled rapidly across PA systems (i.e., within 4 years). Climate was weakly represented in the existing program of work, but there is an opportunity to strengthen existing Activity 1.4.5 </w:t>
      </w:r>
      <w:r w:rsidDel="00000000" w:rsidR="00000000" w:rsidRPr="00000000">
        <w:rPr>
          <w:rFonts w:ascii="Lato" w:cs="Lato" w:eastAsia="Lato" w:hAnsi="Lato"/>
          <w:i w:val="1"/>
          <w:iCs w:val="1"/>
          <w:rtl w:val="0"/>
        </w:rPr>
        <w:t xml:space="preserve">“Integrate climate change adaptation measures in protected area planning, management strategies, and in the design of protected area systems.”</w:t>
      </w:r>
    </w:p>
    <w:p w:rsidR="00000000" w:rsidDel="00000000" w:rsidP="00000000" w:rsidRDefault="00000000" w:rsidRPr="00000000" w14:paraId="0000000C">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0D">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0E">
      <w:pPr>
        <w:spacing w:line="240" w:lineRule="auto"/>
        <w:rPr>
          <w:rFonts w:ascii="Lato" w:cs="Lato" w:eastAsia="Lato" w:hAnsi="Lato"/>
          <w:b w:val="1"/>
          <w:bCs w:val="1"/>
          <w:i w:val="1"/>
          <w:iCs w:val="1"/>
          <w:color w:val="666666"/>
        </w:rPr>
      </w:pPr>
      <w:r w:rsidDel="00000000" w:rsidR="00000000" w:rsidRPr="00000000">
        <w:rPr>
          <w:rFonts w:ascii="Lato" w:cs="Lato" w:eastAsia="Lato" w:hAnsi="Lato"/>
          <w:b w:val="1"/>
          <w:bCs w:val="1"/>
          <w:i w:val="1"/>
          <w:iCs w:val="1"/>
          <w:color w:val="666666"/>
          <w:rtl w:val="0"/>
        </w:rPr>
        <w:t xml:space="preserve">SCBD: “How could the approach to implementing the Programme of Work be revised to better contribute to achieving Target 3 of the Kunming–Montreal Global Biodiversity Framework? In your response, consider potential actors and timeframes. “</w:t>
      </w:r>
    </w:p>
    <w:p w:rsidR="00000000" w:rsidDel="00000000" w:rsidP="00000000" w:rsidRDefault="00000000" w:rsidRPr="00000000" w14:paraId="0000000F">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10">
      <w:pPr>
        <w:numPr>
          <w:ilvl w:val="0"/>
          <w:numId w:val="2"/>
        </w:numPr>
        <w:spacing w:line="240" w:lineRule="auto"/>
        <w:ind w:left="720" w:hanging="360"/>
        <w:rPr>
          <w:rFonts w:ascii="Lato" w:cs="Lato" w:eastAsia="Lato" w:hAnsi="Lato"/>
        </w:rPr>
      </w:pPr>
      <w:r w:rsidDel="00000000" w:rsidR="00000000" w:rsidRPr="00000000">
        <w:rPr>
          <w:rFonts w:ascii="Lato" w:cs="Lato" w:eastAsia="Lato" w:hAnsi="Lato"/>
          <w:rtl w:val="0"/>
        </w:rPr>
        <w:t xml:space="preserve">Additional resources should complement the rapid gap analysis. A 2021 Protected Planet </w:t>
      </w:r>
      <w:hyperlink r:id="rId10">
        <w:r w:rsidDel="00000000" w:rsidR="00000000" w:rsidRPr="00000000">
          <w:rPr>
            <w:rFonts w:ascii="Lato" w:cs="Lato" w:eastAsia="Lato" w:hAnsi="Lato"/>
            <w:color w:val="1155cc"/>
            <w:u w:val="single"/>
            <w:rtl w:val="0"/>
          </w:rPr>
          <w:t xml:space="preserve">analysis</w:t>
        </w:r>
      </w:hyperlink>
      <w:r w:rsidDel="00000000" w:rsidR="00000000" w:rsidRPr="00000000">
        <w:rPr>
          <w:rFonts w:ascii="Lato" w:cs="Lato" w:eastAsia="Lato" w:hAnsi="Lato"/>
          <w:rtl w:val="0"/>
        </w:rPr>
        <w:t xml:space="preserve"> noted a significant opportunity of recognizing the existing efforts and success of Indigenous Peoples, local communities, private landowners, and more. We agree, and believe that the IUCN World Commission on Protected Areas could organize activities around such opportunities. However, there are also areas that deliver </w:t>
      </w:r>
      <w:r w:rsidDel="00000000" w:rsidR="00000000" w:rsidRPr="00000000">
        <w:rPr>
          <w:rFonts w:ascii="Lato" w:cs="Lato" w:eastAsia="Lato" w:hAnsi="Lato"/>
          <w:i w:val="1"/>
          <w:iCs w:val="1"/>
          <w:rtl w:val="0"/>
        </w:rPr>
        <w:t xml:space="preserve">some</w:t>
      </w:r>
      <w:r w:rsidDel="00000000" w:rsidR="00000000" w:rsidRPr="00000000">
        <w:rPr>
          <w:rFonts w:ascii="Lato" w:cs="Lato" w:eastAsia="Lato" w:hAnsi="Lato"/>
          <w:rtl w:val="0"/>
        </w:rPr>
        <w:t xml:space="preserve"> conservation benefits but which could provide more holistic, ecosystem-wide benefits with select, additional changes to policy or practice. This is an important opportunity. A new programme of work should avoid overcomplicating the interpretation of protected and conserved areas to engage in overly inclusive accounting exercises that dilute the credibility of Target 3. The areas counting towards 30x30 should provide demonstrable contributions towards KM-GBF Goals, including improvements to overall ecological integrity, connectivity and resilience (Goal A). The tie-in to delivering on biodiversity status indicators under Goal A is critical.  </w:t>
      </w:r>
    </w:p>
    <w:p w:rsidR="00000000" w:rsidDel="00000000" w:rsidP="00000000" w:rsidRDefault="00000000" w:rsidRPr="00000000" w14:paraId="00000011">
      <w:pPr>
        <w:spacing w:line="240"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12">
      <w:pPr>
        <w:numPr>
          <w:ilvl w:val="0"/>
          <w:numId w:val="2"/>
        </w:numPr>
        <w:spacing w:line="240" w:lineRule="auto"/>
        <w:ind w:left="720" w:hanging="360"/>
        <w:rPr>
          <w:rFonts w:ascii="Lato" w:cs="Lato" w:eastAsia="Lato" w:hAnsi="Lato"/>
        </w:rPr>
      </w:pPr>
      <w:r w:rsidDel="00000000" w:rsidR="00000000" w:rsidRPr="00000000">
        <w:rPr>
          <w:rFonts w:ascii="Lato" w:cs="Lato" w:eastAsia="Lato" w:hAnsi="Lato"/>
          <w:rtl w:val="0"/>
        </w:rPr>
        <w:t xml:space="preserve">Greater consistency among national approaches to key, purposefully ambiguous phrases such as important areas for biodiversity, connectivity, and representativeness will help the international community evaluate progress and credibility of our actions under Target 3.  With full respect for national sovereignty in choosing exactly how to deliver Targets at the national level, we believe that POWPA investment in multi-organizational partnerships with Party support, including the Key Biodiversity Areas Partnership, IUCN efforts and products such as the Red List of Ecosystems and the Global Ecosystem Typology, and a variety of IUCN WCPA interpretative resources and guidance, should continue to remain a focus.</w:t>
      </w:r>
    </w:p>
    <w:p w:rsidR="00000000" w:rsidDel="00000000" w:rsidP="00000000" w:rsidRDefault="00000000" w:rsidRPr="00000000" w14:paraId="00000013">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14">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15">
      <w:pPr>
        <w:spacing w:line="240" w:lineRule="auto"/>
        <w:rPr>
          <w:rFonts w:ascii="Lato" w:cs="Lato" w:eastAsia="Lato" w:hAnsi="Lato"/>
          <w:b w:val="1"/>
          <w:bCs w:val="1"/>
          <w:i w:val="1"/>
          <w:iCs w:val="1"/>
          <w:color w:val="666666"/>
        </w:rPr>
      </w:pPr>
      <w:r w:rsidDel="00000000" w:rsidR="00000000" w:rsidRPr="00000000">
        <w:rPr>
          <w:rFonts w:ascii="Lato" w:cs="Lato" w:eastAsia="Lato" w:hAnsi="Lato"/>
          <w:b w:val="1"/>
          <w:bCs w:val="1"/>
          <w:i w:val="1"/>
          <w:iCs w:val="1"/>
          <w:color w:val="666666"/>
          <w:rtl w:val="0"/>
        </w:rPr>
        <w:t xml:space="preserve">SCBD: Which goals, targets, or activities of the Programme of Work should be prioritized to support national implementation of the Framework by 2030?</w:t>
      </w:r>
    </w:p>
    <w:p w:rsidR="00000000" w:rsidDel="00000000" w:rsidP="00000000" w:rsidRDefault="00000000" w:rsidRPr="00000000" w14:paraId="00000016">
      <w:pPr>
        <w:spacing w:line="240" w:lineRule="auto"/>
        <w:rPr>
          <w:rFonts w:ascii="Lato" w:cs="Lato" w:eastAsia="Lato" w:hAnsi="Lato"/>
        </w:rPr>
      </w:pPr>
      <w:r w:rsidDel="00000000" w:rsidR="00000000" w:rsidRPr="00000000">
        <w:rPr>
          <w:rtl w:val="0"/>
        </w:rPr>
      </w:r>
    </w:p>
    <w:p w:rsidR="00000000" w:rsidDel="00000000" w:rsidP="00000000" w:rsidRDefault="00000000" w:rsidRPr="00000000" w14:paraId="00000017">
      <w:pPr>
        <w:numPr>
          <w:ilvl w:val="0"/>
          <w:numId w:val="3"/>
        </w:numPr>
        <w:spacing w:line="240" w:lineRule="auto"/>
        <w:ind w:left="720" w:hanging="360"/>
        <w:rPr>
          <w:rFonts w:ascii="Lato" w:cs="Lato" w:eastAsia="Lato" w:hAnsi="Lato"/>
        </w:rPr>
      </w:pPr>
      <w:r w:rsidDel="00000000" w:rsidR="00000000" w:rsidRPr="00000000">
        <w:rPr>
          <w:rFonts w:ascii="Lato" w:cs="Lato" w:eastAsia="Lato" w:hAnsi="Lato"/>
          <w:rtl w:val="0"/>
        </w:rPr>
        <w:t xml:space="preserve">We strongly support continued consideration of current POW Goal 3.1: </w:t>
      </w:r>
      <w:r w:rsidDel="00000000" w:rsidR="00000000" w:rsidRPr="00000000">
        <w:rPr>
          <w:rFonts w:ascii="Lato" w:cs="Lato" w:eastAsia="Lato" w:hAnsi="Lato"/>
          <w:i w:val="1"/>
          <w:iCs w:val="1"/>
          <w:rtl w:val="0"/>
        </w:rPr>
        <w:t xml:space="preserve">“To provide an enabling policy, institutional and socio-economic environment for protected areas.” </w:t>
      </w:r>
      <w:r w:rsidDel="00000000" w:rsidR="00000000" w:rsidRPr="00000000">
        <w:rPr>
          <w:rFonts w:ascii="Lato" w:cs="Lato" w:eastAsia="Lato" w:hAnsi="Lato"/>
          <w:rtl w:val="0"/>
        </w:rPr>
        <w:t xml:space="preserve">Cultivating and maintaining high-level political will for protected and conserved areas is critical to generate funding and ensure robust and sustainable management, and conservation outcomes. The CBD as a forum and through its Secretariat, including through partnerships with the CBD Parties in the High Ambition Coalition for Nature and People (HAC N&amp;P), the IUCN, and others can assist with this – particularly through representation and engagement with non-‘biodiversity’ fora. </w:t>
      </w:r>
    </w:p>
    <w:p w:rsidR="00000000" w:rsidDel="00000000" w:rsidP="00000000" w:rsidRDefault="00000000" w:rsidRPr="00000000" w14:paraId="00000018">
      <w:pPr>
        <w:spacing w:line="240"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19">
      <w:pPr>
        <w:numPr>
          <w:ilvl w:val="0"/>
          <w:numId w:val="3"/>
        </w:numPr>
        <w:spacing w:line="240" w:lineRule="auto"/>
        <w:ind w:left="720" w:hanging="360"/>
        <w:rPr>
          <w:rFonts w:ascii="Lato" w:cs="Lato" w:eastAsia="Lato" w:hAnsi="Lato"/>
          <w:u w:val="none"/>
        </w:rPr>
      </w:pPr>
      <w:r w:rsidDel="00000000" w:rsidR="00000000" w:rsidRPr="00000000">
        <w:rPr>
          <w:rFonts w:ascii="Lato" w:cs="Lato" w:eastAsia="Lato" w:hAnsi="Lato"/>
          <w:rtl w:val="0"/>
        </w:rPr>
        <w:t xml:space="preserve">We support continued consideration of current POW Goal 1.3: </w:t>
      </w:r>
      <w:r w:rsidDel="00000000" w:rsidR="00000000" w:rsidRPr="00000000">
        <w:rPr>
          <w:rFonts w:ascii="Lato" w:cs="Lato" w:eastAsia="Lato" w:hAnsi="Lato"/>
          <w:i w:val="1"/>
          <w:iCs w:val="1"/>
          <w:rtl w:val="0"/>
        </w:rPr>
        <w:t xml:space="preserve">“To establish and strengthen regional networks, transboundary protected areas (TBPAs) and collaboration between neighbouring protected areas across national boundaries.”</w:t>
      </w:r>
      <w:r w:rsidDel="00000000" w:rsidR="00000000" w:rsidRPr="00000000">
        <w:rPr>
          <w:rFonts w:ascii="Lato" w:cs="Lato" w:eastAsia="Lato" w:hAnsi="Lato"/>
          <w:rtl w:val="0"/>
        </w:rPr>
        <w:t xml:space="preserve"> We recommend a focus in particular on regional networks, and we draw attention to examples at the regional and sub-regional scales such as work in the </w:t>
      </w:r>
      <w:hyperlink r:id="rId11">
        <w:r w:rsidDel="00000000" w:rsidR="00000000" w:rsidRPr="00000000">
          <w:rPr>
            <w:rFonts w:ascii="Lato" w:cs="Lato" w:eastAsia="Lato" w:hAnsi="Lato"/>
            <w:color w:val="1155cc"/>
            <w:u w:val="single"/>
            <w:rtl w:val="0"/>
          </w:rPr>
          <w:t xml:space="preserve">Congo Basin</w:t>
        </w:r>
      </w:hyperlink>
      <w:r w:rsidDel="00000000" w:rsidR="00000000" w:rsidRPr="00000000">
        <w:rPr>
          <w:rFonts w:ascii="Lato" w:cs="Lato" w:eastAsia="Lato" w:hAnsi="Lato"/>
          <w:rtl w:val="0"/>
        </w:rPr>
        <w:t xml:space="preserve"> that leads to </w:t>
      </w:r>
      <w:hyperlink r:id="rId12">
        <w:r w:rsidDel="00000000" w:rsidR="00000000" w:rsidRPr="00000000">
          <w:rPr>
            <w:rFonts w:ascii="Lato" w:cs="Lato" w:eastAsia="Lato" w:hAnsi="Lato"/>
            <w:color w:val="1155cc"/>
            <w:u w:val="single"/>
            <w:rtl w:val="0"/>
          </w:rPr>
          <w:t xml:space="preserve">national</w:t>
        </w:r>
      </w:hyperlink>
      <w:r w:rsidDel="00000000" w:rsidR="00000000" w:rsidRPr="00000000">
        <w:rPr>
          <w:rFonts w:ascii="Lato" w:cs="Lato" w:eastAsia="Lato" w:hAnsi="Lato"/>
          <w:rtl w:val="0"/>
        </w:rPr>
        <w:t xml:space="preserve"> policy change, and work in shared seas or ocean basins such as the cooperation among </w:t>
      </w:r>
      <w:hyperlink r:id="rId13">
        <w:r w:rsidDel="00000000" w:rsidR="00000000" w:rsidRPr="00000000">
          <w:rPr>
            <w:rFonts w:ascii="Lato" w:cs="Lato" w:eastAsia="Lato" w:hAnsi="Lato"/>
            <w:color w:val="1155cc"/>
            <w:u w:val="single"/>
            <w:rtl w:val="0"/>
          </w:rPr>
          <w:t xml:space="preserve">Caribbean</w:t>
        </w:r>
      </w:hyperlink>
      <w:r w:rsidDel="00000000" w:rsidR="00000000" w:rsidRPr="00000000">
        <w:rPr>
          <w:rFonts w:ascii="Lato" w:cs="Lato" w:eastAsia="Lato" w:hAnsi="Lato"/>
          <w:rtl w:val="0"/>
        </w:rPr>
        <w:t xml:space="preserve"> countries. While various regional fora will be well positioned to contribute in this regard, the CBD’s POW can convene these sub-regional networks at the global level to maximize impacts. </w:t>
      </w:r>
      <w:r w:rsidDel="00000000" w:rsidR="00000000" w:rsidRPr="00000000">
        <w:rPr>
          <w:rtl w:val="0"/>
        </w:rPr>
      </w:r>
    </w:p>
    <w:p w:rsidR="00000000" w:rsidDel="00000000" w:rsidP="00000000" w:rsidRDefault="00000000" w:rsidRPr="00000000" w14:paraId="0000001A">
      <w:pPr>
        <w:spacing w:line="240"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1B">
      <w:pPr>
        <w:numPr>
          <w:ilvl w:val="0"/>
          <w:numId w:val="3"/>
        </w:numPr>
        <w:spacing w:line="240" w:lineRule="auto"/>
        <w:ind w:left="720" w:hanging="360"/>
        <w:rPr>
          <w:rFonts w:ascii="Lato" w:cs="Lato" w:eastAsia="Lato" w:hAnsi="Lato"/>
          <w:u w:val="none"/>
        </w:rPr>
      </w:pPr>
      <w:r w:rsidDel="00000000" w:rsidR="00000000" w:rsidRPr="00000000">
        <w:rPr>
          <w:rFonts w:ascii="Lato" w:cs="Lato" w:eastAsia="Lato" w:hAnsi="Lato"/>
          <w:rtl w:val="0"/>
        </w:rPr>
        <w:t xml:space="preserve">We also strongly support continued emphasis on current POW Goal 4.4: </w:t>
      </w:r>
      <w:r w:rsidDel="00000000" w:rsidR="00000000" w:rsidRPr="00000000">
        <w:rPr>
          <w:rFonts w:ascii="Lato" w:cs="Lato" w:eastAsia="Lato" w:hAnsi="Lato"/>
          <w:i w:val="1"/>
          <w:iCs w:val="1"/>
          <w:rtl w:val="0"/>
        </w:rPr>
        <w:t xml:space="preserve">“To ensure that scientific knowledge contributes to the establishment and effectiveness of protected areas and protected area Systems.”</w:t>
      </w:r>
      <w:r w:rsidDel="00000000" w:rsidR="00000000" w:rsidRPr="00000000">
        <w:rPr>
          <w:rFonts w:ascii="Lato" w:cs="Lato" w:eastAsia="Lato" w:hAnsi="Lato"/>
          <w:rtl w:val="0"/>
        </w:rPr>
        <w:t xml:space="preserve"> As noted above, efforts under Target 3 should demonstrably deliver against the 2050 Goals of the KM-GBF, including contributing to improvements in overall ecological integrity, connectivity, and resilience. Unfortunately, efforts under global targets are often fragmented, with poor coordination on planning for larger or transboundary ecological integrity or weak monitoring programs that examine biodiversity attributes in isolation. A revised POWPA can tackle this problem head on, which would be squarely within the mandate of a global coordination body that convenes a scientific subsidiary body. </w:t>
      </w:r>
      <w:r w:rsidDel="00000000" w:rsidR="00000000" w:rsidRPr="00000000">
        <w:rPr>
          <w:rtl w:val="0"/>
        </w:rPr>
      </w:r>
    </w:p>
    <w:sectPr>
      <w:headerReference r:id="rId1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ezosearthfund.org/grants/advancing-key-biodiversity-areas-congo-basin" TargetMode="External"/><Relationship Id="rId10" Type="http://schemas.openxmlformats.org/officeDocument/2006/relationships/hyperlink" Target="https://protectedplanetreport2020.protectedplanet.net/chapter-11" TargetMode="External"/><Relationship Id="rId13" Type="http://schemas.openxmlformats.org/officeDocument/2006/relationships/hyperlink" Target="https://caribbean30x30.org/" TargetMode="External"/><Relationship Id="rId12" Type="http://schemas.openxmlformats.org/officeDocument/2006/relationships/hyperlink" Target="https://newsroom.wcs.org/News-Releases/articleType/ArticleView/articleId/25247/The-Republic-of-Congo-Adopts-Congo-Basins-First-Guidelines-to-Strengthen-Biodiversity-Conservation-Through-Other-Effective-Conservation-Measures-OECMs.asp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the-ocean.org/now-or-never-collective-action-is-vital-to-protect-coral-reefs/" TargetMode="Externa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mailto:adegemmis@wcs.org" TargetMode="External"/><Relationship Id="rId7" Type="http://schemas.openxmlformats.org/officeDocument/2006/relationships/hyperlink" Target="https://openknowledge.fao.org/items/a6d2fcd6-76ff-4535-96f8-73d706380bc7" TargetMode="External"/><Relationship Id="rId8" Type="http://schemas.openxmlformats.org/officeDocument/2006/relationships/hyperlink" Target="https://protectedplanetreport2020.protectedplanet.net/chapter-1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