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Cambria" w:hAnsi="Cambria"/>
          <w:i w:val="0"/>
          <w:color w:val="auto"/>
          <w:sz w:val="22"/>
          <w:szCs w:val="22"/>
        </w:rPr>
      </w:pPr>
      <w:bookmarkStart w:id="0" w:name="_GoBack"/>
      <w:r>
        <w:rPr>
          <w:rFonts w:ascii="Cambria" w:hAnsi="Cambria"/>
          <w:i w:val="0"/>
          <w:color w:val="auto"/>
          <w:sz w:val="22"/>
          <w:szCs w:val="22"/>
        </w:rPr>
        <w:t xml:space="preserve">Determination of the Safety of </w:t>
      </w:r>
      <w:r>
        <w:rPr>
          <w:rFonts w:ascii="Cambria" w:hAnsi="Cambria"/>
          <w:i w:val="0"/>
          <w:color w:val="auto"/>
          <w:sz w:val="22"/>
          <w:szCs w:val="22"/>
          <w:lang w:val="en-PH"/>
        </w:rPr>
        <w:t>BASF</w:t>
      </w:r>
      <w:r>
        <w:rPr>
          <w:rFonts w:ascii="Cambria" w:hAnsi="Cambria"/>
          <w:i w:val="0"/>
          <w:color w:val="auto"/>
          <w:sz w:val="22"/>
          <w:szCs w:val="22"/>
        </w:rPr>
        <w:t>’s</w:t>
      </w:r>
    </w:p>
    <w:p>
      <w:pPr>
        <w:pBdr>
          <w:bottom w:val="single" w:color="auto" w:sz="12" w:space="1"/>
        </w:pBdr>
        <w:jc w:val="center"/>
        <w:rPr>
          <w:rFonts w:ascii="Cambria" w:hAnsi="Cambria"/>
          <w:i w:val="0"/>
          <w:color w:val="auto"/>
          <w:sz w:val="22"/>
          <w:szCs w:val="22"/>
          <w:lang w:val="en-PH"/>
        </w:rPr>
      </w:pPr>
      <w:r>
        <w:rPr>
          <w:rFonts w:ascii="Cambria" w:hAnsi="Cambria"/>
          <w:i w:val="0"/>
          <w:color w:val="auto"/>
          <w:sz w:val="22"/>
          <w:szCs w:val="22"/>
          <w:lang w:val="en-PH"/>
        </w:rPr>
        <w:t>Oilseed Rape MS8</w:t>
      </w:r>
    </w:p>
    <w:p>
      <w:pPr>
        <w:pBdr>
          <w:bottom w:val="single" w:color="auto" w:sz="12" w:space="1"/>
        </w:pBdr>
        <w:jc w:val="center"/>
        <w:rPr>
          <w:rFonts w:ascii="Cambria" w:hAnsi="Cambria"/>
          <w:b w:val="0"/>
          <w:i w:val="0"/>
          <w:color w:val="auto"/>
          <w:sz w:val="22"/>
          <w:szCs w:val="22"/>
        </w:rPr>
      </w:pPr>
      <w:r>
        <w:rPr>
          <w:rFonts w:ascii="Cambria" w:hAnsi="Cambria"/>
          <w:i w:val="0"/>
          <w:color w:val="auto"/>
          <w:sz w:val="22"/>
          <w:szCs w:val="22"/>
        </w:rPr>
        <w:t>for Direct use as Food, Feed, or Processing</w:t>
      </w:r>
    </w:p>
    <w:p>
      <w:pPr>
        <w:spacing w:after="40"/>
        <w:jc w:val="both"/>
        <w:rPr>
          <w:rFonts w:ascii="Cambria" w:hAnsi="Cambria"/>
          <w:i w:val="0"/>
          <w:color w:val="auto"/>
          <w:sz w:val="22"/>
          <w:szCs w:val="22"/>
        </w:rPr>
      </w:pPr>
    </w:p>
    <w:p>
      <w:pPr>
        <w:spacing w:after="40"/>
        <w:jc w:val="both"/>
        <w:rPr>
          <w:rFonts w:ascii="Cambria" w:hAnsi="Cambria"/>
          <w:b w:val="0"/>
          <w:i w:val="0"/>
          <w:color w:val="auto"/>
          <w:sz w:val="22"/>
          <w:szCs w:val="22"/>
        </w:rPr>
      </w:pPr>
      <w:r>
        <w:rPr>
          <w:rFonts w:ascii="Cambria" w:hAnsi="Cambria"/>
          <w:b w:val="0"/>
          <w:i w:val="0"/>
          <w:color w:val="auto"/>
          <w:sz w:val="22"/>
          <w:szCs w:val="22"/>
        </w:rPr>
        <w:t xml:space="preserve">The product dossier of </w:t>
      </w:r>
      <w:r>
        <w:rPr>
          <w:rFonts w:ascii="Cambria" w:hAnsi="Cambria"/>
          <w:b w:val="0"/>
          <w:i w:val="0"/>
          <w:color w:val="auto"/>
          <w:sz w:val="22"/>
          <w:szCs w:val="22"/>
          <w:lang w:val="en-US"/>
        </w:rPr>
        <w:t>BASF Philippines</w:t>
      </w:r>
      <w:r>
        <w:rPr>
          <w:rFonts w:ascii="Cambria" w:hAnsi="Cambria"/>
          <w:b w:val="0"/>
          <w:i w:val="0"/>
          <w:color w:val="auto"/>
          <w:sz w:val="22"/>
          <w:szCs w:val="22"/>
        </w:rPr>
        <w:t xml:space="preserve">’ </w:t>
      </w:r>
      <w:r>
        <w:rPr>
          <w:rFonts w:ascii="Cambria" w:hAnsi="Cambria"/>
          <w:b w:val="0"/>
          <w:i w:val="0"/>
          <w:color w:val="auto"/>
          <w:sz w:val="22"/>
          <w:szCs w:val="22"/>
          <w:lang w:val="en-PH"/>
        </w:rPr>
        <w:t>oilseed rape MS8</w:t>
      </w:r>
      <w:r>
        <w:rPr>
          <w:rFonts w:ascii="Cambria" w:hAnsi="Cambria"/>
          <w:b w:val="0"/>
          <w:i w:val="0"/>
          <w:color w:val="auto"/>
          <w:sz w:val="22"/>
          <w:szCs w:val="22"/>
        </w:rPr>
        <w:t xml:space="preserve"> was reviewed for safety and nutritional differences compared to the conventional </w:t>
      </w:r>
      <w:r>
        <w:rPr>
          <w:rFonts w:ascii="Cambria" w:hAnsi="Cambria"/>
          <w:b w:val="0"/>
          <w:i w:val="0"/>
          <w:color w:val="auto"/>
          <w:sz w:val="22"/>
          <w:szCs w:val="22"/>
          <w:lang w:val="en-PH"/>
        </w:rPr>
        <w:t>oilseed rape</w:t>
      </w:r>
      <w:r>
        <w:rPr>
          <w:rFonts w:ascii="Cambria" w:hAnsi="Cambria"/>
          <w:b w:val="0"/>
          <w:i w:val="0"/>
          <w:color w:val="auto"/>
          <w:sz w:val="22"/>
          <w:szCs w:val="22"/>
        </w:rPr>
        <w:t xml:space="preserve">. The focus of the food/feed safety assessment is based on the following issues: (a) the nature of the genetic modification; (b) novel protein expression; (c) </w:t>
      </w:r>
      <w:r>
        <w:rPr>
          <w:rFonts w:ascii="Cambria" w:hAnsi="Cambria"/>
          <w:b w:val="0"/>
          <w:i w:val="0"/>
          <w:iCs/>
          <w:color w:val="auto"/>
          <w:sz w:val="22"/>
          <w:szCs w:val="22"/>
        </w:rPr>
        <w:t>in vitro</w:t>
      </w:r>
      <w:r>
        <w:rPr>
          <w:rFonts w:ascii="Cambria" w:hAnsi="Cambria"/>
          <w:b w:val="0"/>
          <w:i w:val="0"/>
          <w:color w:val="auto"/>
          <w:sz w:val="22"/>
          <w:szCs w:val="22"/>
        </w:rPr>
        <w:t xml:space="preserve"> digestibility; (d) toxicological assessment; (e) allergenic potential; and (f) compositional and nutritional assessment.</w:t>
      </w:r>
    </w:p>
    <w:p>
      <w:pPr>
        <w:pStyle w:val="4"/>
        <w:spacing w:after="40"/>
        <w:ind w:left="360"/>
        <w:rPr>
          <w:rFonts w:ascii="Cambria" w:hAnsi="Cambria"/>
          <w:color w:val="auto"/>
          <w:sz w:val="22"/>
          <w:szCs w:val="22"/>
        </w:rPr>
      </w:pPr>
    </w:p>
    <w:p>
      <w:pPr>
        <w:jc w:val="both"/>
        <w:rPr>
          <w:rFonts w:ascii="Cambria" w:hAnsi="Cambria"/>
          <w:b w:val="0"/>
          <w:i w:val="0"/>
          <w:color w:val="auto"/>
          <w:sz w:val="22"/>
          <w:szCs w:val="22"/>
        </w:rPr>
      </w:pPr>
      <w:r>
        <w:rPr>
          <w:rFonts w:ascii="Cambria" w:hAnsi="Cambria"/>
          <w:b w:val="0"/>
          <w:i w:val="0"/>
          <w:color w:val="auto"/>
          <w:sz w:val="22"/>
          <w:szCs w:val="22"/>
        </w:rPr>
        <w:t xml:space="preserve">A biosafety permit for </w:t>
      </w:r>
      <w:r>
        <w:rPr>
          <w:rFonts w:ascii="Cambria" w:hAnsi="Cambria"/>
          <w:b w:val="0"/>
          <w:i w:val="0"/>
          <w:color w:val="auto"/>
          <w:sz w:val="22"/>
          <w:szCs w:val="22"/>
          <w:lang w:val="en-PH"/>
        </w:rPr>
        <w:t>oilseed rape MS8</w:t>
      </w:r>
      <w:r>
        <w:rPr>
          <w:rFonts w:ascii="Cambria" w:hAnsi="Cambria"/>
          <w:b w:val="0"/>
          <w:i w:val="0"/>
          <w:color w:val="auto"/>
          <w:sz w:val="22"/>
          <w:szCs w:val="22"/>
        </w:rPr>
        <w:t xml:space="preserve"> and all progenies derived from crosses of the product with any conventionally bred </w:t>
      </w:r>
      <w:r>
        <w:rPr>
          <w:rFonts w:ascii="Cambria" w:hAnsi="Cambria"/>
          <w:b w:val="0"/>
          <w:i w:val="0"/>
          <w:color w:val="auto"/>
          <w:sz w:val="22"/>
          <w:szCs w:val="22"/>
          <w:lang w:val="en-PH"/>
        </w:rPr>
        <w:t>oilseed rape</w:t>
      </w:r>
      <w:r>
        <w:rPr>
          <w:rFonts w:ascii="Cambria" w:hAnsi="Cambria"/>
          <w:b w:val="0"/>
          <w:i w:val="0"/>
          <w:color w:val="auto"/>
          <w:sz w:val="22"/>
          <w:szCs w:val="22"/>
        </w:rPr>
        <w:t xml:space="preserve"> and </w:t>
      </w:r>
      <w:r>
        <w:rPr>
          <w:rFonts w:ascii="Cambria" w:hAnsi="Cambria"/>
          <w:b w:val="0"/>
          <w:i w:val="0"/>
          <w:color w:val="auto"/>
          <w:sz w:val="22"/>
          <w:szCs w:val="22"/>
          <w:lang w:val="en-PH"/>
        </w:rPr>
        <w:t>oilseed rape</w:t>
      </w:r>
      <w:r>
        <w:rPr>
          <w:rFonts w:ascii="Cambria" w:hAnsi="Cambria"/>
          <w:b w:val="0"/>
          <w:i w:val="0"/>
          <w:color w:val="auto"/>
          <w:sz w:val="22"/>
          <w:szCs w:val="22"/>
        </w:rPr>
        <w:t xml:space="preserve"> containing approved-biotech events for direct use as food, feed or for processing, was issued to </w:t>
      </w:r>
      <w:r>
        <w:rPr>
          <w:rFonts w:ascii="Cambria" w:hAnsi="Cambria"/>
          <w:b w:val="0"/>
          <w:i w:val="0"/>
          <w:color w:val="auto"/>
          <w:sz w:val="22"/>
          <w:szCs w:val="22"/>
          <w:lang w:val="en-US"/>
        </w:rPr>
        <w:t>BASF</w:t>
      </w:r>
      <w:r>
        <w:rPr>
          <w:rFonts w:ascii="Cambria" w:hAnsi="Cambria"/>
          <w:b w:val="0"/>
          <w:i w:val="0"/>
          <w:color w:val="auto"/>
          <w:sz w:val="22"/>
          <w:szCs w:val="22"/>
        </w:rPr>
        <w:t xml:space="preserve"> Philippines Inc. on </w:t>
      </w:r>
      <w:r>
        <w:rPr>
          <w:rFonts w:ascii="Cambria" w:hAnsi="Cambria"/>
          <w:b w:val="0"/>
          <w:i w:val="0"/>
          <w:color w:val="auto"/>
          <w:sz w:val="22"/>
          <w:szCs w:val="22"/>
          <w:lang w:val="en-PH"/>
        </w:rPr>
        <w:t>November 21</w:t>
      </w:r>
      <w:r>
        <w:rPr>
          <w:rFonts w:ascii="Cambria" w:hAnsi="Cambria"/>
          <w:b w:val="0"/>
          <w:i w:val="0"/>
          <w:color w:val="auto"/>
          <w:sz w:val="22"/>
          <w:szCs w:val="22"/>
        </w:rPr>
        <w:t xml:space="preserve">, 2018. The permit is valid for five years and shall expire on </w:t>
      </w:r>
      <w:r>
        <w:rPr>
          <w:rFonts w:ascii="Cambria" w:hAnsi="Cambria"/>
          <w:b w:val="0"/>
          <w:i w:val="0"/>
          <w:color w:val="auto"/>
          <w:sz w:val="22"/>
          <w:szCs w:val="22"/>
          <w:lang w:val="en-PH"/>
        </w:rPr>
        <w:t>November 20</w:t>
      </w:r>
      <w:r>
        <w:rPr>
          <w:rFonts w:ascii="Cambria" w:hAnsi="Cambria"/>
          <w:b w:val="0"/>
          <w:i w:val="0"/>
          <w:color w:val="auto"/>
          <w:sz w:val="22"/>
          <w:szCs w:val="22"/>
        </w:rPr>
        <w:t>, 2023 subject to the terms and conditions set forth in DOST-DA-DENR-DOH-DILG Joint Department Circular No. 1 series of 2016. The said product was included in the Lists of Approval Registry being prepared by the Department of Agriculture – Bureau of Plant Industry.</w:t>
      </w:r>
    </w:p>
    <w:p>
      <w:pPr>
        <w:spacing w:after="40"/>
        <w:ind w:left="360"/>
        <w:jc w:val="both"/>
        <w:rPr>
          <w:rFonts w:ascii="Cambria" w:hAnsi="Cambria"/>
          <w:b w:val="0"/>
          <w:i w:val="0"/>
          <w:color w:val="auto"/>
          <w:sz w:val="22"/>
          <w:szCs w:val="22"/>
        </w:rPr>
      </w:pPr>
    </w:p>
    <w:p>
      <w:pPr>
        <w:pBdr>
          <w:bottom w:val="single" w:color="auto" w:sz="12" w:space="1"/>
        </w:pBdr>
        <w:spacing w:after="40"/>
        <w:jc w:val="both"/>
        <w:rPr>
          <w:rFonts w:ascii="Cambria" w:hAnsi="Cambria"/>
          <w:b w:val="0"/>
          <w:color w:val="auto"/>
          <w:sz w:val="22"/>
          <w:szCs w:val="22"/>
        </w:rPr>
      </w:pPr>
      <w:r>
        <w:rPr>
          <w:rFonts w:ascii="Cambria" w:hAnsi="Cambria"/>
          <w:b w:val="0"/>
          <w:color w:val="auto"/>
          <w:sz w:val="22"/>
          <w:szCs w:val="22"/>
        </w:rPr>
        <w:t>This approval is for use as Food, Feed or Processing only. This does not include cultivation of</w:t>
      </w:r>
      <w:r>
        <w:rPr>
          <w:rFonts w:ascii="Cambria" w:hAnsi="Cambria"/>
          <w:b w:val="0"/>
          <w:color w:val="auto"/>
          <w:sz w:val="22"/>
          <w:szCs w:val="22"/>
          <w:lang w:val="en-PH"/>
        </w:rPr>
        <w:t xml:space="preserve"> MS8</w:t>
      </w:r>
      <w:r>
        <w:rPr>
          <w:rFonts w:ascii="Cambria" w:hAnsi="Cambria"/>
          <w:b w:val="0"/>
          <w:color w:val="auto"/>
          <w:sz w:val="22"/>
          <w:szCs w:val="22"/>
        </w:rPr>
        <w:t xml:space="preserve"> in the Philippines. Food and Feed use of </w:t>
      </w:r>
      <w:r>
        <w:rPr>
          <w:rFonts w:ascii="Cambria" w:hAnsi="Cambria"/>
          <w:b w:val="0"/>
          <w:color w:val="auto"/>
          <w:sz w:val="22"/>
          <w:szCs w:val="22"/>
          <w:lang w:val="en-PH"/>
        </w:rPr>
        <w:t>MS8</w:t>
      </w:r>
      <w:r>
        <w:rPr>
          <w:rFonts w:ascii="Cambria" w:hAnsi="Cambria"/>
          <w:b w:val="0"/>
          <w:color w:val="auto"/>
          <w:sz w:val="22"/>
          <w:szCs w:val="22"/>
        </w:rPr>
        <w:t xml:space="preserve"> and its by-products is therefore authorized as of </w:t>
      </w:r>
      <w:r>
        <w:rPr>
          <w:rFonts w:ascii="Cambria" w:hAnsi="Cambria"/>
          <w:b w:val="0"/>
          <w:color w:val="auto"/>
          <w:sz w:val="22"/>
          <w:szCs w:val="22"/>
          <w:lang w:val="en-PH"/>
        </w:rPr>
        <w:t>November 21</w:t>
      </w:r>
      <w:r>
        <w:rPr>
          <w:rFonts w:ascii="Cambria" w:hAnsi="Cambria"/>
          <w:b w:val="0"/>
          <w:color w:val="auto"/>
          <w:sz w:val="22"/>
          <w:szCs w:val="22"/>
        </w:rPr>
        <w:t>, 2018. The biosafety permit (No. 1</w:t>
      </w:r>
      <w:r>
        <w:rPr>
          <w:rFonts w:ascii="Cambria" w:hAnsi="Cambria"/>
          <w:b w:val="0"/>
          <w:color w:val="auto"/>
          <w:sz w:val="22"/>
          <w:szCs w:val="22"/>
          <w:lang w:val="en-US"/>
        </w:rPr>
        <w:t>8</w:t>
      </w:r>
      <w:r>
        <w:rPr>
          <w:rFonts w:ascii="Cambria" w:hAnsi="Cambria"/>
          <w:b w:val="0"/>
          <w:color w:val="auto"/>
          <w:sz w:val="22"/>
          <w:szCs w:val="22"/>
        </w:rPr>
        <w:t>-0</w:t>
      </w:r>
      <w:r>
        <w:rPr>
          <w:rFonts w:ascii="Cambria" w:hAnsi="Cambria"/>
          <w:b w:val="0"/>
          <w:color w:val="auto"/>
          <w:sz w:val="22"/>
          <w:szCs w:val="22"/>
          <w:lang w:val="en-PH"/>
        </w:rPr>
        <w:t>28</w:t>
      </w:r>
      <w:r>
        <w:rPr>
          <w:rFonts w:ascii="Cambria" w:hAnsi="Cambria"/>
          <w:b w:val="0"/>
          <w:color w:val="auto"/>
          <w:sz w:val="22"/>
          <w:szCs w:val="22"/>
        </w:rPr>
        <w:t xml:space="preserve">FFP) stated that </w:t>
      </w:r>
      <w:r>
        <w:rPr>
          <w:rFonts w:ascii="Cambria" w:hAnsi="Cambria"/>
          <w:b w:val="0"/>
          <w:color w:val="auto"/>
          <w:sz w:val="22"/>
          <w:szCs w:val="22"/>
          <w:lang w:val="en-PH"/>
        </w:rPr>
        <w:t>MS8</w:t>
      </w:r>
      <w:r>
        <w:rPr>
          <w:rFonts w:ascii="Cambria" w:hAnsi="Cambria"/>
          <w:b w:val="0"/>
          <w:color w:val="auto"/>
          <w:sz w:val="22"/>
          <w:szCs w:val="22"/>
        </w:rPr>
        <w:t xml:space="preserve"> is as safe for human food, livestock feed and for processing as its conventional counterparts.  </w:t>
      </w:r>
    </w:p>
    <w:p>
      <w:pPr>
        <w:spacing w:after="40"/>
        <w:jc w:val="both"/>
        <w:rPr>
          <w:rFonts w:ascii="Cambria" w:hAnsi="Cambria"/>
          <w:i w:val="0"/>
          <w:color w:val="auto"/>
          <w:sz w:val="22"/>
          <w:szCs w:val="22"/>
        </w:rPr>
      </w:pPr>
    </w:p>
    <w:p>
      <w:pPr>
        <w:numPr>
          <w:ilvl w:val="0"/>
          <w:numId w:val="1"/>
        </w:numPr>
        <w:tabs>
          <w:tab w:val="left" w:pos="360"/>
          <w:tab w:val="clear" w:pos="1080"/>
        </w:tabs>
        <w:spacing w:after="40"/>
        <w:ind w:left="360" w:hanging="360"/>
        <w:jc w:val="both"/>
        <w:rPr>
          <w:rFonts w:ascii="Cambria" w:hAnsi="Cambria"/>
          <w:i w:val="0"/>
          <w:color w:val="auto"/>
          <w:sz w:val="22"/>
          <w:szCs w:val="22"/>
          <w:u w:val="single"/>
        </w:rPr>
      </w:pPr>
      <w:r>
        <w:rPr>
          <w:rFonts w:ascii="Cambria" w:hAnsi="Cambria"/>
          <w:i w:val="0"/>
          <w:color w:val="auto"/>
          <w:sz w:val="22"/>
          <w:szCs w:val="22"/>
          <w:u w:val="single"/>
        </w:rPr>
        <w:t>Brief Identification of the Genetically Modified Organism (Living Modified Organism)</w:t>
      </w:r>
    </w:p>
    <w:p>
      <w:pPr>
        <w:spacing w:after="40"/>
        <w:ind w:left="1080"/>
        <w:jc w:val="both"/>
        <w:rPr>
          <w:rFonts w:ascii="Cambria" w:hAnsi="Cambria"/>
          <w:b w:val="0"/>
          <w:i w:val="0"/>
          <w:color w:val="auto"/>
          <w:sz w:val="22"/>
          <w:szCs w:val="22"/>
        </w:rPr>
      </w:pPr>
    </w:p>
    <w:p>
      <w:pPr>
        <w:ind w:left="3600" w:hanging="3240"/>
        <w:jc w:val="both"/>
        <w:rPr>
          <w:rFonts w:ascii="Cambria" w:hAnsi="Cambria"/>
          <w:b w:val="0"/>
          <w:i w:val="0"/>
          <w:color w:val="auto"/>
          <w:sz w:val="22"/>
          <w:szCs w:val="22"/>
          <w:lang w:val="en-PH"/>
        </w:rPr>
      </w:pPr>
      <w:r>
        <w:rPr>
          <w:rFonts w:ascii="Cambria" w:hAnsi="Cambria"/>
          <w:i w:val="0"/>
          <w:color w:val="auto"/>
          <w:sz w:val="22"/>
          <w:szCs w:val="22"/>
        </w:rPr>
        <w:t>Designation:</w:t>
      </w:r>
      <w:r>
        <w:rPr>
          <w:rFonts w:ascii="Cambria" w:hAnsi="Cambria"/>
          <w:b w:val="0"/>
          <w:i w:val="0"/>
          <w:color w:val="auto"/>
          <w:sz w:val="22"/>
          <w:szCs w:val="22"/>
        </w:rPr>
        <w:tab/>
      </w:r>
      <w:r>
        <w:rPr>
          <w:rFonts w:ascii="Cambria" w:hAnsi="Cambria"/>
          <w:b w:val="0"/>
          <w:i w:val="0"/>
          <w:color w:val="auto"/>
          <w:sz w:val="22"/>
          <w:szCs w:val="22"/>
          <w:lang w:val="en-PH"/>
        </w:rPr>
        <w:t>Oilseed Rape MS8</w:t>
      </w:r>
    </w:p>
    <w:p>
      <w:pPr>
        <w:spacing w:after="40"/>
        <w:ind w:left="1080"/>
        <w:jc w:val="both"/>
        <w:rPr>
          <w:rFonts w:ascii="Cambria" w:hAnsi="Cambria"/>
          <w:b w:val="0"/>
          <w:i w:val="0"/>
          <w:color w:val="auto"/>
          <w:sz w:val="22"/>
          <w:szCs w:val="22"/>
        </w:rPr>
      </w:pPr>
    </w:p>
    <w:p>
      <w:pPr>
        <w:ind w:firstLine="360"/>
        <w:rPr>
          <w:rFonts w:ascii="Cambria" w:hAnsi="Cambria"/>
          <w:b w:val="0"/>
          <w:i w:val="0"/>
          <w:color w:val="auto"/>
          <w:sz w:val="22"/>
          <w:szCs w:val="22"/>
        </w:rPr>
      </w:pPr>
      <w:r>
        <w:rPr>
          <w:rFonts w:ascii="Cambria" w:hAnsi="Cambria"/>
          <w:i w:val="0"/>
          <w:color w:val="auto"/>
          <w:sz w:val="22"/>
          <w:szCs w:val="22"/>
        </w:rPr>
        <w:t>Applicant:</w:t>
      </w:r>
      <w:r>
        <w:rPr>
          <w:rFonts w:ascii="Cambria" w:hAnsi="Cambria"/>
          <w:i w:val="0"/>
          <w:color w:val="auto"/>
          <w:sz w:val="22"/>
          <w:szCs w:val="22"/>
        </w:rPr>
        <w:tab/>
      </w:r>
      <w:r>
        <w:rPr>
          <w:rFonts w:ascii="Cambria" w:hAnsi="Cambria"/>
          <w:i w:val="0"/>
          <w:color w:val="auto"/>
          <w:sz w:val="22"/>
          <w:szCs w:val="22"/>
        </w:rPr>
        <w:tab/>
      </w:r>
      <w:r>
        <w:rPr>
          <w:rFonts w:ascii="Cambria" w:hAnsi="Cambria"/>
          <w:i w:val="0"/>
          <w:color w:val="auto"/>
          <w:sz w:val="22"/>
          <w:szCs w:val="22"/>
        </w:rPr>
        <w:tab/>
      </w:r>
      <w:r>
        <w:rPr>
          <w:rFonts w:ascii="Cambria" w:hAnsi="Cambria"/>
          <w:i w:val="0"/>
          <w:color w:val="auto"/>
          <w:sz w:val="22"/>
          <w:szCs w:val="22"/>
        </w:rPr>
        <w:tab/>
      </w:r>
      <w:r>
        <w:rPr>
          <w:rFonts w:ascii="Cambria" w:hAnsi="Cambria"/>
          <w:b/>
          <w:bCs/>
          <w:i w:val="0"/>
          <w:color w:val="auto"/>
          <w:sz w:val="22"/>
          <w:szCs w:val="22"/>
          <w:lang w:val="en-US"/>
        </w:rPr>
        <w:t>BASF</w:t>
      </w:r>
      <w:r>
        <w:rPr>
          <w:rFonts w:ascii="Cambria" w:hAnsi="Cambria"/>
          <w:b/>
          <w:bCs/>
          <w:i w:val="0"/>
          <w:color w:val="auto"/>
          <w:sz w:val="22"/>
          <w:szCs w:val="22"/>
        </w:rPr>
        <w:t xml:space="preserve"> PHILIPPINES, INC.     </w:t>
      </w:r>
      <w:r>
        <w:rPr>
          <w:rFonts w:ascii="Cambria" w:hAnsi="Cambria"/>
          <w:b w:val="0"/>
          <w:i w:val="0"/>
          <w:color w:val="auto"/>
          <w:sz w:val="22"/>
          <w:szCs w:val="22"/>
        </w:rPr>
        <w:t xml:space="preserve">                                                 </w:t>
      </w:r>
    </w:p>
    <w:p>
      <w:pPr>
        <w:ind w:firstLine="3600"/>
        <w:rPr>
          <w:rFonts w:hint="default" w:ascii="Cambria" w:hAnsi="Cambria"/>
          <w:b w:val="0"/>
          <w:i w:val="0"/>
          <w:color w:val="auto"/>
          <w:sz w:val="22"/>
          <w:szCs w:val="22"/>
        </w:rPr>
      </w:pPr>
      <w:r>
        <w:rPr>
          <w:rFonts w:hint="default" w:ascii="Cambria" w:hAnsi="Cambria"/>
          <w:b w:val="0"/>
          <w:i w:val="0"/>
          <w:color w:val="auto"/>
          <w:sz w:val="22"/>
          <w:szCs w:val="22"/>
        </w:rPr>
        <w:t>11F HHIC Building, 1128 University Parkway,</w:t>
      </w:r>
    </w:p>
    <w:p>
      <w:pPr>
        <w:ind w:firstLine="3600"/>
        <w:rPr>
          <w:rFonts w:ascii="Cambria" w:hAnsi="Cambria"/>
          <w:b w:val="0"/>
          <w:i w:val="0"/>
          <w:color w:val="auto"/>
          <w:sz w:val="22"/>
          <w:szCs w:val="22"/>
        </w:rPr>
      </w:pPr>
      <w:r>
        <w:rPr>
          <w:rFonts w:hint="default" w:ascii="Cambria" w:hAnsi="Cambria"/>
          <w:b w:val="0"/>
          <w:i w:val="0"/>
          <w:color w:val="auto"/>
          <w:sz w:val="22"/>
          <w:szCs w:val="22"/>
        </w:rPr>
        <w:t>Bonifacio Global City, Taguig</w:t>
      </w:r>
      <w:r>
        <w:rPr>
          <w:rFonts w:ascii="Cambria" w:hAnsi="Cambria"/>
          <w:b w:val="0"/>
          <w:i w:val="0"/>
          <w:color w:val="auto"/>
          <w:sz w:val="22"/>
          <w:szCs w:val="22"/>
        </w:rPr>
        <w:t xml:space="preserve">                                                                </w:t>
      </w:r>
    </w:p>
    <w:p>
      <w:pPr>
        <w:spacing w:after="40"/>
        <w:ind w:left="1080" w:hanging="720"/>
        <w:jc w:val="both"/>
        <w:rPr>
          <w:rFonts w:ascii="Cambria" w:hAnsi="Cambria"/>
          <w:i w:val="0"/>
          <w:color w:val="auto"/>
          <w:sz w:val="22"/>
          <w:szCs w:val="22"/>
        </w:rPr>
      </w:pPr>
    </w:p>
    <w:p>
      <w:pPr>
        <w:spacing w:after="40"/>
        <w:ind w:left="1080" w:hanging="720"/>
        <w:jc w:val="both"/>
        <w:rPr>
          <w:rFonts w:ascii="Cambria" w:hAnsi="Cambria"/>
          <w:i w:val="0"/>
          <w:color w:val="auto"/>
          <w:sz w:val="22"/>
          <w:szCs w:val="22"/>
        </w:rPr>
      </w:pPr>
      <w:r>
        <w:rPr>
          <w:rFonts w:ascii="Cambria" w:hAnsi="Cambria"/>
          <w:i w:val="0"/>
          <w:color w:val="auto"/>
          <w:sz w:val="22"/>
          <w:szCs w:val="22"/>
        </w:rPr>
        <w:t>Plant Species:</w:t>
      </w:r>
    </w:p>
    <w:p>
      <w:pPr>
        <w:spacing w:after="40"/>
        <w:ind w:left="1080" w:hanging="720"/>
        <w:jc w:val="both"/>
        <w:rPr>
          <w:rFonts w:ascii="Cambria" w:hAnsi="Cambria"/>
          <w:b w:val="0"/>
          <w:i w:val="0"/>
          <w:color w:val="auto"/>
          <w:sz w:val="22"/>
          <w:szCs w:val="22"/>
        </w:rPr>
      </w:pPr>
    </w:p>
    <w:p>
      <w:pPr>
        <w:spacing w:after="40"/>
        <w:ind w:left="720"/>
        <w:jc w:val="both"/>
        <w:rPr>
          <w:rFonts w:ascii="Cambria" w:hAnsi="Cambria"/>
          <w:b w:val="0"/>
          <w:color w:val="auto"/>
          <w:sz w:val="22"/>
          <w:szCs w:val="22"/>
        </w:rPr>
      </w:pPr>
      <w:r>
        <w:rPr>
          <w:rFonts w:ascii="Cambria" w:hAnsi="Cambria"/>
          <w:b w:val="0"/>
          <w:i w:val="0"/>
          <w:color w:val="auto"/>
          <w:sz w:val="22"/>
          <w:szCs w:val="22"/>
        </w:rPr>
        <w:t>Name:</w:t>
      </w:r>
      <w:r>
        <w:rPr>
          <w:rFonts w:ascii="Cambria" w:hAnsi="Cambria"/>
          <w:b w:val="0"/>
          <w:i w:val="0"/>
          <w:color w:val="auto"/>
          <w:sz w:val="22"/>
          <w:szCs w:val="22"/>
        </w:rPr>
        <w:tab/>
      </w:r>
      <w:r>
        <w:rPr>
          <w:rFonts w:ascii="Cambria" w:hAnsi="Cambria"/>
          <w:b w:val="0"/>
          <w:i w:val="0"/>
          <w:color w:val="auto"/>
          <w:sz w:val="22"/>
          <w:szCs w:val="22"/>
        </w:rPr>
        <w:tab/>
      </w:r>
      <w:r>
        <w:rPr>
          <w:rFonts w:ascii="Cambria" w:hAnsi="Cambria"/>
          <w:b w:val="0"/>
          <w:i w:val="0"/>
          <w:color w:val="auto"/>
          <w:sz w:val="22"/>
          <w:szCs w:val="22"/>
        </w:rPr>
        <w:tab/>
      </w:r>
      <w:r>
        <w:rPr>
          <w:rFonts w:ascii="Cambria" w:hAnsi="Cambria"/>
          <w:b w:val="0"/>
          <w:i w:val="0"/>
          <w:color w:val="auto"/>
          <w:sz w:val="22"/>
          <w:szCs w:val="22"/>
        </w:rPr>
        <w:tab/>
      </w:r>
      <w:r>
        <w:rPr>
          <w:rFonts w:ascii="Cambria" w:hAnsi="Cambria"/>
          <w:b w:val="0"/>
          <w:i w:val="0"/>
          <w:color w:val="auto"/>
          <w:sz w:val="22"/>
          <w:szCs w:val="22"/>
          <w:lang w:val="en-PH"/>
        </w:rPr>
        <w:t>Oilseed rape</w:t>
      </w:r>
      <w:r>
        <w:rPr>
          <w:rFonts w:ascii="Cambria" w:hAnsi="Cambria"/>
          <w:b w:val="0"/>
          <w:i w:val="0"/>
          <w:color w:val="auto"/>
          <w:sz w:val="22"/>
          <w:szCs w:val="22"/>
        </w:rPr>
        <w:t xml:space="preserve"> (</w:t>
      </w:r>
      <w:r>
        <w:rPr>
          <w:rFonts w:ascii="Cambria" w:hAnsi="Cambria"/>
          <w:b w:val="0"/>
          <w:i/>
          <w:iCs/>
          <w:color w:val="auto"/>
          <w:sz w:val="22"/>
          <w:szCs w:val="22"/>
          <w:lang w:val="en-PH"/>
        </w:rPr>
        <w:t>Brassica napus</w:t>
      </w:r>
      <w:r>
        <w:rPr>
          <w:rFonts w:ascii="Cambria" w:hAnsi="Cambria"/>
          <w:b w:val="0"/>
          <w:color w:val="auto"/>
          <w:sz w:val="22"/>
          <w:szCs w:val="22"/>
        </w:rPr>
        <w:t>)</w:t>
      </w:r>
    </w:p>
    <w:p>
      <w:pPr>
        <w:spacing w:after="40"/>
        <w:ind w:left="720"/>
        <w:jc w:val="both"/>
        <w:rPr>
          <w:rFonts w:ascii="Cambria" w:hAnsi="Cambria"/>
          <w:b w:val="0"/>
          <w:color w:val="auto"/>
          <w:sz w:val="22"/>
          <w:szCs w:val="22"/>
        </w:rPr>
      </w:pPr>
    </w:p>
    <w:p>
      <w:pPr>
        <w:spacing w:after="40"/>
        <w:ind w:left="720"/>
        <w:jc w:val="both"/>
        <w:rPr>
          <w:rFonts w:ascii="Cambria" w:hAnsi="Cambria"/>
          <w:b w:val="0"/>
          <w:color w:val="auto"/>
          <w:sz w:val="22"/>
          <w:szCs w:val="22"/>
          <w:lang w:val="en-PH"/>
        </w:rPr>
      </w:pPr>
      <w:r>
        <w:rPr>
          <w:rFonts w:ascii="Cambria" w:hAnsi="Cambria"/>
          <w:b w:val="0"/>
          <w:i w:val="0"/>
          <w:color w:val="auto"/>
          <w:sz w:val="22"/>
          <w:szCs w:val="22"/>
        </w:rPr>
        <w:t xml:space="preserve">Parent Material:         </w:t>
      </w:r>
      <w:r>
        <w:rPr>
          <w:rFonts w:ascii="Cambria" w:hAnsi="Cambria"/>
          <w:b w:val="0"/>
          <w:i w:val="0"/>
          <w:color w:val="auto"/>
          <w:sz w:val="22"/>
          <w:szCs w:val="22"/>
        </w:rPr>
        <w:tab/>
      </w:r>
      <w:r>
        <w:rPr>
          <w:rFonts w:ascii="Cambria" w:hAnsi="Cambria"/>
          <w:b w:val="0"/>
          <w:i w:val="0"/>
          <w:color w:val="auto"/>
          <w:sz w:val="22"/>
          <w:szCs w:val="22"/>
        </w:rPr>
        <w:tab/>
      </w:r>
      <w:r>
        <w:rPr>
          <w:rFonts w:ascii="Cambria" w:hAnsi="Cambria"/>
          <w:b w:val="0"/>
          <w:i w:val="0"/>
          <w:color w:val="auto"/>
          <w:sz w:val="22"/>
          <w:szCs w:val="22"/>
          <w:lang w:val="en-PH"/>
        </w:rPr>
        <w:t>Oilseed rape MS8</w:t>
      </w:r>
    </w:p>
    <w:p>
      <w:pPr>
        <w:spacing w:after="40"/>
        <w:ind w:left="720"/>
        <w:jc w:val="both"/>
        <w:rPr>
          <w:rFonts w:ascii="Cambria" w:hAnsi="Cambria"/>
          <w:b w:val="0"/>
          <w:color w:val="auto"/>
          <w:sz w:val="22"/>
          <w:szCs w:val="22"/>
        </w:rPr>
      </w:pPr>
    </w:p>
    <w:p>
      <w:pPr>
        <w:spacing w:after="40"/>
        <w:ind w:left="720"/>
        <w:jc w:val="both"/>
        <w:rPr>
          <w:rFonts w:ascii="Cambria" w:hAnsi="Cambria"/>
          <w:b w:val="0"/>
          <w:color w:val="auto"/>
          <w:sz w:val="22"/>
          <w:szCs w:val="22"/>
          <w:lang w:val="en-PH"/>
        </w:rPr>
      </w:pPr>
      <w:r>
        <w:rPr>
          <w:rFonts w:ascii="Cambria" w:hAnsi="Cambria"/>
          <w:b w:val="0"/>
          <w:i w:val="0"/>
          <w:color w:val="auto"/>
          <w:sz w:val="22"/>
          <w:szCs w:val="22"/>
        </w:rPr>
        <w:t xml:space="preserve">Center of Origin:        </w:t>
      </w:r>
      <w:r>
        <w:rPr>
          <w:rFonts w:ascii="Cambria" w:hAnsi="Cambria"/>
          <w:b w:val="0"/>
          <w:i w:val="0"/>
          <w:color w:val="auto"/>
          <w:sz w:val="22"/>
          <w:szCs w:val="22"/>
        </w:rPr>
        <w:tab/>
      </w:r>
      <w:r>
        <w:rPr>
          <w:rFonts w:ascii="Cambria" w:hAnsi="Cambria"/>
          <w:b w:val="0"/>
          <w:i w:val="0"/>
          <w:color w:val="auto"/>
          <w:sz w:val="22"/>
          <w:szCs w:val="22"/>
        </w:rPr>
        <w:tab/>
      </w:r>
      <w:r>
        <w:rPr>
          <w:rFonts w:ascii="Cambria" w:hAnsi="Cambria"/>
          <w:b w:val="0"/>
          <w:i w:val="0"/>
          <w:color w:val="auto"/>
          <w:sz w:val="22"/>
          <w:szCs w:val="22"/>
          <w:lang w:val="en-PH"/>
        </w:rPr>
        <w:t>Canada</w:t>
      </w:r>
    </w:p>
    <w:p>
      <w:pPr>
        <w:spacing w:after="40"/>
        <w:ind w:left="3600" w:hanging="2520"/>
        <w:jc w:val="both"/>
        <w:rPr>
          <w:rFonts w:ascii="Cambria" w:hAnsi="Cambria"/>
          <w:b w:val="0"/>
          <w:i w:val="0"/>
          <w:color w:val="auto"/>
          <w:sz w:val="22"/>
          <w:szCs w:val="22"/>
        </w:rPr>
      </w:pPr>
    </w:p>
    <w:p>
      <w:pPr>
        <w:spacing w:after="40"/>
        <w:ind w:left="3600" w:hanging="2880"/>
        <w:jc w:val="both"/>
        <w:rPr>
          <w:rFonts w:ascii="Cambria" w:hAnsi="Cambria"/>
          <w:b w:val="0"/>
          <w:i w:val="0"/>
          <w:color w:val="auto"/>
          <w:sz w:val="22"/>
          <w:szCs w:val="22"/>
          <w:lang w:val="en-PH"/>
        </w:rPr>
      </w:pPr>
      <w:r>
        <w:rPr>
          <w:rFonts w:ascii="Cambria" w:hAnsi="Cambria"/>
          <w:b w:val="0"/>
          <w:i w:val="0"/>
          <w:color w:val="auto"/>
          <w:sz w:val="22"/>
          <w:szCs w:val="22"/>
        </w:rPr>
        <w:t xml:space="preserve">Toxic Factors/Allergen(s): </w:t>
      </w:r>
      <w:r>
        <w:rPr>
          <w:rFonts w:ascii="Cambria" w:hAnsi="Cambria"/>
          <w:b w:val="0"/>
          <w:i w:val="0"/>
          <w:color w:val="auto"/>
          <w:sz w:val="22"/>
          <w:szCs w:val="22"/>
        </w:rPr>
        <w:tab/>
      </w:r>
      <w:r>
        <w:rPr>
          <w:rFonts w:ascii="Cambria" w:hAnsi="Cambria"/>
          <w:b w:val="0"/>
          <w:i w:val="0"/>
          <w:color w:val="auto"/>
          <w:sz w:val="22"/>
          <w:szCs w:val="22"/>
          <w:lang w:val="en-PH"/>
        </w:rPr>
        <w:t>Glucosinolates, eruric acid, phenolic compounds</w:t>
      </w:r>
    </w:p>
    <w:p>
      <w:pPr>
        <w:spacing w:after="40"/>
        <w:ind w:left="1080" w:hanging="720"/>
        <w:jc w:val="both"/>
        <w:rPr>
          <w:rFonts w:ascii="Cambria" w:hAnsi="Cambria"/>
          <w:i w:val="0"/>
          <w:color w:val="auto"/>
          <w:sz w:val="22"/>
          <w:szCs w:val="22"/>
        </w:rPr>
      </w:pPr>
    </w:p>
    <w:p>
      <w:pPr>
        <w:spacing w:after="40"/>
        <w:ind w:left="1080" w:hanging="720"/>
        <w:jc w:val="both"/>
        <w:rPr>
          <w:rFonts w:ascii="Cambria" w:hAnsi="Cambria"/>
          <w:b w:val="0"/>
          <w:i w:val="0"/>
          <w:color w:val="auto"/>
          <w:sz w:val="22"/>
          <w:szCs w:val="22"/>
          <w:lang w:val="en-PH"/>
        </w:rPr>
      </w:pPr>
      <w:r>
        <w:rPr>
          <w:rFonts w:ascii="Cambria" w:hAnsi="Cambria"/>
          <w:i w:val="0"/>
          <w:color w:val="auto"/>
          <w:sz w:val="22"/>
          <w:szCs w:val="22"/>
        </w:rPr>
        <w:t>Trait Description:</w:t>
      </w:r>
      <w:r>
        <w:rPr>
          <w:rFonts w:ascii="Cambria" w:hAnsi="Cambria"/>
          <w:i w:val="0"/>
          <w:color w:val="auto"/>
          <w:sz w:val="22"/>
          <w:szCs w:val="22"/>
        </w:rPr>
        <w:tab/>
      </w:r>
      <w:r>
        <w:rPr>
          <w:rFonts w:ascii="Cambria" w:hAnsi="Cambria"/>
          <w:i w:val="0"/>
          <w:color w:val="auto"/>
          <w:sz w:val="22"/>
          <w:szCs w:val="22"/>
        </w:rPr>
        <w:tab/>
      </w:r>
      <w:r>
        <w:rPr>
          <w:rFonts w:ascii="Cambria" w:hAnsi="Cambria"/>
          <w:b w:val="0"/>
          <w:i w:val="0"/>
          <w:color w:val="auto"/>
          <w:sz w:val="22"/>
          <w:szCs w:val="22"/>
          <w:lang w:val="en-US"/>
        </w:rPr>
        <w:t>Gl</w:t>
      </w:r>
      <w:r>
        <w:rPr>
          <w:rFonts w:ascii="Cambria" w:hAnsi="Cambria"/>
          <w:b w:val="0"/>
          <w:i w:val="0"/>
          <w:color w:val="auto"/>
          <w:sz w:val="22"/>
          <w:szCs w:val="22"/>
          <w:lang w:val="en-PH"/>
        </w:rPr>
        <w:t>ufosinate</w:t>
      </w:r>
      <w:r>
        <w:rPr>
          <w:rFonts w:ascii="Cambria" w:hAnsi="Cambria"/>
          <w:b w:val="0"/>
          <w:i w:val="0"/>
          <w:color w:val="auto"/>
          <w:sz w:val="22"/>
          <w:szCs w:val="22"/>
          <w:lang w:val="en-US"/>
        </w:rPr>
        <w:t xml:space="preserve"> herbicide tolerance</w:t>
      </w:r>
      <w:r>
        <w:rPr>
          <w:rFonts w:ascii="Cambria" w:hAnsi="Cambria"/>
          <w:b w:val="0"/>
          <w:i w:val="0"/>
          <w:color w:val="auto"/>
          <w:sz w:val="22"/>
          <w:szCs w:val="22"/>
          <w:lang w:val="en-PH"/>
        </w:rPr>
        <w:t>, male sterility</w:t>
      </w:r>
    </w:p>
    <w:p>
      <w:pPr>
        <w:spacing w:after="40"/>
        <w:ind w:left="1080"/>
        <w:jc w:val="both"/>
        <w:rPr>
          <w:rFonts w:ascii="Cambria" w:hAnsi="Cambria"/>
          <w:b w:val="0"/>
          <w:i w:val="0"/>
          <w:color w:val="auto"/>
          <w:sz w:val="22"/>
          <w:szCs w:val="22"/>
        </w:rPr>
      </w:pPr>
      <w:r>
        <w:rPr>
          <w:rFonts w:ascii="Cambria" w:hAnsi="Cambria"/>
          <w:i w:val="0"/>
          <w:color w:val="auto"/>
          <w:sz w:val="22"/>
          <w:szCs w:val="22"/>
        </w:rPr>
        <w:tab/>
      </w:r>
      <w:r>
        <w:rPr>
          <w:rFonts w:ascii="Cambria" w:hAnsi="Cambria"/>
          <w:i w:val="0"/>
          <w:color w:val="auto"/>
          <w:sz w:val="22"/>
          <w:szCs w:val="22"/>
        </w:rPr>
        <w:tab/>
      </w:r>
    </w:p>
    <w:p>
      <w:pPr>
        <w:spacing w:after="40"/>
        <w:ind w:left="3600" w:hanging="3240"/>
        <w:jc w:val="both"/>
        <w:rPr>
          <w:rFonts w:ascii="Cambria" w:hAnsi="Cambria"/>
          <w:b w:val="0"/>
          <w:i w:val="0"/>
          <w:color w:val="auto"/>
          <w:sz w:val="22"/>
          <w:szCs w:val="22"/>
        </w:rPr>
      </w:pPr>
      <w:r>
        <w:rPr>
          <w:rFonts w:ascii="Cambria" w:hAnsi="Cambria"/>
          <w:i w:val="0"/>
          <w:color w:val="auto"/>
          <w:sz w:val="22"/>
          <w:szCs w:val="22"/>
        </w:rPr>
        <w:t>Trait Introduction Method:</w:t>
      </w:r>
      <w:r>
        <w:rPr>
          <w:rFonts w:ascii="Cambria" w:hAnsi="Cambria"/>
          <w:i w:val="0"/>
          <w:color w:val="auto"/>
          <w:sz w:val="22"/>
          <w:szCs w:val="22"/>
        </w:rPr>
        <w:tab/>
      </w:r>
      <w:r>
        <w:rPr>
          <w:rFonts w:ascii="Cambria" w:hAnsi="Cambria"/>
          <w:b w:val="0"/>
          <w:color w:val="auto"/>
          <w:sz w:val="22"/>
          <w:szCs w:val="22"/>
        </w:rPr>
        <w:t>Agrobacterium tumefaciens</w:t>
      </w:r>
      <w:r>
        <w:rPr>
          <w:rFonts w:ascii="Cambria" w:hAnsi="Cambria"/>
          <w:b w:val="0"/>
          <w:i w:val="0"/>
          <w:color w:val="auto"/>
          <w:sz w:val="22"/>
          <w:szCs w:val="22"/>
        </w:rPr>
        <w:t>-mediated transformation</w:t>
      </w:r>
    </w:p>
    <w:p>
      <w:pPr>
        <w:spacing w:after="40"/>
        <w:ind w:left="3600" w:hanging="3240"/>
        <w:jc w:val="both"/>
        <w:rPr>
          <w:rFonts w:ascii="Cambria" w:hAnsi="Cambria"/>
          <w:b w:val="0"/>
          <w:i w:val="0"/>
          <w:color w:val="auto"/>
          <w:sz w:val="22"/>
          <w:szCs w:val="22"/>
        </w:rPr>
      </w:pPr>
    </w:p>
    <w:p>
      <w:pPr>
        <w:pStyle w:val="12"/>
        <w:tabs>
          <w:tab w:val="left" w:pos="3600"/>
          <w:tab w:val="left" w:pos="3690"/>
        </w:tabs>
        <w:ind w:left="3600" w:hanging="3240"/>
        <w:jc w:val="both"/>
        <w:rPr>
          <w:rFonts w:ascii="Cambria" w:hAnsi="Cambria"/>
          <w:color w:val="auto"/>
          <w:sz w:val="22"/>
          <w:szCs w:val="22"/>
          <w:lang w:val="en-PH"/>
        </w:rPr>
      </w:pPr>
      <w:r>
        <w:rPr>
          <w:rFonts w:ascii="Cambria" w:hAnsi="Cambria"/>
          <w:b/>
          <w:color w:val="auto"/>
          <w:sz w:val="22"/>
          <w:szCs w:val="22"/>
        </w:rPr>
        <w:t>Donor Organisms</w:t>
      </w:r>
      <w:r>
        <w:rPr>
          <w:rFonts w:ascii="Cambria" w:hAnsi="Cambria"/>
          <w:i/>
          <w:color w:val="auto"/>
          <w:sz w:val="22"/>
          <w:szCs w:val="22"/>
        </w:rPr>
        <w:t>:</w:t>
      </w:r>
      <w:r>
        <w:rPr>
          <w:rFonts w:ascii="Cambria" w:hAnsi="Cambria"/>
          <w:b/>
          <w:i/>
          <w:color w:val="auto"/>
          <w:sz w:val="22"/>
          <w:szCs w:val="22"/>
        </w:rPr>
        <w:tab/>
      </w:r>
      <w:r>
        <w:rPr>
          <w:rFonts w:hint="default" w:ascii="Cambria" w:hAnsi="Cambria"/>
          <w:b w:val="0"/>
          <w:bCs/>
          <w:i/>
          <w:color w:val="auto"/>
          <w:sz w:val="22"/>
          <w:szCs w:val="22"/>
        </w:rPr>
        <w:t>Bacilllus amyloliquefaciens</w:t>
      </w:r>
      <w:r>
        <w:rPr>
          <w:rFonts w:hint="default" w:ascii="Cambria" w:hAnsi="Cambria"/>
          <w:b w:val="0"/>
          <w:bCs/>
          <w:i/>
          <w:color w:val="auto"/>
          <w:sz w:val="22"/>
          <w:szCs w:val="22"/>
          <w:lang w:val="en-PH"/>
        </w:rPr>
        <w:t>, Streptomyces hygroscopicus</w:t>
      </w:r>
    </w:p>
    <w:p>
      <w:pPr>
        <w:pStyle w:val="12"/>
        <w:tabs>
          <w:tab w:val="left" w:pos="3600"/>
          <w:tab w:val="left" w:pos="3690"/>
        </w:tabs>
        <w:jc w:val="both"/>
        <w:rPr>
          <w:rFonts w:ascii="Cambria" w:hAnsi="Cambria"/>
          <w:color w:val="auto"/>
          <w:sz w:val="22"/>
          <w:szCs w:val="22"/>
        </w:rPr>
      </w:pPr>
    </w:p>
    <w:p>
      <w:pPr>
        <w:spacing w:after="40"/>
        <w:jc w:val="both"/>
        <w:rPr>
          <w:rFonts w:ascii="Cambria" w:hAnsi="Cambria"/>
          <w:b w:val="0"/>
          <w:i w:val="0"/>
          <w:color w:val="auto"/>
          <w:sz w:val="22"/>
          <w:szCs w:val="22"/>
        </w:rPr>
      </w:pPr>
    </w:p>
    <w:p>
      <w:pPr>
        <w:spacing w:before="120" w:after="120"/>
        <w:ind w:left="3600" w:hanging="3600"/>
        <w:jc w:val="both"/>
        <w:rPr>
          <w:rFonts w:hint="default" w:ascii="Cambria" w:hAnsi="Cambria"/>
          <w:b w:val="0"/>
          <w:i w:val="0"/>
          <w:color w:val="auto"/>
          <w:sz w:val="22"/>
          <w:szCs w:val="22"/>
        </w:rPr>
      </w:pPr>
      <w:r>
        <w:rPr>
          <w:rFonts w:ascii="Cambria" w:hAnsi="Cambria"/>
          <w:i w:val="0"/>
          <w:color w:val="auto"/>
          <w:sz w:val="22"/>
          <w:szCs w:val="22"/>
        </w:rPr>
        <w:t xml:space="preserve">        Pathogenicity:</w:t>
      </w:r>
      <w:r>
        <w:rPr>
          <w:rFonts w:ascii="Cambria" w:hAnsi="Cambria"/>
          <w:b w:val="0"/>
          <w:i w:val="0"/>
          <w:color w:val="auto"/>
          <w:sz w:val="22"/>
          <w:szCs w:val="22"/>
        </w:rPr>
        <w:tab/>
      </w:r>
      <w:r>
        <w:rPr>
          <w:rFonts w:hint="default" w:ascii="Cambria" w:hAnsi="Cambria"/>
          <w:b w:val="0"/>
          <w:i/>
          <w:iCs/>
          <w:color w:val="auto"/>
          <w:sz w:val="22"/>
          <w:szCs w:val="22"/>
          <w:lang w:val="en-PH"/>
        </w:rPr>
        <w:t>bar</w:t>
      </w:r>
      <w:r>
        <w:rPr>
          <w:rFonts w:hint="default" w:ascii="Cambria" w:hAnsi="Cambria"/>
          <w:b w:val="0"/>
          <w:i w:val="0"/>
          <w:color w:val="auto"/>
          <w:sz w:val="22"/>
          <w:szCs w:val="22"/>
        </w:rPr>
        <w:t xml:space="preserve"> eliminates herbicidal activity of glufosinate (phosphinothricin) herbicides by acetylation</w:t>
      </w:r>
    </w:p>
    <w:p>
      <w:pPr>
        <w:spacing w:before="120" w:after="120"/>
        <w:ind w:left="3600" w:leftChars="0" w:firstLine="0" w:firstLineChars="0"/>
        <w:jc w:val="both"/>
        <w:rPr>
          <w:rFonts w:hint="default" w:ascii="Cambria" w:hAnsi="Cambria"/>
          <w:b w:val="0"/>
          <w:i/>
          <w:iCs/>
          <w:color w:val="auto"/>
          <w:sz w:val="22"/>
          <w:szCs w:val="22"/>
          <w:lang w:val="en-PH"/>
        </w:rPr>
      </w:pPr>
      <w:r>
        <w:rPr>
          <w:rFonts w:hint="default" w:ascii="Cambria" w:hAnsi="Cambria"/>
          <w:b w:val="0"/>
          <w:i/>
          <w:iCs/>
          <w:color w:val="auto"/>
          <w:sz w:val="22"/>
          <w:szCs w:val="22"/>
          <w:lang w:val="en-PH"/>
        </w:rPr>
        <w:t xml:space="preserve">barnase  </w:t>
      </w:r>
      <w:r>
        <w:rPr>
          <w:rFonts w:hint="default" w:ascii="Cambria" w:hAnsi="Cambria"/>
          <w:b w:val="0"/>
          <w:i w:val="0"/>
          <w:iCs w:val="0"/>
          <w:color w:val="auto"/>
          <w:sz w:val="22"/>
          <w:szCs w:val="22"/>
          <w:lang w:val="en-PH"/>
        </w:rPr>
        <w:t>causes male sterility by interfering with RNA production in the tapetum cells of the anther</w:t>
      </w:r>
    </w:p>
    <w:p>
      <w:pPr>
        <w:spacing w:after="40"/>
        <w:jc w:val="both"/>
        <w:rPr>
          <w:rFonts w:ascii="Cambria" w:hAnsi="Cambria"/>
          <w:b w:val="0"/>
          <w:i w:val="0"/>
          <w:color w:val="auto"/>
          <w:sz w:val="22"/>
          <w:szCs w:val="22"/>
        </w:rPr>
      </w:pPr>
    </w:p>
    <w:p>
      <w:pPr>
        <w:spacing w:after="40"/>
        <w:ind w:left="1080" w:hanging="720"/>
        <w:jc w:val="both"/>
        <w:rPr>
          <w:rFonts w:ascii="Cambria" w:hAnsi="Cambria"/>
          <w:b w:val="0"/>
          <w:i w:val="0"/>
          <w:color w:val="auto"/>
          <w:sz w:val="22"/>
          <w:szCs w:val="22"/>
        </w:rPr>
      </w:pPr>
      <w:r>
        <w:rPr>
          <w:rFonts w:ascii="Cambria" w:hAnsi="Cambria"/>
          <w:i w:val="0"/>
          <w:color w:val="auto"/>
          <w:sz w:val="22"/>
          <w:szCs w:val="22"/>
        </w:rPr>
        <w:t>Proposed Use:</w:t>
      </w:r>
      <w:r>
        <w:rPr>
          <w:rFonts w:ascii="Cambria" w:hAnsi="Cambria"/>
          <w:b w:val="0"/>
          <w:i w:val="0"/>
          <w:color w:val="auto"/>
          <w:sz w:val="22"/>
          <w:szCs w:val="22"/>
        </w:rPr>
        <w:tab/>
      </w:r>
      <w:r>
        <w:rPr>
          <w:rFonts w:ascii="Cambria" w:hAnsi="Cambria"/>
          <w:b w:val="0"/>
          <w:i w:val="0"/>
          <w:color w:val="auto"/>
          <w:sz w:val="22"/>
          <w:szCs w:val="22"/>
        </w:rPr>
        <w:tab/>
      </w:r>
      <w:r>
        <w:rPr>
          <w:rFonts w:ascii="Cambria" w:hAnsi="Cambria"/>
          <w:b w:val="0"/>
          <w:i w:val="0"/>
          <w:color w:val="auto"/>
          <w:sz w:val="22"/>
          <w:szCs w:val="22"/>
        </w:rPr>
        <w:tab/>
      </w:r>
      <w:r>
        <w:rPr>
          <w:rFonts w:ascii="Cambria" w:hAnsi="Cambria"/>
          <w:b w:val="0"/>
          <w:i w:val="0"/>
          <w:color w:val="auto"/>
          <w:sz w:val="22"/>
          <w:szCs w:val="22"/>
        </w:rPr>
        <w:t>For direct use as food, feed or for processing</w:t>
      </w:r>
    </w:p>
    <w:p>
      <w:pPr>
        <w:spacing w:after="40"/>
        <w:jc w:val="both"/>
        <w:rPr>
          <w:rFonts w:ascii="Cambria" w:hAnsi="Cambria"/>
          <w:b w:val="0"/>
          <w:i w:val="0"/>
          <w:color w:val="auto"/>
          <w:sz w:val="22"/>
          <w:szCs w:val="22"/>
        </w:rPr>
      </w:pPr>
    </w:p>
    <w:p>
      <w:pPr>
        <w:pStyle w:val="2"/>
        <w:tabs>
          <w:tab w:val="left" w:pos="540"/>
          <w:tab w:val="clear" w:pos="1080"/>
        </w:tabs>
        <w:spacing w:after="40"/>
        <w:ind w:left="540" w:hanging="540"/>
        <w:jc w:val="both"/>
        <w:rPr>
          <w:rFonts w:ascii="Cambria" w:hAnsi="Cambria"/>
          <w:color w:val="auto"/>
          <w:sz w:val="22"/>
          <w:szCs w:val="22"/>
          <w:u w:val="single"/>
        </w:rPr>
      </w:pPr>
      <w:r>
        <w:rPr>
          <w:rFonts w:ascii="Cambria" w:hAnsi="Cambria"/>
          <w:color w:val="auto"/>
          <w:sz w:val="22"/>
          <w:szCs w:val="22"/>
          <w:u w:val="single"/>
        </w:rPr>
        <w:t>Background Information</w:t>
      </w:r>
    </w:p>
    <w:p>
      <w:pPr>
        <w:spacing w:after="40"/>
        <w:jc w:val="both"/>
        <w:rPr>
          <w:rFonts w:ascii="Cambria" w:hAnsi="Cambria"/>
          <w:b w:val="0"/>
          <w:i w:val="0"/>
          <w:color w:val="auto"/>
          <w:sz w:val="22"/>
          <w:szCs w:val="22"/>
        </w:rPr>
      </w:pPr>
    </w:p>
    <w:p>
      <w:pPr>
        <w:spacing w:after="40"/>
        <w:ind w:left="360"/>
        <w:jc w:val="both"/>
        <w:rPr>
          <w:rFonts w:hint="default" w:ascii="Cambria" w:hAnsi="Cambria"/>
          <w:b w:val="0"/>
          <w:bCs/>
          <w:i w:val="0"/>
          <w:iCs/>
          <w:color w:val="auto"/>
          <w:sz w:val="22"/>
          <w:szCs w:val="22"/>
        </w:rPr>
      </w:pPr>
      <w:r>
        <w:rPr>
          <w:rFonts w:hint="default" w:ascii="Cambria" w:hAnsi="Cambria"/>
          <w:b w:val="0"/>
          <w:bCs/>
          <w:i w:val="0"/>
          <w:iCs/>
          <w:color w:val="auto"/>
          <w:sz w:val="22"/>
          <w:szCs w:val="22"/>
        </w:rPr>
        <w:t xml:space="preserve">On </w:t>
      </w:r>
      <w:r>
        <w:rPr>
          <w:rFonts w:hint="default" w:ascii="Cambria" w:hAnsi="Cambria"/>
          <w:b w:val="0"/>
          <w:bCs/>
          <w:i w:val="0"/>
          <w:iCs/>
          <w:color w:val="auto"/>
          <w:sz w:val="22"/>
          <w:szCs w:val="22"/>
        </w:rPr>
        <w:t>November 22, 2016,</w:t>
      </w:r>
      <w:r>
        <w:rPr>
          <w:rFonts w:hint="default" w:ascii="Cambria" w:hAnsi="Cambria"/>
          <w:b w:val="0"/>
          <w:bCs/>
          <w:i w:val="0"/>
          <w:iCs/>
          <w:color w:val="auto"/>
          <w:sz w:val="22"/>
          <w:szCs w:val="22"/>
        </w:rPr>
        <w:t xml:space="preserve"> Bayer CropScience Inc. submitted </w:t>
      </w:r>
      <w:r>
        <w:rPr>
          <w:rFonts w:hint="default" w:ascii="Cambria" w:hAnsi="Cambria"/>
          <w:b w:val="0"/>
          <w:bCs/>
          <w:i w:val="0"/>
          <w:iCs/>
          <w:color w:val="auto"/>
          <w:sz w:val="22"/>
          <w:szCs w:val="22"/>
          <w:lang w:val="en-PH"/>
        </w:rPr>
        <w:t>oilseed rape MS8</w:t>
      </w:r>
      <w:r>
        <w:rPr>
          <w:rFonts w:hint="default" w:ascii="Cambria" w:hAnsi="Cambria"/>
          <w:b w:val="0"/>
          <w:bCs/>
          <w:i w:val="0"/>
          <w:iCs/>
          <w:color w:val="auto"/>
          <w:sz w:val="22"/>
          <w:szCs w:val="22"/>
        </w:rPr>
        <w:t xml:space="preserve"> for direct use as food and feed, or for processing, as original application under the DOST-DA-DENR-DOH-DILG Joint Department Circular (JDC) No. 1 Series of 2016. </w:t>
      </w:r>
    </w:p>
    <w:p>
      <w:pPr>
        <w:spacing w:after="40"/>
        <w:ind w:left="360"/>
        <w:jc w:val="both"/>
        <w:rPr>
          <w:rFonts w:hint="default" w:ascii="Cambria" w:hAnsi="Cambria"/>
          <w:b w:val="0"/>
          <w:bCs/>
          <w:i w:val="0"/>
          <w:iCs/>
          <w:color w:val="auto"/>
          <w:sz w:val="22"/>
          <w:szCs w:val="22"/>
        </w:rPr>
      </w:pPr>
    </w:p>
    <w:p>
      <w:pPr>
        <w:spacing w:after="40"/>
        <w:ind w:left="360"/>
        <w:jc w:val="both"/>
        <w:rPr>
          <w:rFonts w:hint="default" w:ascii="Cambria" w:hAnsi="Cambria"/>
          <w:b w:val="0"/>
          <w:bCs/>
          <w:i w:val="0"/>
          <w:iCs/>
          <w:color w:val="auto"/>
          <w:sz w:val="22"/>
          <w:szCs w:val="22"/>
          <w:lang w:val="en-PH"/>
        </w:rPr>
      </w:pPr>
      <w:r>
        <w:rPr>
          <w:rFonts w:hint="default" w:ascii="Cambria" w:hAnsi="Cambria"/>
          <w:b w:val="0"/>
          <w:bCs/>
          <w:i w:val="0"/>
          <w:iCs/>
          <w:color w:val="auto"/>
          <w:sz w:val="22"/>
          <w:szCs w:val="22"/>
          <w:lang w:val="en-PH"/>
        </w:rPr>
        <w:t>Bayer CropScience Inc., on their letter last August 22, 2018, stated that in light of their acquisition of Monsanto, Bayer AG and its affiliates signed an agreement to sell selected CropScience Businesses to BASF SE. According to the said agreement, ownership of this transformation event needs to be transferred from Bayer CropScience Inc. to BASF Philippines Inc. by changing the applicant name in all pending applications and accordingly direct future correspondences relevant to events with valid biosafety permits.</w:t>
      </w:r>
    </w:p>
    <w:p>
      <w:pPr>
        <w:spacing w:after="40"/>
        <w:ind w:left="360"/>
        <w:jc w:val="both"/>
        <w:rPr>
          <w:rFonts w:hint="default" w:ascii="Cambria" w:hAnsi="Cambria"/>
          <w:b w:val="0"/>
          <w:bCs/>
          <w:i w:val="0"/>
          <w:iCs/>
          <w:color w:val="auto"/>
          <w:sz w:val="22"/>
          <w:szCs w:val="22"/>
          <w:lang w:val="en-PH"/>
        </w:rPr>
      </w:pPr>
    </w:p>
    <w:p>
      <w:pPr>
        <w:spacing w:after="40"/>
        <w:ind w:left="360"/>
        <w:jc w:val="both"/>
        <w:rPr>
          <w:rFonts w:hint="default" w:ascii="Cambria" w:hAnsi="Cambria"/>
          <w:b w:val="0"/>
          <w:bCs/>
          <w:i w:val="0"/>
          <w:iCs/>
          <w:color w:val="auto"/>
          <w:sz w:val="22"/>
          <w:szCs w:val="22"/>
        </w:rPr>
      </w:pPr>
      <w:r>
        <w:rPr>
          <w:rFonts w:hint="default" w:ascii="Cambria" w:hAnsi="Cambria"/>
          <w:b w:val="0"/>
          <w:bCs/>
          <w:i w:val="0"/>
          <w:iCs/>
          <w:color w:val="auto"/>
          <w:sz w:val="22"/>
          <w:szCs w:val="22"/>
        </w:rPr>
        <w:t xml:space="preserve">After reviewing the Risk Assessment Report and attachments submitted by the applicant, the assessors namely: Scientific and Technical Review Panel (STRP), BPI Plant Products Safety Services Division (BPI-PPSSD) and Bureau of Animal Industry- Biotech Team (BAI-BT), concurred that </w:t>
      </w:r>
      <w:r>
        <w:rPr>
          <w:rFonts w:hint="default" w:ascii="Cambria" w:hAnsi="Cambria"/>
          <w:b w:val="0"/>
          <w:bCs/>
          <w:i w:val="0"/>
          <w:iCs/>
          <w:color w:val="auto"/>
          <w:sz w:val="22"/>
          <w:szCs w:val="22"/>
          <w:lang w:val="en-PH"/>
        </w:rPr>
        <w:t>oilseed rape MS8</w:t>
      </w:r>
      <w:r>
        <w:rPr>
          <w:rFonts w:hint="default" w:ascii="Cambria" w:hAnsi="Cambria"/>
          <w:b w:val="0"/>
          <w:bCs/>
          <w:i w:val="0"/>
          <w:iCs/>
          <w:color w:val="auto"/>
          <w:sz w:val="22"/>
          <w:szCs w:val="22"/>
        </w:rPr>
        <w:t xml:space="preserve"> is as safe for human food and animal feed as its conventional counterpart.</w:t>
      </w:r>
    </w:p>
    <w:p>
      <w:pPr>
        <w:spacing w:after="40"/>
        <w:ind w:left="360"/>
        <w:jc w:val="both"/>
        <w:rPr>
          <w:rFonts w:hint="default" w:ascii="Cambria" w:hAnsi="Cambria"/>
          <w:b w:val="0"/>
          <w:bCs/>
          <w:i w:val="0"/>
          <w:iCs/>
          <w:color w:val="auto"/>
          <w:sz w:val="22"/>
          <w:szCs w:val="22"/>
        </w:rPr>
      </w:pPr>
    </w:p>
    <w:p>
      <w:pPr>
        <w:spacing w:after="40"/>
        <w:ind w:left="360"/>
        <w:jc w:val="both"/>
        <w:rPr>
          <w:rFonts w:hint="default" w:ascii="Cambria" w:hAnsi="Cambria"/>
          <w:b w:val="0"/>
          <w:bCs/>
          <w:i w:val="0"/>
          <w:iCs/>
          <w:color w:val="auto"/>
          <w:sz w:val="22"/>
          <w:szCs w:val="22"/>
        </w:rPr>
      </w:pPr>
      <w:r>
        <w:rPr>
          <w:rFonts w:hint="default" w:ascii="Cambria" w:hAnsi="Cambria"/>
          <w:b w:val="0"/>
          <w:bCs/>
          <w:i w:val="0"/>
          <w:iCs/>
          <w:color w:val="auto"/>
          <w:sz w:val="22"/>
          <w:szCs w:val="22"/>
        </w:rPr>
        <w:t xml:space="preserve">The Department of Environment and Natural Resources – Biosafety Committee (DENR-BC), after a thorough scientific review and evaluation of the documents related to Environmental Risk along with the submitted sworn statement and accountability of the proponent, recommended the issuance of a biosafety permit for this regulated event provided the conditions set by DENR are complied.  </w:t>
      </w:r>
    </w:p>
    <w:p>
      <w:pPr>
        <w:spacing w:after="40"/>
        <w:ind w:left="360"/>
        <w:jc w:val="both"/>
        <w:rPr>
          <w:rFonts w:hint="default" w:ascii="Cambria" w:hAnsi="Cambria"/>
          <w:b w:val="0"/>
          <w:bCs/>
          <w:i w:val="0"/>
          <w:iCs/>
          <w:color w:val="auto"/>
          <w:sz w:val="22"/>
          <w:szCs w:val="22"/>
        </w:rPr>
      </w:pPr>
    </w:p>
    <w:p>
      <w:pPr>
        <w:spacing w:after="40"/>
        <w:ind w:left="360"/>
        <w:jc w:val="both"/>
        <w:rPr>
          <w:rFonts w:hint="default" w:ascii="Cambria" w:hAnsi="Cambria"/>
          <w:b w:val="0"/>
          <w:bCs/>
          <w:i w:val="0"/>
          <w:iCs/>
          <w:color w:val="auto"/>
          <w:sz w:val="22"/>
          <w:szCs w:val="22"/>
        </w:rPr>
      </w:pPr>
      <w:r>
        <w:rPr>
          <w:rFonts w:hint="default" w:ascii="Cambria" w:hAnsi="Cambria"/>
          <w:b w:val="0"/>
          <w:bCs/>
          <w:i w:val="0"/>
          <w:iCs/>
          <w:color w:val="auto"/>
          <w:sz w:val="22"/>
          <w:szCs w:val="22"/>
        </w:rPr>
        <w:t xml:space="preserve">Also, the Department of Health – Biosafety Committee (DOH-BC), after a thorough scientific review and evaluation of documents related to Environmental Health Impact, concluded that </w:t>
      </w:r>
      <w:r>
        <w:rPr>
          <w:rFonts w:hint="default" w:ascii="Cambria" w:hAnsi="Cambria"/>
          <w:b w:val="0"/>
          <w:bCs/>
          <w:i w:val="0"/>
          <w:iCs/>
          <w:color w:val="auto"/>
          <w:sz w:val="22"/>
          <w:szCs w:val="22"/>
          <w:lang w:val="en-PH"/>
        </w:rPr>
        <w:t>oilseed rape MS8</w:t>
      </w:r>
      <w:r>
        <w:rPr>
          <w:rFonts w:hint="default" w:ascii="Cambria" w:hAnsi="Cambria"/>
          <w:b w:val="0"/>
          <w:bCs/>
          <w:i w:val="0"/>
          <w:iCs/>
          <w:color w:val="auto"/>
          <w:sz w:val="22"/>
          <w:szCs w:val="22"/>
        </w:rPr>
        <w:t xml:space="preserve"> will not pose any significant risk to the health and environment and that any hazards could be managed by the measures set by the department. DOH-BC also recommended for the issuance of biosafety permit for </w:t>
      </w:r>
      <w:r>
        <w:rPr>
          <w:rFonts w:hint="default" w:ascii="Cambria" w:hAnsi="Cambria"/>
          <w:b w:val="0"/>
          <w:bCs/>
          <w:i w:val="0"/>
          <w:iCs/>
          <w:color w:val="auto"/>
          <w:sz w:val="22"/>
          <w:szCs w:val="22"/>
          <w:lang w:val="en-PH"/>
        </w:rPr>
        <w:t>oilseed rape MS8</w:t>
      </w:r>
      <w:r>
        <w:rPr>
          <w:rFonts w:hint="default" w:ascii="Cambria" w:hAnsi="Cambria"/>
          <w:b w:val="0"/>
          <w:bCs/>
          <w:i w:val="0"/>
          <w:iCs/>
          <w:color w:val="auto"/>
          <w:sz w:val="22"/>
          <w:szCs w:val="22"/>
        </w:rPr>
        <w:t>.</w:t>
      </w:r>
    </w:p>
    <w:p>
      <w:pPr>
        <w:spacing w:after="40"/>
        <w:ind w:left="360"/>
        <w:jc w:val="both"/>
        <w:rPr>
          <w:rFonts w:hint="default" w:ascii="Cambria" w:hAnsi="Cambria"/>
          <w:b w:val="0"/>
          <w:bCs/>
          <w:i w:val="0"/>
          <w:iCs/>
          <w:color w:val="auto"/>
          <w:sz w:val="22"/>
          <w:szCs w:val="22"/>
        </w:rPr>
      </w:pPr>
    </w:p>
    <w:p>
      <w:pPr>
        <w:spacing w:after="40"/>
        <w:ind w:left="360"/>
        <w:jc w:val="both"/>
        <w:rPr>
          <w:rFonts w:ascii="Cambria" w:hAnsi="Cambria"/>
          <w:b w:val="0"/>
          <w:bCs/>
          <w:i w:val="0"/>
          <w:iCs/>
          <w:color w:val="auto"/>
          <w:sz w:val="22"/>
          <w:szCs w:val="22"/>
        </w:rPr>
      </w:pPr>
      <w:r>
        <w:rPr>
          <w:rFonts w:hint="default" w:ascii="Cambria" w:hAnsi="Cambria"/>
          <w:b w:val="0"/>
          <w:bCs/>
          <w:i w:val="0"/>
          <w:iCs/>
          <w:color w:val="auto"/>
          <w:sz w:val="22"/>
          <w:szCs w:val="22"/>
        </w:rPr>
        <w:t>Furthermore, the Socio-economic, Ethical and Cultural (SEC) Considerations expert also recommended for the issuance of biosafety permit for this regulated article after assessing the socio-economic, social and ethical indicators for the adoption of Genetically Modified Organisms.</w:t>
      </w:r>
    </w:p>
    <w:p>
      <w:pPr>
        <w:spacing w:after="40"/>
        <w:ind w:left="360"/>
        <w:jc w:val="both"/>
        <w:rPr>
          <w:rFonts w:ascii="Cambria" w:hAnsi="Cambria"/>
          <w:b w:val="0"/>
          <w:i w:val="0"/>
          <w:color w:val="auto"/>
          <w:sz w:val="22"/>
          <w:szCs w:val="22"/>
        </w:rPr>
      </w:pPr>
    </w:p>
    <w:p>
      <w:pPr>
        <w:spacing w:after="40"/>
        <w:ind w:left="360"/>
        <w:jc w:val="both"/>
        <w:rPr>
          <w:rFonts w:ascii="Cambria" w:hAnsi="Cambria"/>
          <w:b w:val="0"/>
          <w:i w:val="0"/>
          <w:color w:val="auto"/>
          <w:sz w:val="22"/>
          <w:szCs w:val="22"/>
        </w:rPr>
      </w:pPr>
      <w:r>
        <w:rPr>
          <w:rFonts w:ascii="Cambria" w:hAnsi="Cambria"/>
          <w:b w:val="0"/>
          <w:i w:val="0"/>
          <w:color w:val="auto"/>
          <w:sz w:val="22"/>
          <w:szCs w:val="22"/>
        </w:rPr>
        <w:t xml:space="preserve">The DA-Biosafety Committee evaluated the assessment of all agencies including the SEC experts and recommended for the approval of the said application. </w:t>
      </w:r>
    </w:p>
    <w:p>
      <w:pPr>
        <w:spacing w:after="40"/>
        <w:ind w:left="360"/>
        <w:jc w:val="both"/>
        <w:rPr>
          <w:rFonts w:ascii="Cambria" w:hAnsi="Cambria"/>
          <w:b w:val="0"/>
          <w:i w:val="0"/>
          <w:color w:val="auto"/>
          <w:sz w:val="22"/>
          <w:szCs w:val="22"/>
        </w:rPr>
      </w:pPr>
    </w:p>
    <w:p>
      <w:pPr>
        <w:spacing w:after="40"/>
        <w:jc w:val="both"/>
        <w:rPr>
          <w:rFonts w:ascii="Cambria" w:hAnsi="Cambria"/>
          <w:i w:val="0"/>
          <w:color w:val="auto"/>
          <w:sz w:val="22"/>
          <w:szCs w:val="22"/>
        </w:rPr>
      </w:pPr>
      <w:r>
        <w:rPr>
          <w:rFonts w:ascii="Cambria" w:hAnsi="Cambria"/>
          <w:i w:val="0"/>
          <w:color w:val="auto"/>
          <w:sz w:val="22"/>
          <w:szCs w:val="22"/>
        </w:rPr>
        <w:t>Food and Feed Safety</w:t>
      </w:r>
    </w:p>
    <w:p>
      <w:pPr>
        <w:spacing w:after="40"/>
        <w:jc w:val="both"/>
        <w:rPr>
          <w:rFonts w:ascii="Cambria" w:hAnsi="Cambria"/>
          <w:i w:val="0"/>
          <w:color w:val="auto"/>
          <w:sz w:val="22"/>
          <w:szCs w:val="22"/>
        </w:rPr>
      </w:pPr>
    </w:p>
    <w:p>
      <w:pPr>
        <w:pStyle w:val="2"/>
        <w:numPr>
          <w:ilvl w:val="0"/>
          <w:numId w:val="2"/>
        </w:numPr>
        <w:tabs>
          <w:tab w:val="left" w:pos="540"/>
          <w:tab w:val="clear" w:pos="1080"/>
        </w:tabs>
        <w:spacing w:after="40"/>
        <w:ind w:hanging="1080"/>
        <w:jc w:val="both"/>
        <w:rPr>
          <w:rFonts w:ascii="Cambria" w:hAnsi="Cambria"/>
          <w:color w:val="auto"/>
          <w:sz w:val="22"/>
          <w:szCs w:val="22"/>
          <w:u w:val="single"/>
        </w:rPr>
      </w:pPr>
      <w:r>
        <w:rPr>
          <w:rFonts w:ascii="Cambria" w:hAnsi="Cambria"/>
          <w:color w:val="auto"/>
          <w:sz w:val="22"/>
          <w:szCs w:val="22"/>
          <w:u w:val="single"/>
        </w:rPr>
        <w:t xml:space="preserve">Description of Novel (Introduced) Traits </w:t>
      </w:r>
    </w:p>
    <w:p>
      <w:pPr>
        <w:spacing w:after="40"/>
        <w:ind w:left="543"/>
        <w:jc w:val="both"/>
        <w:rPr>
          <w:rFonts w:ascii="Cambria" w:hAnsi="Cambria"/>
          <w:b w:val="0"/>
          <w:i w:val="0"/>
          <w:color w:val="auto"/>
          <w:sz w:val="22"/>
          <w:szCs w:val="22"/>
        </w:rPr>
      </w:pPr>
    </w:p>
    <w:p>
      <w:pPr>
        <w:spacing w:after="40"/>
        <w:ind w:left="417"/>
        <w:jc w:val="both"/>
        <w:rPr>
          <w:rFonts w:hint="default" w:ascii="Cambria" w:hAnsi="Cambria"/>
          <w:b w:val="0"/>
          <w:i w:val="0"/>
          <w:color w:val="auto"/>
          <w:sz w:val="22"/>
          <w:szCs w:val="22"/>
        </w:rPr>
      </w:pPr>
      <w:r>
        <w:rPr>
          <w:rFonts w:hint="default" w:ascii="Cambria" w:hAnsi="Cambria"/>
          <w:b w:val="0"/>
          <w:i w:val="0"/>
          <w:color w:val="auto"/>
          <w:sz w:val="22"/>
          <w:szCs w:val="22"/>
        </w:rPr>
        <w:t>MS8 oilseed rape contains a male sterility gene barnase from Bacillus amyloliquefaciens which encodes for the ribonuclease enzyme Barnase. Barnase, when expressed in the tapetal cells of the anthers during pollen development, results in lack of viable pollen and consequently to male sterility in MS8. MS8 oilseed rape also contains the bar gene from Streptomyces hygroscopicus which encodes for phosphinothricin acetyltransferase (PAT) conferring tolerance to herbicides containing glufosinate-ammonium. Since MS8 oilseed rape does not produce viable pollen grains, it cannot self-pollinate and cannot be commercialized on its own.</w:t>
      </w:r>
    </w:p>
    <w:p>
      <w:pPr>
        <w:spacing w:after="40"/>
        <w:ind w:left="417"/>
        <w:jc w:val="both"/>
        <w:rPr>
          <w:rFonts w:ascii="Cambria" w:hAnsi="Cambria"/>
          <w:b w:val="0"/>
          <w:i w:val="0"/>
          <w:color w:val="auto"/>
          <w:sz w:val="22"/>
          <w:szCs w:val="22"/>
        </w:rPr>
      </w:pPr>
      <w:r>
        <w:rPr>
          <w:rFonts w:ascii="Cambria" w:hAnsi="Cambria"/>
          <w:b w:val="0"/>
          <w:i w:val="0"/>
          <w:color w:val="auto"/>
          <w:sz w:val="22"/>
          <w:szCs w:val="22"/>
        </w:rPr>
        <w:t xml:space="preserve"> </w:t>
      </w:r>
    </w:p>
    <w:p>
      <w:pPr>
        <w:pStyle w:val="3"/>
        <w:spacing w:after="40"/>
        <w:ind w:left="417" w:firstLine="663"/>
        <w:jc w:val="both"/>
        <w:rPr>
          <w:rFonts w:ascii="Cambria" w:hAnsi="Cambria"/>
          <w:color w:val="auto"/>
          <w:sz w:val="22"/>
          <w:szCs w:val="22"/>
        </w:rPr>
      </w:pPr>
      <w:r>
        <w:rPr>
          <w:rFonts w:ascii="Cambria" w:hAnsi="Cambria"/>
          <w:color w:val="auto"/>
          <w:sz w:val="22"/>
          <w:szCs w:val="22"/>
        </w:rPr>
        <w:t>Safety of the Expressed Proteins</w:t>
      </w:r>
    </w:p>
    <w:p>
      <w:pPr>
        <w:spacing w:after="40"/>
        <w:ind w:left="360"/>
        <w:jc w:val="both"/>
        <w:rPr>
          <w:rFonts w:ascii="Cambria" w:hAnsi="Cambria"/>
          <w:b w:val="0"/>
          <w:i w:val="0"/>
          <w:color w:val="auto"/>
          <w:sz w:val="22"/>
          <w:szCs w:val="22"/>
        </w:rPr>
      </w:pPr>
    </w:p>
    <w:p>
      <w:pPr>
        <w:spacing w:after="40"/>
        <w:ind w:left="360"/>
        <w:jc w:val="both"/>
        <w:rPr>
          <w:rFonts w:hint="default" w:ascii="Cambria" w:hAnsi="Cambria"/>
          <w:b w:val="0"/>
          <w:i w:val="0"/>
          <w:color w:val="auto"/>
          <w:sz w:val="22"/>
          <w:szCs w:val="22"/>
        </w:rPr>
      </w:pPr>
      <w:r>
        <w:rPr>
          <w:rFonts w:hint="default" w:ascii="Cambria" w:hAnsi="Cambria"/>
          <w:b w:val="0"/>
          <w:i w:val="0"/>
          <w:color w:val="auto"/>
          <w:sz w:val="22"/>
          <w:szCs w:val="22"/>
        </w:rPr>
        <w:t>Safety assessments conducted on MS8 oilseed rape demonstrate no potential effects on human and animal health and the environment. Barnase in MS8 is expressed selectively in the tapetum during anther development. Therefore, no exposure is expected to the Barnase protein for animals or humans. The PAT protein has well understood activity, substrate specificity and share similar structural and functional properties with the class of acetyltransferase proteins that are widely distributed in nature. The PAT proteins share no sequence homology with known allergens and toxins and are not stable in digestive environments. An acute gavage study in mice found no adverse effects from exposure to a high oral dose of the PAT protein. The donor organisms, the introduced genes and the expressed proteins are widely distributed in nature and ubiquitous in the environment.</w:t>
      </w:r>
    </w:p>
    <w:p>
      <w:pPr>
        <w:spacing w:after="40"/>
        <w:ind w:left="360"/>
        <w:jc w:val="both"/>
        <w:rPr>
          <w:rFonts w:hint="default" w:ascii="Cambria" w:hAnsi="Cambria"/>
          <w:b w:val="0"/>
          <w:i w:val="0"/>
          <w:color w:val="auto"/>
          <w:sz w:val="22"/>
          <w:szCs w:val="22"/>
        </w:rPr>
      </w:pPr>
    </w:p>
    <w:p>
      <w:pPr>
        <w:pStyle w:val="2"/>
        <w:tabs>
          <w:tab w:val="left" w:pos="540"/>
          <w:tab w:val="clear" w:pos="1080"/>
        </w:tabs>
        <w:spacing w:after="40"/>
        <w:ind w:hanging="1080"/>
        <w:jc w:val="both"/>
        <w:rPr>
          <w:rFonts w:ascii="Cambria" w:hAnsi="Cambria"/>
          <w:color w:val="auto"/>
          <w:sz w:val="22"/>
          <w:szCs w:val="22"/>
          <w:u w:val="single"/>
        </w:rPr>
      </w:pPr>
      <w:r>
        <w:rPr>
          <w:rFonts w:ascii="Cambria" w:hAnsi="Cambria"/>
          <w:color w:val="auto"/>
          <w:sz w:val="22"/>
          <w:szCs w:val="22"/>
          <w:u w:val="single"/>
        </w:rPr>
        <w:t>Nutritional Composition (Compositional Analysis)</w:t>
      </w:r>
    </w:p>
    <w:p>
      <w:pPr>
        <w:spacing w:after="40"/>
        <w:ind w:left="360"/>
        <w:jc w:val="both"/>
        <w:rPr>
          <w:rFonts w:ascii="Cambria" w:hAnsi="Cambria"/>
          <w:b w:val="0"/>
          <w:i w:val="0"/>
          <w:color w:val="auto"/>
          <w:sz w:val="22"/>
          <w:szCs w:val="22"/>
        </w:rPr>
      </w:pPr>
    </w:p>
    <w:p>
      <w:pPr>
        <w:spacing w:after="40"/>
        <w:ind w:left="360"/>
        <w:jc w:val="both"/>
        <w:rPr>
          <w:rFonts w:hint="default" w:ascii="Cambria" w:hAnsi="Cambria" w:cs="Tahoma"/>
          <w:b w:val="0"/>
          <w:i w:val="0"/>
          <w:color w:val="auto"/>
          <w:sz w:val="22"/>
          <w:szCs w:val="22"/>
          <w:lang w:val="en-PH"/>
        </w:rPr>
      </w:pPr>
      <w:r>
        <w:rPr>
          <w:rFonts w:hint="default" w:ascii="Cambria" w:hAnsi="Cambria" w:cs="Tahoma"/>
          <w:b w:val="0"/>
          <w:i w:val="0"/>
          <w:color w:val="auto"/>
          <w:sz w:val="22"/>
          <w:szCs w:val="22"/>
          <w:lang w:val="en-PH"/>
        </w:rPr>
        <w:t>MS8 is a male sterile which could not produce any seed solely. Hence no sole product of MS8 is therefore expected to be present in food and will be available for nutritional analysis. Oilseed rape foliage is also not used as fodder or as feed to animals.</w:t>
      </w:r>
    </w:p>
    <w:p>
      <w:pPr>
        <w:spacing w:after="40"/>
        <w:ind w:left="360"/>
        <w:jc w:val="both"/>
        <w:rPr>
          <w:rFonts w:hint="default" w:ascii="Cambria" w:hAnsi="Cambria" w:cs="Tahoma"/>
          <w:b w:val="0"/>
          <w:i w:val="0"/>
          <w:color w:val="auto"/>
          <w:sz w:val="22"/>
          <w:szCs w:val="22"/>
          <w:lang w:val="en-PH"/>
        </w:rPr>
      </w:pPr>
    </w:p>
    <w:p>
      <w:pPr>
        <w:pStyle w:val="2"/>
        <w:tabs>
          <w:tab w:val="left" w:pos="900"/>
          <w:tab w:val="clear" w:pos="1080"/>
        </w:tabs>
        <w:ind w:left="630" w:hanging="810"/>
        <w:rPr>
          <w:rFonts w:asciiTheme="majorHAnsi" w:hAnsiTheme="majorHAnsi"/>
          <w:color w:val="auto"/>
          <w:sz w:val="22"/>
          <w:szCs w:val="22"/>
          <w:u w:val="single"/>
        </w:rPr>
      </w:pPr>
      <w:r>
        <w:rPr>
          <w:rFonts w:asciiTheme="majorHAnsi" w:hAnsiTheme="majorHAnsi"/>
          <w:color w:val="auto"/>
          <w:sz w:val="22"/>
          <w:szCs w:val="22"/>
          <w:u w:val="single"/>
        </w:rPr>
        <w:t>Anti-Nutritional Factors</w:t>
      </w:r>
    </w:p>
    <w:p>
      <w:pPr>
        <w:spacing w:after="40"/>
        <w:rPr>
          <w:rFonts w:ascii="Cambria" w:hAnsi="Cambria"/>
          <w:color w:val="auto"/>
          <w:sz w:val="22"/>
          <w:szCs w:val="22"/>
        </w:rPr>
      </w:pPr>
    </w:p>
    <w:p>
      <w:pPr>
        <w:spacing w:after="40"/>
        <w:ind w:left="360"/>
        <w:jc w:val="both"/>
        <w:rPr>
          <w:rFonts w:hint="default" w:ascii="Cambria" w:hAnsi="Cambria"/>
          <w:b w:val="0"/>
          <w:i w:val="0"/>
          <w:color w:val="auto"/>
          <w:sz w:val="22"/>
          <w:szCs w:val="22"/>
        </w:rPr>
      </w:pPr>
      <w:r>
        <w:rPr>
          <w:rFonts w:hint="default" w:ascii="Cambria" w:hAnsi="Cambria"/>
          <w:b w:val="0"/>
          <w:i w:val="0"/>
          <w:color w:val="auto"/>
          <w:sz w:val="22"/>
          <w:szCs w:val="22"/>
        </w:rPr>
        <w:t>Low erucic acid rapeseed contains pigments such as chlorophyllides and pheophorbides which may present nutritional effect due to their phototoxicity which may be followed by photosensitive dermatitis. Such pigments are being removed in the bleaching step during the processing. Also, the poisoning effect of the catalysts are being mitigated through grading standards where the lots which exceed the maximum tolerance level are rejected. The seed contains glucosinolates and phenolic compounds such as tannin, sinapine and phytic acid while the meal is known to contain glucosinolates only.</w:t>
      </w:r>
    </w:p>
    <w:p>
      <w:pPr>
        <w:spacing w:after="40"/>
        <w:ind w:left="360"/>
        <w:jc w:val="both"/>
        <w:rPr>
          <w:rFonts w:hint="default" w:ascii="Cambria" w:hAnsi="Cambria"/>
          <w:b w:val="0"/>
          <w:i w:val="0"/>
          <w:color w:val="auto"/>
          <w:sz w:val="22"/>
          <w:szCs w:val="22"/>
        </w:rPr>
      </w:pPr>
    </w:p>
    <w:p>
      <w:pPr>
        <w:spacing w:after="40"/>
        <w:ind w:left="360"/>
        <w:jc w:val="both"/>
        <w:rPr>
          <w:rFonts w:hint="default" w:ascii="Cambria" w:hAnsi="Cambria"/>
          <w:b w:val="0"/>
          <w:i w:val="0"/>
          <w:color w:val="auto"/>
          <w:sz w:val="22"/>
          <w:szCs w:val="22"/>
        </w:rPr>
      </w:pPr>
      <w:r>
        <w:rPr>
          <w:rFonts w:hint="default" w:ascii="Cambria" w:hAnsi="Cambria"/>
          <w:b w:val="0"/>
          <w:i w:val="0"/>
          <w:color w:val="auto"/>
          <w:sz w:val="22"/>
          <w:szCs w:val="22"/>
        </w:rPr>
        <w:t>OECD Consensus Document (2011) indicated that several published studies reporting sensitivity and allergenicity of adults to Brassica species. Most describe rare cases of respiratory symptoms are due to occupational exposure. Allergenicity to low erucic acid rapeseed oil has not yet been reported in scientific literatures. This is probably due to the very low levels or absence of protein in low erucic acid rapeseed oil.</w:t>
      </w:r>
    </w:p>
    <w:p>
      <w:pPr>
        <w:spacing w:after="40"/>
        <w:ind w:left="360"/>
        <w:jc w:val="both"/>
        <w:rPr>
          <w:rFonts w:ascii="Cambria" w:hAnsi="Cambria"/>
          <w:color w:val="auto"/>
          <w:sz w:val="22"/>
          <w:szCs w:val="22"/>
          <w:u w:val="single"/>
        </w:rPr>
      </w:pPr>
      <w:r>
        <w:rPr>
          <w:rFonts w:ascii="Cambria" w:hAnsi="Cambria"/>
          <w:b w:val="0"/>
          <w:i w:val="0"/>
          <w:color w:val="auto"/>
          <w:sz w:val="22"/>
          <w:szCs w:val="22"/>
          <w:lang w:val="en-PH" w:eastAsia="en-PH"/>
        </w:rPr>
        <mc:AlternateContent>
          <mc:Choice Requires="wps">
            <w:drawing>
              <wp:anchor distT="0" distB="0" distL="114300" distR="114300" simplePos="0" relativeHeight="251658240" behindDoc="0" locked="0" layoutInCell="1" allowOverlap="1">
                <wp:simplePos x="0" y="0"/>
                <wp:positionH relativeFrom="column">
                  <wp:posOffset>-229235</wp:posOffset>
                </wp:positionH>
                <wp:positionV relativeFrom="paragraph">
                  <wp:posOffset>1905</wp:posOffset>
                </wp:positionV>
                <wp:extent cx="6673215" cy="0"/>
                <wp:effectExtent l="8890" t="13335" r="13970" b="5715"/>
                <wp:wrapNone/>
                <wp:docPr id="2" name="AutoShape 2"/>
                <wp:cNvGraphicFramePr/>
                <a:graphic xmlns:a="http://schemas.openxmlformats.org/drawingml/2006/main">
                  <a:graphicData uri="http://schemas.microsoft.com/office/word/2010/wordprocessingShape">
                    <wps:wsp>
                      <wps:cNvCnPr>
                        <a:cxnSpLocks noChangeShapeType="1"/>
                      </wps:cNvCnPr>
                      <wps:spPr bwMode="auto">
                        <a:xfrm>
                          <a:off x="0" y="0"/>
                          <a:ext cx="6673215" cy="0"/>
                        </a:xfrm>
                        <a:prstGeom prst="straightConnector1">
                          <a:avLst/>
                        </a:prstGeom>
                        <a:noFill/>
                        <a:ln w="9525">
                          <a:solidFill>
                            <a:srgbClr val="000000"/>
                          </a:solidFill>
                          <a:round/>
                        </a:ln>
                      </wps:spPr>
                      <wps:bodyPr/>
                    </wps:wsp>
                  </a:graphicData>
                </a:graphic>
              </wp:anchor>
            </w:drawing>
          </mc:Choice>
          <mc:Fallback>
            <w:pict>
              <v:shape id="AutoShape 2" o:spid="_x0000_s1026" o:spt="32" type="#_x0000_t32" style="position:absolute;left:0pt;margin-left:-18.05pt;margin-top:0.15pt;height:0pt;width:525.45pt;z-index:251658240;mso-width-relative:page;mso-height-relative:page;" filled="f" stroked="t" coordsize="21600,21600" o:gfxdata="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LslsDNQAAAAGAQAADwAAAAAAAAABACAAAAAiAAAAZHJzL2Rvd25yZXYueG1sUEsBAhQAFAAA&#10;AAgAh07iQJBF1ly6AQAAZAMAAA4AAAAAAAAAAQAgAAAAIwEAAGRycy9lMm9Eb2MueG1sUEsFBgAA&#10;AAAGAAYAWQEAAE8FAAAAAA==&#10;">
                <v:fill on="f" focussize="0,0"/>
                <v:stroke color="#000000" joinstyle="round"/>
                <v:imagedata o:title=""/>
                <o:lock v:ext="edit" aspectratio="f"/>
              </v:shape>
            </w:pict>
          </mc:Fallback>
        </mc:AlternateContent>
      </w:r>
    </w:p>
    <w:p>
      <w:pPr>
        <w:spacing w:after="40"/>
        <w:ind w:left="90"/>
        <w:jc w:val="both"/>
        <w:rPr>
          <w:rFonts w:ascii="Cambria" w:hAnsi="Cambria"/>
          <w:i w:val="0"/>
          <w:color w:val="auto"/>
          <w:sz w:val="22"/>
          <w:szCs w:val="22"/>
        </w:rPr>
      </w:pPr>
    </w:p>
    <w:p>
      <w:pPr>
        <w:spacing w:after="40"/>
        <w:ind w:left="90"/>
        <w:jc w:val="both"/>
        <w:rPr>
          <w:rFonts w:ascii="Cambria" w:hAnsi="Cambria"/>
          <w:i w:val="0"/>
          <w:color w:val="auto"/>
          <w:sz w:val="22"/>
          <w:szCs w:val="22"/>
        </w:rPr>
      </w:pPr>
    </w:p>
    <w:p>
      <w:pPr>
        <w:spacing w:after="40"/>
        <w:ind w:left="90"/>
        <w:jc w:val="both"/>
        <w:rPr>
          <w:rFonts w:ascii="Cambria" w:hAnsi="Cambria"/>
          <w:i w:val="0"/>
          <w:color w:val="auto"/>
          <w:sz w:val="22"/>
          <w:szCs w:val="22"/>
        </w:rPr>
      </w:pPr>
      <w:r>
        <w:rPr>
          <w:rFonts w:ascii="Cambria" w:hAnsi="Cambria"/>
          <w:i w:val="0"/>
          <w:color w:val="auto"/>
          <w:sz w:val="22"/>
          <w:szCs w:val="22"/>
        </w:rPr>
        <w:t>Environmental Risk Assessment</w:t>
      </w:r>
    </w:p>
    <w:p>
      <w:pPr>
        <w:spacing w:after="40"/>
        <w:rPr>
          <w:rFonts w:ascii="Cambria" w:hAnsi="Cambria"/>
          <w:color w:val="auto"/>
          <w:sz w:val="22"/>
          <w:szCs w:val="22"/>
        </w:rPr>
      </w:pPr>
    </w:p>
    <w:p>
      <w:pPr>
        <w:spacing w:after="40"/>
        <w:ind w:left="360"/>
        <w:jc w:val="both"/>
        <w:rPr>
          <w:rFonts w:ascii="Cambria" w:hAnsi="Cambria"/>
          <w:b w:val="0"/>
          <w:i w:val="0"/>
          <w:color w:val="auto"/>
          <w:sz w:val="22"/>
          <w:szCs w:val="22"/>
        </w:rPr>
      </w:pPr>
      <w:r>
        <w:rPr>
          <w:rFonts w:ascii="Cambria" w:hAnsi="Cambria"/>
          <w:b w:val="0"/>
          <w:i w:val="0"/>
          <w:color w:val="auto"/>
          <w:sz w:val="22"/>
          <w:szCs w:val="22"/>
        </w:rPr>
        <w:t xml:space="preserve">After a thorough scientific review and evaluation of the documents provided by the Bureau of Plant Industry (BPI) to the DENR Biosafety Committee within the prescribed period pursuant to the Joint Department Circular (JDC) No. 1 S 2016 on the application of </w:t>
      </w:r>
      <w:r>
        <w:rPr>
          <w:rFonts w:ascii="Cambria" w:hAnsi="Cambria"/>
          <w:b w:val="0"/>
          <w:i w:val="0"/>
          <w:color w:val="auto"/>
          <w:sz w:val="22"/>
          <w:szCs w:val="22"/>
          <w:lang w:val="en-PH"/>
        </w:rPr>
        <w:t>BASF</w:t>
      </w:r>
      <w:r>
        <w:rPr>
          <w:rFonts w:ascii="Cambria" w:hAnsi="Cambria"/>
          <w:b w:val="0"/>
          <w:i w:val="0"/>
          <w:color w:val="auto"/>
          <w:sz w:val="22"/>
          <w:szCs w:val="22"/>
        </w:rPr>
        <w:t xml:space="preserve"> Philippines Inc. for direct use for feed, food or processing of Genetically Modified </w:t>
      </w:r>
      <w:r>
        <w:rPr>
          <w:rFonts w:ascii="Cambria" w:hAnsi="Cambria"/>
          <w:b w:val="0"/>
          <w:i w:val="0"/>
          <w:color w:val="auto"/>
          <w:sz w:val="22"/>
          <w:szCs w:val="22"/>
          <w:lang w:val="en-PH"/>
        </w:rPr>
        <w:t>oilseed rape</w:t>
      </w:r>
      <w:r>
        <w:rPr>
          <w:rFonts w:ascii="Cambria" w:hAnsi="Cambria"/>
          <w:b w:val="0"/>
          <w:i w:val="0"/>
          <w:color w:val="auto"/>
          <w:sz w:val="22"/>
          <w:szCs w:val="22"/>
        </w:rPr>
        <w:t xml:space="preserve"> with single-trait product </w:t>
      </w:r>
      <w:r>
        <w:rPr>
          <w:rFonts w:ascii="Cambria" w:hAnsi="Cambria"/>
          <w:b w:val="0"/>
          <w:i w:val="0"/>
          <w:color w:val="auto"/>
          <w:sz w:val="22"/>
          <w:szCs w:val="22"/>
          <w:lang w:val="en-PH"/>
        </w:rPr>
        <w:t>MS8</w:t>
      </w:r>
      <w:r>
        <w:rPr>
          <w:rFonts w:ascii="Cambria" w:hAnsi="Cambria"/>
          <w:b w:val="0"/>
          <w:i w:val="0"/>
          <w:color w:val="auto"/>
          <w:sz w:val="22"/>
          <w:szCs w:val="22"/>
        </w:rPr>
        <w:t>, along with the submitted sworn statement and accountability of the proponent, a biosafety permit may be issued to the proponent if the conditions set by DENR are followed.</w:t>
      </w:r>
    </w:p>
    <w:p>
      <w:pPr>
        <w:spacing w:after="40"/>
        <w:ind w:left="360"/>
        <w:jc w:val="both"/>
        <w:rPr>
          <w:rFonts w:ascii="Cambria" w:hAnsi="Cambria"/>
          <w:b w:val="0"/>
          <w:i w:val="0"/>
          <w:color w:val="auto"/>
          <w:sz w:val="22"/>
          <w:szCs w:val="22"/>
        </w:rPr>
      </w:pPr>
    </w:p>
    <w:p>
      <w:pPr>
        <w:spacing w:after="40"/>
        <w:ind w:left="90"/>
        <w:jc w:val="both"/>
        <w:rPr>
          <w:rFonts w:ascii="Cambria" w:hAnsi="Cambria"/>
          <w:b w:val="0"/>
          <w:i w:val="0"/>
          <w:color w:val="auto"/>
          <w:sz w:val="22"/>
          <w:szCs w:val="22"/>
        </w:rPr>
      </w:pPr>
      <w:r>
        <w:rPr>
          <w:rFonts w:ascii="Cambria" w:hAnsi="Cambria"/>
          <w:i w:val="0"/>
          <w:color w:val="auto"/>
          <w:sz w:val="22"/>
          <w:szCs w:val="22"/>
        </w:rPr>
        <w:t>Environmental Health Risk Assessment</w:t>
      </w:r>
    </w:p>
    <w:p>
      <w:pPr>
        <w:spacing w:after="40"/>
        <w:rPr>
          <w:rFonts w:ascii="Cambria" w:hAnsi="Cambria"/>
          <w:color w:val="auto"/>
          <w:sz w:val="22"/>
          <w:szCs w:val="22"/>
        </w:rPr>
      </w:pPr>
    </w:p>
    <w:p>
      <w:pPr>
        <w:spacing w:after="40"/>
        <w:ind w:left="360"/>
        <w:jc w:val="both"/>
        <w:rPr>
          <w:rFonts w:ascii="Cambria" w:hAnsi="Cambria"/>
          <w:b w:val="0"/>
          <w:i w:val="0"/>
          <w:color w:val="auto"/>
          <w:sz w:val="22"/>
          <w:szCs w:val="22"/>
        </w:rPr>
      </w:pPr>
      <w:r>
        <w:rPr>
          <w:rFonts w:ascii="Cambria" w:hAnsi="Cambria"/>
          <w:b w:val="0"/>
          <w:i w:val="0"/>
          <w:color w:val="auto"/>
          <w:sz w:val="22"/>
          <w:szCs w:val="22"/>
        </w:rPr>
        <w:t>After a thorough scientific review and evaluation of the documents, DOH find sufficient evidence that the regulated article applied for direct use will not pose any significant risk to health and environment and that any hazards could be managed by the measures set by DOH.</w:t>
      </w:r>
    </w:p>
    <w:p>
      <w:pPr>
        <w:spacing w:after="40"/>
        <w:ind w:left="360"/>
        <w:jc w:val="both"/>
        <w:rPr>
          <w:rFonts w:ascii="Cambria" w:hAnsi="Cambria"/>
          <w:color w:val="auto"/>
          <w:sz w:val="22"/>
          <w:szCs w:val="22"/>
          <w:u w:val="single"/>
        </w:rPr>
      </w:pPr>
      <w:r>
        <w:rPr>
          <w:rFonts w:ascii="Cambria" w:hAnsi="Cambria"/>
          <w:b w:val="0"/>
          <w:i w:val="0"/>
          <w:color w:val="auto"/>
          <w:sz w:val="22"/>
          <w:szCs w:val="22"/>
          <w:lang w:val="en-PH" w:eastAsia="en-PH"/>
        </w:rPr>
        <mc:AlternateContent>
          <mc:Choice Requires="wps">
            <w:drawing>
              <wp:anchor distT="0" distB="0" distL="114300" distR="114300" simplePos="0" relativeHeight="251659264" behindDoc="0" locked="0" layoutInCell="1" allowOverlap="1">
                <wp:simplePos x="0" y="0"/>
                <wp:positionH relativeFrom="column">
                  <wp:posOffset>-338455</wp:posOffset>
                </wp:positionH>
                <wp:positionV relativeFrom="paragraph">
                  <wp:posOffset>84455</wp:posOffset>
                </wp:positionV>
                <wp:extent cx="6673215" cy="0"/>
                <wp:effectExtent l="13970" t="13970" r="8890" b="5080"/>
                <wp:wrapNone/>
                <wp:docPr id="1" name="AutoShape 3"/>
                <wp:cNvGraphicFramePr/>
                <a:graphic xmlns:a="http://schemas.openxmlformats.org/drawingml/2006/main">
                  <a:graphicData uri="http://schemas.microsoft.com/office/word/2010/wordprocessingShape">
                    <wps:wsp>
                      <wps:cNvCnPr>
                        <a:cxnSpLocks noChangeShapeType="1"/>
                      </wps:cNvCnPr>
                      <wps:spPr bwMode="auto">
                        <a:xfrm>
                          <a:off x="0" y="0"/>
                          <a:ext cx="6673215" cy="0"/>
                        </a:xfrm>
                        <a:prstGeom prst="straightConnector1">
                          <a:avLst/>
                        </a:prstGeom>
                        <a:noFill/>
                        <a:ln w="9525">
                          <a:solidFill>
                            <a:srgbClr val="000000"/>
                          </a:solidFill>
                          <a:round/>
                        </a:ln>
                      </wps:spPr>
                      <wps:bodyPr/>
                    </wps:wsp>
                  </a:graphicData>
                </a:graphic>
              </wp:anchor>
            </w:drawing>
          </mc:Choice>
          <mc:Fallback>
            <w:pict>
              <v:shape id="AutoShape 3" o:spid="_x0000_s1026" o:spt="32" type="#_x0000_t32" style="position:absolute;left:0pt;margin-left:-26.65pt;margin-top:6.65pt;height:0pt;width:525.45pt;z-index:251659264;mso-width-relative:page;mso-height-relative:page;" filled="f" stroked="t" coordsize="21600,21600" o:gfxdata="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EyxodcAAAAJAQAADwAAAAAAAAABACAAAAAiAAAAZHJzL2Rvd25yZXYueG1sUEsBAhQA&#10;FAAAAAgAh07iQBZaahK6AQAAZAMAAA4AAAAAAAAAAQAgAAAAJgEAAGRycy9lMm9Eb2MueG1sUEsF&#10;BgAAAAAGAAYAWQEAAFIFAAAAAA==&#10;">
                <v:fill on="f" focussize="0,0"/>
                <v:stroke color="#000000" joinstyle="round"/>
                <v:imagedata o:title=""/>
                <o:lock v:ext="edit" aspectratio="f"/>
              </v:shape>
            </w:pict>
          </mc:Fallback>
        </mc:AlternateContent>
      </w:r>
    </w:p>
    <w:p>
      <w:pPr>
        <w:spacing w:after="40"/>
        <w:ind w:left="360"/>
        <w:jc w:val="both"/>
        <w:rPr>
          <w:rFonts w:ascii="Cambria" w:hAnsi="Cambria"/>
          <w:color w:val="auto"/>
          <w:sz w:val="22"/>
          <w:szCs w:val="22"/>
          <w:u w:val="single"/>
        </w:rPr>
      </w:pPr>
    </w:p>
    <w:p>
      <w:pPr>
        <w:spacing w:after="40"/>
        <w:ind w:left="90"/>
        <w:jc w:val="both"/>
        <w:rPr>
          <w:rFonts w:ascii="Cambria" w:hAnsi="Cambria"/>
          <w:i w:val="0"/>
          <w:color w:val="auto"/>
          <w:sz w:val="22"/>
          <w:szCs w:val="22"/>
        </w:rPr>
      </w:pPr>
      <w:r>
        <w:rPr>
          <w:rFonts w:ascii="Cambria" w:hAnsi="Cambria"/>
          <w:i w:val="0"/>
          <w:color w:val="auto"/>
          <w:sz w:val="22"/>
          <w:szCs w:val="22"/>
        </w:rPr>
        <w:t>Socio-economic. Ethical and Cultural Impact Assessment</w:t>
      </w:r>
    </w:p>
    <w:p>
      <w:pPr>
        <w:spacing w:after="40"/>
        <w:rPr>
          <w:rFonts w:ascii="Cambria" w:hAnsi="Cambria"/>
          <w:color w:val="auto"/>
          <w:sz w:val="22"/>
          <w:szCs w:val="22"/>
        </w:rPr>
      </w:pPr>
    </w:p>
    <w:p>
      <w:pPr>
        <w:spacing w:after="40"/>
        <w:ind w:left="356" w:leftChars="198" w:firstLine="2" w:firstLineChars="0"/>
        <w:jc w:val="both"/>
        <w:rPr>
          <w:rFonts w:hint="default" w:ascii="Cambria" w:hAnsi="Cambria"/>
          <w:b w:val="0"/>
          <w:i w:val="0"/>
          <w:color w:val="auto"/>
          <w:sz w:val="22"/>
          <w:szCs w:val="22"/>
        </w:rPr>
      </w:pPr>
      <w:r>
        <w:rPr>
          <w:rFonts w:hint="default" w:ascii="Cambria" w:hAnsi="Cambria"/>
          <w:b w:val="0"/>
          <w:i w:val="0"/>
          <w:color w:val="auto"/>
          <w:sz w:val="22"/>
          <w:szCs w:val="22"/>
        </w:rPr>
        <w:t>MS8 is male sterile hence on its own cannot produce rapeseeds. It is then expected that no rapeseed commodity, solely from MS8, would be produced, consumed or traded. In cases where MS8 will be stacked with other events, those are already beyond the scope of this project or application. It is to be noted that MS8 is not intended to be grown or cultivated in the Philippines. In addition, Bayer itself does not import, nor is it engaged in bringing in rapeseed commodities, and is not involved in importation and processing of any rapeseed commodity (whether or not having the MS8 event) for aforementioned and for any other purpose. Bayer has no legal access to locally traded rapeseed commodities</w:t>
      </w:r>
    </w:p>
    <w:p>
      <w:pPr>
        <w:spacing w:after="40"/>
        <w:jc w:val="both"/>
        <w:rPr>
          <w:rFonts w:hint="default" w:ascii="Cambria" w:hAnsi="Cambria"/>
          <w:b w:val="0"/>
          <w:i w:val="0"/>
          <w:color w:val="auto"/>
          <w:sz w:val="22"/>
          <w:szCs w:val="22"/>
        </w:rPr>
      </w:pPr>
    </w:p>
    <w:p>
      <w:pPr>
        <w:spacing w:after="40"/>
        <w:ind w:left="356" w:leftChars="198" w:firstLine="2" w:firstLineChars="0"/>
        <w:jc w:val="both"/>
        <w:rPr>
          <w:rFonts w:hint="default" w:ascii="Cambria" w:hAnsi="Cambria"/>
          <w:b w:val="0"/>
          <w:i w:val="0"/>
          <w:color w:val="auto"/>
          <w:sz w:val="22"/>
          <w:szCs w:val="22"/>
        </w:rPr>
      </w:pPr>
      <w:r>
        <w:rPr>
          <w:rFonts w:hint="default" w:ascii="Cambria" w:hAnsi="Cambria"/>
          <w:b w:val="0"/>
          <w:i w:val="0"/>
          <w:color w:val="auto"/>
          <w:sz w:val="22"/>
          <w:szCs w:val="22"/>
        </w:rPr>
        <w:t>Further, MS8 is male sterile hence no drastic change in the current patters or production and trade is expected. Therefore the expert recommends for the approval and issuance of biosafety permit of the said GM product.</w:t>
      </w:r>
    </w:p>
    <w:p>
      <w:pPr>
        <w:spacing w:after="40"/>
        <w:ind w:left="356" w:leftChars="198" w:firstLine="2" w:firstLineChars="0"/>
        <w:jc w:val="both"/>
        <w:rPr>
          <w:rFonts w:hint="default" w:ascii="Cambria" w:hAnsi="Cambria"/>
          <w:b w:val="0"/>
          <w:i w:val="0"/>
          <w:color w:val="auto"/>
          <w:sz w:val="22"/>
          <w:szCs w:val="22"/>
        </w:rPr>
      </w:pPr>
    </w:p>
    <w:p>
      <w:pPr>
        <w:spacing w:after="40"/>
        <w:ind w:left="90"/>
        <w:jc w:val="both"/>
        <w:rPr>
          <w:rFonts w:ascii="Cambria" w:hAnsi="Cambria"/>
          <w:i w:val="0"/>
          <w:color w:val="auto"/>
          <w:sz w:val="22"/>
          <w:szCs w:val="22"/>
        </w:rPr>
      </w:pPr>
      <w:r>
        <w:rPr>
          <w:rFonts w:ascii="Cambria" w:hAnsi="Cambria"/>
          <w:i w:val="0"/>
          <w:color w:val="auto"/>
          <w:sz w:val="22"/>
          <w:szCs w:val="22"/>
        </w:rPr>
        <w:t>Regulatory Decision</w:t>
      </w:r>
    </w:p>
    <w:p>
      <w:pPr>
        <w:pStyle w:val="5"/>
        <w:spacing w:after="40"/>
        <w:ind w:left="360"/>
        <w:rPr>
          <w:rFonts w:ascii="Cambria" w:hAnsi="Cambria"/>
          <w:color w:val="auto"/>
          <w:sz w:val="22"/>
          <w:szCs w:val="22"/>
        </w:rPr>
      </w:pPr>
    </w:p>
    <w:p>
      <w:pPr>
        <w:spacing w:after="40"/>
        <w:ind w:left="360"/>
        <w:jc w:val="both"/>
        <w:rPr>
          <w:color w:val="auto"/>
          <w:sz w:val="22"/>
          <w:szCs w:val="22"/>
        </w:rPr>
      </w:pPr>
      <w:r>
        <w:rPr>
          <w:rFonts w:ascii="Cambria" w:hAnsi="Cambria"/>
          <w:b w:val="0"/>
          <w:i w:val="0"/>
          <w:color w:val="auto"/>
          <w:sz w:val="22"/>
          <w:szCs w:val="22"/>
        </w:rPr>
        <w:t xml:space="preserve">Based on the results of the risk evaluation of the submitted scientific data and other information relevant to the application of </w:t>
      </w:r>
      <w:r>
        <w:rPr>
          <w:rFonts w:ascii="Cambria" w:hAnsi="Cambria"/>
          <w:b w:val="0"/>
          <w:i w:val="0"/>
          <w:color w:val="auto"/>
          <w:sz w:val="22"/>
          <w:szCs w:val="22"/>
          <w:lang w:val="en-PH"/>
        </w:rPr>
        <w:t>BASF</w:t>
      </w:r>
      <w:r>
        <w:rPr>
          <w:rFonts w:ascii="Cambria" w:hAnsi="Cambria"/>
          <w:b w:val="0"/>
          <w:i w:val="0"/>
          <w:color w:val="auto"/>
          <w:sz w:val="22"/>
          <w:szCs w:val="22"/>
        </w:rPr>
        <w:t xml:space="preserve"> Philippines Inc., it is concluded that </w:t>
      </w:r>
      <w:r>
        <w:rPr>
          <w:rFonts w:ascii="Cambria" w:hAnsi="Cambria"/>
          <w:b w:val="0"/>
          <w:i w:val="0"/>
          <w:color w:val="auto"/>
          <w:sz w:val="22"/>
          <w:szCs w:val="22"/>
          <w:lang w:val="en-PH"/>
        </w:rPr>
        <w:t>oilseed rape MS8</w:t>
      </w:r>
      <w:r>
        <w:rPr>
          <w:rFonts w:ascii="Cambria" w:hAnsi="Cambria"/>
          <w:b w:val="0"/>
          <w:i w:val="0"/>
          <w:color w:val="auto"/>
          <w:sz w:val="22"/>
          <w:szCs w:val="22"/>
        </w:rPr>
        <w:t xml:space="preserve">, and all progenies derived from crosses of the product with any conventionally-bred </w:t>
      </w:r>
      <w:r>
        <w:rPr>
          <w:rFonts w:ascii="Cambria" w:hAnsi="Cambria"/>
          <w:b w:val="0"/>
          <w:i w:val="0"/>
          <w:color w:val="auto"/>
          <w:sz w:val="22"/>
          <w:szCs w:val="22"/>
          <w:lang w:val="en-PH"/>
        </w:rPr>
        <w:t>oilseed rape</w:t>
      </w:r>
      <w:r>
        <w:rPr>
          <w:rFonts w:ascii="Cambria" w:hAnsi="Cambria"/>
          <w:b w:val="0"/>
          <w:i w:val="0"/>
          <w:color w:val="auto"/>
          <w:sz w:val="22"/>
          <w:szCs w:val="22"/>
        </w:rPr>
        <w:t xml:space="preserve">, and </w:t>
      </w:r>
      <w:r>
        <w:rPr>
          <w:rFonts w:ascii="Cambria" w:hAnsi="Cambria"/>
          <w:b w:val="0"/>
          <w:i w:val="0"/>
          <w:color w:val="auto"/>
          <w:sz w:val="22"/>
          <w:szCs w:val="22"/>
          <w:lang w:val="en-PH"/>
        </w:rPr>
        <w:t>oilseed rape</w:t>
      </w:r>
      <w:r>
        <w:rPr>
          <w:rFonts w:ascii="Cambria" w:hAnsi="Cambria"/>
          <w:b w:val="0"/>
          <w:i w:val="0"/>
          <w:color w:val="auto"/>
          <w:sz w:val="22"/>
          <w:szCs w:val="22"/>
        </w:rPr>
        <w:t xml:space="preserve"> containing approved-biotech events for direct use as food, feed or for processing,  is as safe and substantially equivalent to its unmodified counterpart, and is therefore approved for direct use as food, feed or for processing. </w:t>
      </w:r>
      <w:r>
        <w:rPr>
          <w:rFonts w:ascii="Cambria" w:hAnsi="Cambria"/>
          <w:b w:val="0"/>
          <w:i w:val="0"/>
          <w:color w:val="auto"/>
          <w:sz w:val="22"/>
          <w:szCs w:val="22"/>
          <w:lang w:val="en-PH"/>
        </w:rPr>
        <w:t>BASF</w:t>
      </w:r>
      <w:r>
        <w:rPr>
          <w:rFonts w:ascii="Cambria" w:hAnsi="Cambria"/>
          <w:b w:val="0"/>
          <w:i w:val="0"/>
          <w:color w:val="auto"/>
          <w:sz w:val="22"/>
          <w:szCs w:val="22"/>
        </w:rPr>
        <w:t xml:space="preserve"> Philippines Inc. shall duly inform the public of this approval by way of publishing in any one (1) of the top three (3) leading newspapers in the country that import of this product is covered by conditions for approval as provided in the Biosafety Permit.</w:t>
      </w:r>
    </w:p>
    <w:p>
      <w:pPr>
        <w:spacing w:after="40"/>
        <w:jc w:val="both"/>
        <w:rPr>
          <w:rFonts w:ascii="Cambria" w:hAnsi="Cambria"/>
          <w:color w:val="auto"/>
          <w:sz w:val="22"/>
          <w:szCs w:val="22"/>
        </w:rPr>
      </w:pPr>
    </w:p>
    <w:p>
      <w:pPr>
        <w:rPr>
          <w:color w:val="auto"/>
          <w:sz w:val="22"/>
          <w:szCs w:val="22"/>
        </w:rPr>
      </w:pPr>
    </w:p>
    <w:bookmarkEnd w:id="0"/>
    <w:sectPr>
      <w:pgSz w:w="12240" w:h="15840"/>
      <w:pgMar w:top="1440" w:right="1170" w:bottom="1152"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86"/>
    <w:family w:val="auto"/>
    <w:pitch w:val="default"/>
    <w:sig w:usb0="E0002AFF" w:usb1="C000247B" w:usb2="00000009" w:usb3="00000000" w:csb0="200001FF" w:csb1="00000000"/>
  </w:font>
  <w:font w:name="Monotype Corsiva">
    <w:altName w:val="Mongolian Baiti"/>
    <w:panose1 w:val="03010101010201010101"/>
    <w:charset w:val="00"/>
    <w:family w:val="script"/>
    <w:pitch w:val="default"/>
    <w:sig w:usb0="00000000" w:usb1="00000000" w:usb2="00000000" w:usb3="00000000" w:csb0="0000009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Mongolian Baiti">
    <w:panose1 w:val="03000500000000000000"/>
    <w:charset w:val="00"/>
    <w:family w:val="auto"/>
    <w:pitch w:val="default"/>
    <w:sig w:usb0="80000023" w:usb1="00000000" w:usb2="00020000" w:usb3="00000000" w:csb0="00000001" w:csb1="00000000"/>
  </w:font>
  <w:font w:name="Calibri">
    <w:panose1 w:val="020F0502020204030204"/>
    <w:charset w:val="00"/>
    <w:family w:val="auto"/>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536A8D"/>
    <w:multiLevelType w:val="multilevel"/>
    <w:tmpl w:val="35536A8D"/>
    <w:lvl w:ilvl="0" w:tentative="0">
      <w:start w:val="1"/>
      <w:numFmt w:val="upperRoman"/>
      <w:pStyle w:val="2"/>
      <w:lvlText w:val="%1."/>
      <w:lvlJc w:val="left"/>
      <w:pPr>
        <w:tabs>
          <w:tab w:val="left" w:pos="1080"/>
        </w:tabs>
        <w:ind w:left="1080" w:hanging="72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0"/>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495"/>
    <w:rsid w:val="0001106B"/>
    <w:rsid w:val="00075564"/>
    <w:rsid w:val="00082777"/>
    <w:rsid w:val="000F1BBD"/>
    <w:rsid w:val="0011728C"/>
    <w:rsid w:val="00191282"/>
    <w:rsid w:val="00193A4F"/>
    <w:rsid w:val="001F4DE6"/>
    <w:rsid w:val="00204ACE"/>
    <w:rsid w:val="0022418C"/>
    <w:rsid w:val="00264D1D"/>
    <w:rsid w:val="002B64A0"/>
    <w:rsid w:val="002C2579"/>
    <w:rsid w:val="002D4DC8"/>
    <w:rsid w:val="0034714D"/>
    <w:rsid w:val="0035740F"/>
    <w:rsid w:val="003B2619"/>
    <w:rsid w:val="00401EED"/>
    <w:rsid w:val="00434C6B"/>
    <w:rsid w:val="00444CEE"/>
    <w:rsid w:val="0047636A"/>
    <w:rsid w:val="00476714"/>
    <w:rsid w:val="00493947"/>
    <w:rsid w:val="004B1A65"/>
    <w:rsid w:val="005312AC"/>
    <w:rsid w:val="00583495"/>
    <w:rsid w:val="005D7DCE"/>
    <w:rsid w:val="005F05C0"/>
    <w:rsid w:val="005F1448"/>
    <w:rsid w:val="00611F85"/>
    <w:rsid w:val="00643883"/>
    <w:rsid w:val="006A05C5"/>
    <w:rsid w:val="006D75E2"/>
    <w:rsid w:val="00717DF7"/>
    <w:rsid w:val="00735584"/>
    <w:rsid w:val="007756B8"/>
    <w:rsid w:val="007A6A94"/>
    <w:rsid w:val="00826EBA"/>
    <w:rsid w:val="008F125F"/>
    <w:rsid w:val="008F7E4C"/>
    <w:rsid w:val="0092443B"/>
    <w:rsid w:val="00984E75"/>
    <w:rsid w:val="00986C01"/>
    <w:rsid w:val="009F4CF3"/>
    <w:rsid w:val="00A020AE"/>
    <w:rsid w:val="00A32BC4"/>
    <w:rsid w:val="00A50E41"/>
    <w:rsid w:val="00A679C1"/>
    <w:rsid w:val="00A75243"/>
    <w:rsid w:val="00A8340E"/>
    <w:rsid w:val="00B6249C"/>
    <w:rsid w:val="00B835DC"/>
    <w:rsid w:val="00C166C4"/>
    <w:rsid w:val="00C342EE"/>
    <w:rsid w:val="00C6621F"/>
    <w:rsid w:val="00C92B6E"/>
    <w:rsid w:val="00CA59AE"/>
    <w:rsid w:val="00D009B1"/>
    <w:rsid w:val="00D05E55"/>
    <w:rsid w:val="00D1069F"/>
    <w:rsid w:val="00D12C59"/>
    <w:rsid w:val="00D603F1"/>
    <w:rsid w:val="00D67BAD"/>
    <w:rsid w:val="00D85F14"/>
    <w:rsid w:val="00D874D7"/>
    <w:rsid w:val="00DE3C59"/>
    <w:rsid w:val="00E55E06"/>
    <w:rsid w:val="00F210A2"/>
    <w:rsid w:val="00F87A1A"/>
    <w:rsid w:val="0408692A"/>
    <w:rsid w:val="059915D3"/>
    <w:rsid w:val="07B24F72"/>
    <w:rsid w:val="0C0B2F26"/>
    <w:rsid w:val="0DDF2BD8"/>
    <w:rsid w:val="131F602D"/>
    <w:rsid w:val="15E02CDD"/>
    <w:rsid w:val="1E3F4FCA"/>
    <w:rsid w:val="1F5F4592"/>
    <w:rsid w:val="23767B79"/>
    <w:rsid w:val="23F57ADE"/>
    <w:rsid w:val="35D431C8"/>
    <w:rsid w:val="384C43E6"/>
    <w:rsid w:val="3ECA22B2"/>
    <w:rsid w:val="3F09671A"/>
    <w:rsid w:val="47456C30"/>
    <w:rsid w:val="47934F4F"/>
    <w:rsid w:val="574E1976"/>
    <w:rsid w:val="5A313B31"/>
    <w:rsid w:val="5A7D2BB4"/>
    <w:rsid w:val="5D2974B7"/>
    <w:rsid w:val="61D259E9"/>
    <w:rsid w:val="6243010E"/>
    <w:rsid w:val="63597896"/>
    <w:rsid w:val="70103938"/>
    <w:rsid w:val="72374E6C"/>
    <w:rsid w:val="72417F70"/>
    <w:rsid w:val="731525A8"/>
    <w:rsid w:val="796A60E4"/>
    <w:rsid w:val="7E290E37"/>
    <w:rsid w:val="7EC527AF"/>
  </w:rsids>
  <m:mathPr>
    <m:mathFont m:val="Cambria Math"/>
    <m:brkBin m:val="before"/>
    <m:brkBinSub m:val="--"/>
    <m:smallFrac m:val="1"/>
    <m:dispDef/>
    <m:lMargin m:val="0"/>
    <m:rMargin m:val="0"/>
    <m:defJc m:val="centerGroup"/>
    <m:wrapIndent m:val="1440"/>
    <m:intLim m:val="subSup"/>
    <m:naryLim m:val="undOvr"/>
  </m:mathPr>
  <w:themeFontLang w:val="en-PH"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Monotype Corsiva" w:hAnsi="Monotype Corsiva" w:eastAsia="Times New Roman" w:cs="Times New Roman"/>
      <w:b/>
      <w:i/>
      <w:sz w:val="18"/>
      <w:szCs w:val="24"/>
      <w:lang w:val="en-US" w:eastAsia="en-US" w:bidi="ar-SA"/>
    </w:rPr>
  </w:style>
  <w:style w:type="paragraph" w:styleId="2">
    <w:name w:val="heading 2"/>
    <w:basedOn w:val="1"/>
    <w:next w:val="1"/>
    <w:link w:val="8"/>
    <w:qFormat/>
    <w:uiPriority w:val="0"/>
    <w:pPr>
      <w:keepNext/>
      <w:numPr>
        <w:ilvl w:val="0"/>
        <w:numId w:val="1"/>
      </w:numPr>
      <w:outlineLvl w:val="1"/>
    </w:pPr>
    <w:rPr>
      <w:rFonts w:ascii="Times New Roman" w:hAnsi="Times New Roman"/>
      <w:i w:val="0"/>
      <w:sz w:val="24"/>
    </w:rPr>
  </w:style>
  <w:style w:type="paragraph" w:styleId="3">
    <w:name w:val="heading 3"/>
    <w:basedOn w:val="1"/>
    <w:next w:val="1"/>
    <w:link w:val="9"/>
    <w:qFormat/>
    <w:uiPriority w:val="0"/>
    <w:pPr>
      <w:keepNext/>
      <w:ind w:left="1080"/>
      <w:outlineLvl w:val="2"/>
    </w:pPr>
    <w:rPr>
      <w:rFonts w:ascii="Times New Roman" w:hAnsi="Times New Roman"/>
      <w:i w:val="0"/>
      <w:sz w:val="24"/>
    </w:rPr>
  </w:style>
  <w:style w:type="character" w:default="1" w:styleId="6">
    <w:name w:val="Default Paragraph Font"/>
    <w:semiHidden/>
    <w:unhideWhenUsed/>
    <w:qFormat/>
    <w:uiPriority w:val="1"/>
  </w:style>
  <w:style w:type="table" w:default="1" w:styleId="7">
    <w:name w:val="Normal Table"/>
    <w:semiHidden/>
    <w:unhideWhenUsed/>
    <w:uiPriority w:val="99"/>
    <w:tblPr>
      <w:tblLayout w:type="fixed"/>
      <w:tblCellMar>
        <w:top w:w="0" w:type="dxa"/>
        <w:left w:w="108" w:type="dxa"/>
        <w:bottom w:w="0" w:type="dxa"/>
        <w:right w:w="108" w:type="dxa"/>
      </w:tblCellMar>
    </w:tblPr>
  </w:style>
  <w:style w:type="paragraph" w:styleId="4">
    <w:name w:val="Body Text 2"/>
    <w:basedOn w:val="1"/>
    <w:link w:val="10"/>
    <w:uiPriority w:val="0"/>
    <w:pPr>
      <w:jc w:val="both"/>
    </w:pPr>
    <w:rPr>
      <w:rFonts w:ascii="Times New Roman" w:hAnsi="Times New Roman"/>
      <w:b w:val="0"/>
      <w:i w:val="0"/>
      <w:sz w:val="24"/>
    </w:rPr>
  </w:style>
  <w:style w:type="paragraph" w:styleId="5">
    <w:name w:val="Body Text Indent"/>
    <w:basedOn w:val="1"/>
    <w:link w:val="11"/>
    <w:uiPriority w:val="0"/>
    <w:pPr>
      <w:ind w:left="1080"/>
      <w:jc w:val="both"/>
    </w:pPr>
    <w:rPr>
      <w:rFonts w:ascii="Times New Roman" w:hAnsi="Times New Roman"/>
      <w:b w:val="0"/>
      <w:i w:val="0"/>
      <w:sz w:val="24"/>
    </w:rPr>
  </w:style>
  <w:style w:type="character" w:customStyle="1" w:styleId="8">
    <w:name w:val="Heading 2 Char"/>
    <w:basedOn w:val="6"/>
    <w:link w:val="2"/>
    <w:qFormat/>
    <w:uiPriority w:val="0"/>
    <w:rPr>
      <w:rFonts w:ascii="Times New Roman" w:hAnsi="Times New Roman" w:eastAsia="Times New Roman" w:cs="Times New Roman"/>
      <w:b/>
      <w:sz w:val="24"/>
      <w:szCs w:val="24"/>
      <w:lang w:val="en-US"/>
    </w:rPr>
  </w:style>
  <w:style w:type="character" w:customStyle="1" w:styleId="9">
    <w:name w:val="Heading 3 Char"/>
    <w:basedOn w:val="6"/>
    <w:link w:val="3"/>
    <w:uiPriority w:val="0"/>
    <w:rPr>
      <w:rFonts w:ascii="Times New Roman" w:hAnsi="Times New Roman" w:eastAsia="Times New Roman" w:cs="Times New Roman"/>
      <w:b/>
      <w:sz w:val="24"/>
      <w:szCs w:val="24"/>
      <w:lang w:val="en-US"/>
    </w:rPr>
  </w:style>
  <w:style w:type="character" w:customStyle="1" w:styleId="10">
    <w:name w:val="Body Text 2 Char"/>
    <w:basedOn w:val="6"/>
    <w:link w:val="4"/>
    <w:qFormat/>
    <w:uiPriority w:val="0"/>
    <w:rPr>
      <w:rFonts w:ascii="Times New Roman" w:hAnsi="Times New Roman" w:eastAsia="Times New Roman" w:cs="Times New Roman"/>
      <w:sz w:val="24"/>
      <w:szCs w:val="24"/>
      <w:lang w:val="en-US"/>
    </w:rPr>
  </w:style>
  <w:style w:type="character" w:customStyle="1" w:styleId="11">
    <w:name w:val="Body Text Indent Char"/>
    <w:basedOn w:val="6"/>
    <w:link w:val="5"/>
    <w:uiPriority w:val="0"/>
    <w:rPr>
      <w:rFonts w:ascii="Times New Roman" w:hAnsi="Times New Roman" w:eastAsia="Times New Roman" w:cs="Times New Roman"/>
      <w:sz w:val="24"/>
      <w:szCs w:val="24"/>
      <w:lang w:val="en-US"/>
    </w:rPr>
  </w:style>
  <w:style w:type="paragraph" w:styleId="12">
    <w:name w:val="No Spacing"/>
    <w:qFormat/>
    <w:uiPriority w:val="0"/>
    <w:pPr>
      <w:spacing w:after="0" w:line="240" w:lineRule="auto"/>
    </w:pPr>
    <w:rPr>
      <w:rFonts w:ascii="Times New Roman" w:hAnsi="Times New Roman" w:eastAsia="Times New Roman" w:cs="Times New Roman"/>
      <w:sz w:val="24"/>
      <w:szCs w:val="20"/>
      <w:lang w:val="en-US" w:eastAsia="en-US" w:bidi="ar-SA"/>
    </w:rPr>
  </w:style>
  <w:style w:type="paragraph" w:styleId="13">
    <w:name w:val="List Paragraph"/>
    <w:basedOn w:val="1"/>
    <w:qFormat/>
    <w:uiPriority w:val="34"/>
    <w:pPr>
      <w:ind w:left="72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1602</Words>
  <Characters>9136</Characters>
  <Lines>76</Lines>
  <Paragraphs>21</Paragraphs>
  <TotalTime>0</TotalTime>
  <ScaleCrop>false</ScaleCrop>
  <LinksUpToDate>false</LinksUpToDate>
  <CharactersWithSpaces>10717</CharactersWithSpaces>
  <Application>WPS Office_10.2.0.7549_F1E327BC-269C-435d-A152-05C5408002CA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2018-09-21T02:14:00Z</dcterms:created>
  <dc:creator>Benjamin</dc:creator>
  <cp:lastModifiedBy>HP</cp:lastModifiedBy>
  <dcterms:modified xsi:type="dcterms:W3CDTF">2018-12-06T09:02:15Z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1033-10.2.0.7549</vt:lpwstr>
  </property>
</Properties>
</file>